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400" w:lineRule="exact"/>
        <w:ind w:firstLine="0" w:firstLineChars="0"/>
        <w:outlineLvl w:val="0"/>
        <w:rPr>
          <w:b/>
          <w:bCs/>
          <w:sz w:val="32"/>
          <w:szCs w:val="32"/>
        </w:rPr>
      </w:pPr>
      <w:bookmarkStart w:id="0" w:name="_Toc486408202"/>
      <w:r>
        <w:rPr>
          <w:rFonts w:hint="eastAsia"/>
          <w:b/>
          <w:bCs/>
          <w:sz w:val="32"/>
          <w:szCs w:val="32"/>
        </w:rPr>
        <w:t>项目</w:t>
      </w:r>
      <w:bookmarkEnd w:id="0"/>
      <w:r>
        <w:rPr>
          <w:rFonts w:hint="eastAsia"/>
          <w:b/>
          <w:bCs/>
          <w:sz w:val="32"/>
          <w:szCs w:val="32"/>
        </w:rPr>
        <w:t>概览</w:t>
      </w:r>
    </w:p>
    <w:p>
      <w:pPr>
        <w:rPr>
          <w:szCs w:val="32"/>
        </w:rPr>
      </w:pPr>
      <w:r>
        <w:rPr>
          <w:rFonts w:hint="eastAsia"/>
          <w:szCs w:val="32"/>
        </w:rPr>
        <w:t>为提升网络安全整体防护，提升网络设备稳定运行。</w:t>
      </w:r>
      <w:r>
        <w:rPr>
          <w:szCs w:val="32"/>
        </w:rPr>
        <w:t>通过购买</w:t>
      </w:r>
      <w:r>
        <w:rPr>
          <w:rFonts w:hint="eastAsia"/>
          <w:szCs w:val="32"/>
        </w:rPr>
        <w:t>网络设备和</w:t>
      </w:r>
      <w:r>
        <w:rPr>
          <w:szCs w:val="32"/>
        </w:rPr>
        <w:t>安全设备的</w:t>
      </w:r>
      <w:r>
        <w:rPr>
          <w:rFonts w:hint="eastAsia"/>
          <w:szCs w:val="32"/>
        </w:rPr>
        <w:t>硬件维保</w:t>
      </w:r>
      <w:r>
        <w:rPr>
          <w:szCs w:val="32"/>
        </w:rPr>
        <w:t>和特征库升级服务，保障</w:t>
      </w:r>
      <w:r>
        <w:rPr>
          <w:rFonts w:hint="eastAsia"/>
          <w:szCs w:val="32"/>
        </w:rPr>
        <w:t>网络设备和</w:t>
      </w:r>
      <w:r>
        <w:rPr>
          <w:szCs w:val="32"/>
        </w:rPr>
        <w:t>安全</w:t>
      </w:r>
      <w:r>
        <w:rPr>
          <w:rFonts w:hint="eastAsia"/>
          <w:szCs w:val="32"/>
        </w:rPr>
        <w:t>设备</w:t>
      </w:r>
      <w:r>
        <w:rPr>
          <w:szCs w:val="32"/>
        </w:rPr>
        <w:t>正常稳定运行，</w:t>
      </w:r>
      <w:r>
        <w:rPr>
          <w:rFonts w:hint="eastAsia"/>
          <w:szCs w:val="32"/>
        </w:rPr>
        <w:t>整体</w:t>
      </w:r>
      <w:r>
        <w:rPr>
          <w:szCs w:val="32"/>
        </w:rPr>
        <w:t>提升</w:t>
      </w:r>
      <w:r>
        <w:rPr>
          <w:rFonts w:hint="eastAsia"/>
          <w:szCs w:val="32"/>
        </w:rPr>
        <w:t>我院</w:t>
      </w:r>
      <w:r>
        <w:rPr>
          <w:szCs w:val="32"/>
        </w:rPr>
        <w:t>信息安全等级。</w:t>
      </w:r>
      <w:r>
        <w:rPr>
          <w:rFonts w:hint="eastAsia"/>
          <w:szCs w:val="32"/>
        </w:rPr>
        <w:t>本次</w:t>
      </w:r>
      <w:r>
        <w:rPr>
          <w:szCs w:val="32"/>
        </w:rPr>
        <w:t>涉及</w:t>
      </w:r>
      <w:r>
        <w:rPr>
          <w:rFonts w:hint="eastAsia"/>
          <w:szCs w:val="32"/>
        </w:rPr>
        <w:t>7</w:t>
      </w:r>
      <w:r>
        <w:rPr>
          <w:szCs w:val="32"/>
        </w:rPr>
        <w:t>台安全设备一年期的</w:t>
      </w:r>
      <w:r>
        <w:rPr>
          <w:rFonts w:hint="eastAsia"/>
          <w:szCs w:val="32"/>
        </w:rPr>
        <w:t>硬件</w:t>
      </w:r>
      <w:r>
        <w:rPr>
          <w:szCs w:val="32"/>
        </w:rPr>
        <w:t>维保和特征库升级</w:t>
      </w:r>
      <w:r>
        <w:rPr>
          <w:rFonts w:hint="eastAsia"/>
          <w:szCs w:val="32"/>
        </w:rPr>
        <w:t>服务、2台核心交换机设备和1台VPN设备硬件维保及软件升级服务。</w:t>
      </w:r>
    </w:p>
    <w:p>
      <w:pPr>
        <w:numPr>
          <w:ilvl w:val="0"/>
          <w:numId w:val="2"/>
        </w:numPr>
        <w:spacing w:line="400" w:lineRule="exact"/>
        <w:ind w:firstLine="0" w:firstLineChars="0"/>
        <w:outlineLvl w:val="0"/>
        <w:rPr>
          <w:b/>
          <w:bCs/>
          <w:sz w:val="32"/>
          <w:szCs w:val="32"/>
        </w:rPr>
      </w:pPr>
      <w:bookmarkStart w:id="1" w:name="_Toc486408200"/>
      <w:r>
        <w:rPr>
          <w:rFonts w:hint="eastAsia"/>
          <w:b/>
          <w:bCs/>
          <w:sz w:val="32"/>
          <w:szCs w:val="32"/>
        </w:rPr>
        <w:t>服务内容</w:t>
      </w:r>
      <w:bookmarkEnd w:id="1"/>
    </w:p>
    <w:p>
      <w:pPr>
        <w:numPr>
          <w:ilvl w:val="0"/>
          <w:numId w:val="3"/>
        </w:numPr>
        <w:ind w:firstLineChars="0"/>
      </w:pPr>
      <w:r>
        <w:rPr>
          <w:rFonts w:hint="eastAsia"/>
        </w:rPr>
        <w:t>提供1年网络设备和安全设备7*24原厂</w:t>
      </w:r>
      <w:r>
        <w:t>维保服务</w:t>
      </w:r>
      <w:r>
        <w:rPr>
          <w:rFonts w:hint="eastAsia"/>
        </w:rPr>
        <w:t>。</w:t>
      </w:r>
    </w:p>
    <w:p>
      <w:pPr>
        <w:numPr>
          <w:ilvl w:val="0"/>
          <w:numId w:val="3"/>
        </w:numPr>
        <w:ind w:firstLineChars="0"/>
        <w:rPr>
          <w:rFonts w:hint="eastAsia"/>
        </w:rPr>
      </w:pPr>
      <w:r>
        <w:rPr>
          <w:rFonts w:hint="eastAsia"/>
        </w:rPr>
        <w:t>投标人有稳定的工作场地和工作人员，可</w:t>
      </w:r>
      <w:r>
        <w:rPr>
          <w:rFonts w:hint="eastAsia"/>
          <w:lang w:val="en-US" w:eastAsia="zh-CN"/>
        </w:rPr>
        <w:t>1</w:t>
      </w:r>
      <w:r>
        <w:rPr>
          <w:rFonts w:hint="eastAsia"/>
        </w:rPr>
        <w:t>小时内做出响应，可</w:t>
      </w:r>
      <w:r>
        <w:rPr>
          <w:rFonts w:hint="eastAsia"/>
          <w:lang w:val="en-US" w:eastAsia="zh-CN"/>
        </w:rPr>
        <w:t>2</w:t>
      </w:r>
      <w:r>
        <w:rPr>
          <w:rFonts w:hint="eastAsia"/>
        </w:rPr>
        <w:t>小时内到达现场。</w:t>
      </w:r>
    </w:p>
    <w:p>
      <w:pPr>
        <w:numPr>
          <w:ilvl w:val="0"/>
          <w:numId w:val="3"/>
        </w:numPr>
        <w:ind w:firstLineChars="0"/>
        <w:rPr>
          <w:rFonts w:hint="eastAsia"/>
        </w:rPr>
      </w:pPr>
      <w:r>
        <w:rPr>
          <w:rFonts w:hint="eastAsia"/>
        </w:rPr>
        <w:t>投标人有独立的备件库，可</w:t>
      </w:r>
      <w:r>
        <w:rPr>
          <w:rFonts w:hint="eastAsia"/>
          <w:lang w:val="en-US" w:eastAsia="zh-CN"/>
        </w:rPr>
        <w:t>1</w:t>
      </w:r>
      <w:r>
        <w:rPr>
          <w:rFonts w:hint="eastAsia"/>
        </w:rPr>
        <w:t>小时内做出响应，可</w:t>
      </w:r>
      <w:r>
        <w:rPr>
          <w:rFonts w:hint="eastAsia"/>
          <w:lang w:val="en-US" w:eastAsia="zh-CN"/>
        </w:rPr>
        <w:t>2</w:t>
      </w:r>
      <w:r>
        <w:rPr>
          <w:rFonts w:hint="eastAsia"/>
        </w:rPr>
        <w:t>小时内送达现场。</w:t>
      </w:r>
    </w:p>
    <w:p>
      <w:pPr>
        <w:numPr>
          <w:ilvl w:val="0"/>
          <w:numId w:val="3"/>
        </w:numPr>
        <w:ind w:firstLineChars="0"/>
        <w:rPr>
          <w:rFonts w:hint="eastAsia"/>
        </w:rPr>
      </w:pPr>
      <w:r>
        <w:rPr>
          <w:rFonts w:hint="eastAsia"/>
        </w:rPr>
        <w:t>投标人具有ISO9001或ISO20000</w:t>
      </w:r>
      <w:r>
        <w:rPr>
          <w:rFonts w:hint="eastAsia"/>
        </w:rPr>
        <w:t>或ISO27001</w:t>
      </w:r>
      <w:r>
        <w:rPr>
          <w:rFonts w:hint="eastAsia"/>
        </w:rPr>
        <w:t>等相关认证证书</w:t>
      </w:r>
      <w:r>
        <w:rPr>
          <w:rFonts w:hint="eastAsia"/>
        </w:rPr>
        <w:t>。</w:t>
      </w:r>
    </w:p>
    <w:p>
      <w:pPr>
        <w:numPr>
          <w:ilvl w:val="0"/>
          <w:numId w:val="3"/>
        </w:numPr>
        <w:ind w:firstLineChars="0"/>
        <w:rPr>
          <w:rFonts w:hint="eastAsia"/>
        </w:rPr>
      </w:pPr>
      <w:r>
        <w:rPr>
          <w:rFonts w:hint="eastAsia"/>
          <w:lang w:val="zh-CN"/>
        </w:rPr>
        <w:t>投标人应具备</w:t>
      </w:r>
      <w:r>
        <w:rPr>
          <w:rFonts w:hint="eastAsia"/>
        </w:rPr>
        <w:t>核心交换机、</w:t>
      </w:r>
      <w:r>
        <w:rPr>
          <w:rFonts w:hint="eastAsia"/>
          <w:lang w:val="zh-CN"/>
        </w:rPr>
        <w:t>防火墙等设备维保相</w:t>
      </w:r>
      <w:bookmarkStart w:id="2" w:name="_GoBack"/>
      <w:bookmarkEnd w:id="2"/>
      <w:r>
        <w:rPr>
          <w:rFonts w:hint="eastAsia"/>
          <w:lang w:val="zh-CN"/>
        </w:rPr>
        <w:t>关服务经验，并提供本次维保范围内涉及产品的备品备件。</w:t>
      </w:r>
      <w:r>
        <w:rPr>
          <w:rFonts w:hint="eastAsia"/>
        </w:rPr>
        <w:t xml:space="preserve"> </w:t>
      </w:r>
    </w:p>
    <w:p>
      <w:pPr>
        <w:numPr>
          <w:ilvl w:val="0"/>
          <w:numId w:val="3"/>
        </w:numPr>
        <w:ind w:firstLineChars="0"/>
        <w:rPr>
          <w:rFonts w:hint="eastAsia"/>
        </w:rPr>
      </w:pPr>
      <w:r>
        <w:rPr>
          <w:rFonts w:hint="eastAsia"/>
          <w:lang w:val="zh-CN"/>
        </w:rPr>
        <w:t>投标人应保证除核心交换机外的其他设备为原厂技术支持服务并提供相应证明材料。</w:t>
      </w:r>
    </w:p>
    <w:p>
      <w:pPr>
        <w:numPr>
          <w:ilvl w:val="0"/>
          <w:numId w:val="2"/>
        </w:numPr>
        <w:spacing w:line="400" w:lineRule="exact"/>
        <w:ind w:firstLine="0" w:firstLineChars="0"/>
        <w:outlineLvl w:val="0"/>
        <w:rPr>
          <w:b/>
          <w:bCs/>
          <w:sz w:val="32"/>
          <w:szCs w:val="32"/>
        </w:rPr>
      </w:pPr>
      <w:r>
        <w:rPr>
          <w:rFonts w:hint="eastAsia"/>
          <w:b/>
          <w:bCs/>
          <w:sz w:val="32"/>
          <w:szCs w:val="32"/>
        </w:rPr>
        <w:t>设备清单</w:t>
      </w:r>
    </w:p>
    <w:tbl>
      <w:tblPr>
        <w:tblStyle w:val="12"/>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45"/>
        <w:gridCol w:w="1318"/>
        <w:gridCol w:w="1956"/>
        <w:gridCol w:w="192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jc w:val="center"/>
        </w:trPr>
        <w:tc>
          <w:tcPr>
            <w:tcW w:w="2345" w:type="dxa"/>
            <w:shd w:val="clear" w:color="auto" w:fill="auto"/>
            <w:vAlign w:val="center"/>
          </w:tcPr>
          <w:p>
            <w:pPr>
              <w:spacing w:line="400" w:lineRule="exact"/>
              <w:ind w:firstLine="0" w:firstLineChars="0"/>
              <w:jc w:val="center"/>
              <w:rPr>
                <w:b/>
              </w:rPr>
            </w:pPr>
            <w:r>
              <w:rPr>
                <w:rFonts w:hint="eastAsia"/>
                <w:b/>
              </w:rPr>
              <w:t>设备名称及版本</w:t>
            </w:r>
          </w:p>
        </w:tc>
        <w:tc>
          <w:tcPr>
            <w:tcW w:w="1318" w:type="dxa"/>
            <w:shd w:val="clear" w:color="auto" w:fill="auto"/>
            <w:vAlign w:val="center"/>
          </w:tcPr>
          <w:p>
            <w:pPr>
              <w:spacing w:line="400" w:lineRule="exact"/>
              <w:ind w:firstLine="0" w:firstLineChars="0"/>
              <w:jc w:val="center"/>
              <w:rPr>
                <w:b/>
              </w:rPr>
            </w:pPr>
            <w:r>
              <w:rPr>
                <w:rFonts w:hint="eastAsia"/>
                <w:b/>
              </w:rPr>
              <w:t>设备厂商</w:t>
            </w:r>
          </w:p>
        </w:tc>
        <w:tc>
          <w:tcPr>
            <w:tcW w:w="1956" w:type="dxa"/>
            <w:shd w:val="clear" w:color="auto" w:fill="auto"/>
            <w:vAlign w:val="center"/>
          </w:tcPr>
          <w:p>
            <w:pPr>
              <w:spacing w:line="400" w:lineRule="exact"/>
              <w:ind w:firstLine="0" w:firstLineChars="0"/>
              <w:jc w:val="center"/>
              <w:rPr>
                <w:b/>
              </w:rPr>
            </w:pPr>
            <w:r>
              <w:rPr>
                <w:rFonts w:hint="eastAsia"/>
                <w:b/>
              </w:rPr>
              <w:t>设备型号</w:t>
            </w:r>
          </w:p>
        </w:tc>
        <w:tc>
          <w:tcPr>
            <w:tcW w:w="1925" w:type="dxa"/>
            <w:shd w:val="clear" w:color="auto" w:fill="auto"/>
            <w:vAlign w:val="center"/>
          </w:tcPr>
          <w:p>
            <w:pPr>
              <w:spacing w:line="400" w:lineRule="exact"/>
              <w:ind w:firstLine="0" w:firstLineChars="0"/>
              <w:jc w:val="center"/>
              <w:rPr>
                <w:b/>
              </w:rPr>
            </w:pPr>
            <w:r>
              <w:rPr>
                <w:rFonts w:hint="eastAsia"/>
                <w:b/>
              </w:rPr>
              <w:t>续保内容</w:t>
            </w:r>
          </w:p>
        </w:tc>
        <w:tc>
          <w:tcPr>
            <w:tcW w:w="788" w:type="dxa"/>
            <w:shd w:val="clear" w:color="auto" w:fill="auto"/>
            <w:vAlign w:val="center"/>
          </w:tcPr>
          <w:p>
            <w:pPr>
              <w:spacing w:line="400" w:lineRule="exact"/>
              <w:ind w:firstLine="0" w:firstLineChars="0"/>
              <w:jc w:val="center"/>
              <w:rPr>
                <w:b/>
              </w:rPr>
            </w:pPr>
            <w:r>
              <w:rPr>
                <w:rFonts w:hint="eastAsia"/>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vAlign w:val="center"/>
          </w:tcPr>
          <w:p>
            <w:pPr>
              <w:ind w:firstLine="0" w:firstLineChars="0"/>
              <w:jc w:val="center"/>
            </w:pPr>
            <w:r>
              <w:rPr>
                <w:rFonts w:hint="eastAsia"/>
              </w:rPr>
              <w:t>天玥网络安全审计系统V6.0</w:t>
            </w:r>
          </w:p>
        </w:tc>
        <w:tc>
          <w:tcPr>
            <w:tcW w:w="1318" w:type="dxa"/>
            <w:vAlign w:val="center"/>
          </w:tcPr>
          <w:p>
            <w:pPr>
              <w:ind w:firstLine="0" w:firstLineChars="0"/>
              <w:jc w:val="center"/>
            </w:pPr>
            <w:r>
              <w:rPr>
                <w:rFonts w:hint="eastAsia"/>
              </w:rPr>
              <w:t>启明星辰</w:t>
            </w:r>
          </w:p>
        </w:tc>
        <w:tc>
          <w:tcPr>
            <w:tcW w:w="1956" w:type="dxa"/>
            <w:vAlign w:val="center"/>
          </w:tcPr>
          <w:p>
            <w:pPr>
              <w:ind w:firstLine="0" w:firstLineChars="0"/>
              <w:jc w:val="center"/>
            </w:pPr>
            <w:r>
              <w:rPr>
                <w:rFonts w:hint="eastAsia"/>
              </w:rPr>
              <w:t>CA2300ER+SR</w:t>
            </w:r>
          </w:p>
        </w:tc>
        <w:tc>
          <w:tcPr>
            <w:tcW w:w="1925" w:type="dxa"/>
            <w:vAlign w:val="center"/>
          </w:tcPr>
          <w:p>
            <w:pPr>
              <w:ind w:firstLine="0" w:firstLineChars="0"/>
              <w:jc w:val="center"/>
            </w:pPr>
            <w:r>
              <w:rPr>
                <w:rFonts w:hint="eastAsia"/>
              </w:rPr>
              <w:t>硬件+特征库</w:t>
            </w:r>
          </w:p>
        </w:tc>
        <w:tc>
          <w:tcPr>
            <w:tcW w:w="788" w:type="dxa"/>
            <w:vAlign w:val="center"/>
          </w:tcPr>
          <w:p>
            <w:pPr>
              <w:ind w:firstLine="0" w:firstLineChars="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vAlign w:val="center"/>
          </w:tcPr>
          <w:p>
            <w:pPr>
              <w:ind w:firstLine="0" w:firstLineChars="0"/>
              <w:jc w:val="center"/>
            </w:pPr>
            <w:r>
              <w:rPr>
                <w:rFonts w:hint="eastAsia"/>
              </w:rPr>
              <w:t>天阗入侵检测与管理系统V7.0</w:t>
            </w:r>
          </w:p>
        </w:tc>
        <w:tc>
          <w:tcPr>
            <w:tcW w:w="1318" w:type="dxa"/>
            <w:vAlign w:val="center"/>
          </w:tcPr>
          <w:p>
            <w:pPr>
              <w:ind w:firstLine="0" w:firstLineChars="0"/>
              <w:jc w:val="center"/>
            </w:pPr>
            <w:r>
              <w:rPr>
                <w:rFonts w:hint="eastAsia"/>
              </w:rPr>
              <w:t>启明星辰</w:t>
            </w:r>
          </w:p>
        </w:tc>
        <w:tc>
          <w:tcPr>
            <w:tcW w:w="1956" w:type="dxa"/>
            <w:vAlign w:val="center"/>
          </w:tcPr>
          <w:p>
            <w:pPr>
              <w:ind w:firstLine="0" w:firstLineChars="0"/>
              <w:jc w:val="center"/>
            </w:pPr>
            <w:r>
              <w:rPr>
                <w:rFonts w:hint="eastAsia"/>
              </w:rPr>
              <w:t>NT3000-VPSB2S</w:t>
            </w:r>
          </w:p>
        </w:tc>
        <w:tc>
          <w:tcPr>
            <w:tcW w:w="1925" w:type="dxa"/>
            <w:vAlign w:val="center"/>
          </w:tcPr>
          <w:p>
            <w:pPr>
              <w:ind w:firstLine="0" w:firstLineChars="0"/>
              <w:jc w:val="center"/>
            </w:pPr>
            <w:r>
              <w:rPr>
                <w:rFonts w:hint="eastAsia"/>
              </w:rPr>
              <w:t>硬件+特征库</w:t>
            </w:r>
          </w:p>
        </w:tc>
        <w:tc>
          <w:tcPr>
            <w:tcW w:w="788" w:type="dxa"/>
            <w:vAlign w:val="center"/>
          </w:tcPr>
          <w:p>
            <w:pPr>
              <w:ind w:firstLine="0" w:firstLineChars="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vAlign w:val="center"/>
          </w:tcPr>
          <w:p>
            <w:pPr>
              <w:ind w:firstLine="0" w:firstLineChars="0"/>
              <w:jc w:val="center"/>
            </w:pPr>
            <w:r>
              <w:rPr>
                <w:rFonts w:hint="eastAsia"/>
              </w:rPr>
              <w:t>天融信万兆防火墙系统V3</w:t>
            </w:r>
          </w:p>
        </w:tc>
        <w:tc>
          <w:tcPr>
            <w:tcW w:w="1318" w:type="dxa"/>
            <w:vAlign w:val="center"/>
          </w:tcPr>
          <w:p>
            <w:pPr>
              <w:ind w:firstLine="0" w:firstLineChars="0"/>
              <w:jc w:val="center"/>
            </w:pPr>
            <w:r>
              <w:rPr>
                <w:rFonts w:hint="eastAsia"/>
              </w:rPr>
              <w:t>天融信</w:t>
            </w:r>
          </w:p>
        </w:tc>
        <w:tc>
          <w:tcPr>
            <w:tcW w:w="1956" w:type="dxa"/>
            <w:vAlign w:val="center"/>
          </w:tcPr>
          <w:p>
            <w:pPr>
              <w:ind w:firstLine="0" w:firstLineChars="0"/>
              <w:jc w:val="center"/>
            </w:pPr>
            <w:r>
              <w:rPr>
                <w:rFonts w:hint="eastAsia"/>
              </w:rPr>
              <w:t>NGFW4000-UF</w:t>
            </w:r>
          </w:p>
        </w:tc>
        <w:tc>
          <w:tcPr>
            <w:tcW w:w="1925" w:type="dxa"/>
            <w:vAlign w:val="center"/>
          </w:tcPr>
          <w:p>
            <w:pPr>
              <w:ind w:firstLine="0" w:firstLineChars="0"/>
              <w:jc w:val="center"/>
            </w:pPr>
            <w:r>
              <w:rPr>
                <w:rFonts w:hint="eastAsia"/>
              </w:rPr>
              <w:t>硬件+特征库</w:t>
            </w:r>
          </w:p>
        </w:tc>
        <w:tc>
          <w:tcPr>
            <w:tcW w:w="788" w:type="dxa"/>
            <w:vAlign w:val="center"/>
          </w:tcPr>
          <w:p>
            <w:pPr>
              <w:ind w:firstLine="0" w:firstLineChars="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vAlign w:val="center"/>
          </w:tcPr>
          <w:p>
            <w:pPr>
              <w:ind w:firstLine="0" w:firstLineChars="0"/>
              <w:jc w:val="center"/>
            </w:pPr>
            <w:r>
              <w:rPr>
                <w:rFonts w:hint="eastAsia"/>
              </w:rPr>
              <w:t>天融信千兆防火墙系统V3</w:t>
            </w:r>
          </w:p>
        </w:tc>
        <w:tc>
          <w:tcPr>
            <w:tcW w:w="1318" w:type="dxa"/>
            <w:vAlign w:val="center"/>
          </w:tcPr>
          <w:p>
            <w:pPr>
              <w:ind w:firstLine="0" w:firstLineChars="0"/>
              <w:jc w:val="center"/>
            </w:pPr>
            <w:r>
              <w:rPr>
                <w:rFonts w:hint="eastAsia"/>
              </w:rPr>
              <w:t>天融信</w:t>
            </w:r>
          </w:p>
        </w:tc>
        <w:tc>
          <w:tcPr>
            <w:tcW w:w="1956" w:type="dxa"/>
            <w:vAlign w:val="center"/>
          </w:tcPr>
          <w:p>
            <w:pPr>
              <w:ind w:firstLine="0" w:firstLineChars="0"/>
              <w:jc w:val="center"/>
            </w:pPr>
            <w:r>
              <w:rPr>
                <w:rFonts w:hint="eastAsia"/>
              </w:rPr>
              <w:t>NGFW4000-UF</w:t>
            </w:r>
          </w:p>
        </w:tc>
        <w:tc>
          <w:tcPr>
            <w:tcW w:w="1925" w:type="dxa"/>
            <w:vAlign w:val="center"/>
          </w:tcPr>
          <w:p>
            <w:pPr>
              <w:ind w:firstLine="0" w:firstLineChars="0"/>
              <w:jc w:val="center"/>
            </w:pPr>
            <w:r>
              <w:rPr>
                <w:rFonts w:hint="eastAsia"/>
              </w:rPr>
              <w:t>硬件+特征库</w:t>
            </w:r>
          </w:p>
        </w:tc>
        <w:tc>
          <w:tcPr>
            <w:tcW w:w="788" w:type="dxa"/>
            <w:vAlign w:val="center"/>
          </w:tcPr>
          <w:p>
            <w:pPr>
              <w:ind w:firstLine="0" w:firstLineChars="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vAlign w:val="center"/>
          </w:tcPr>
          <w:p>
            <w:pPr>
              <w:ind w:firstLine="0" w:firstLineChars="0"/>
              <w:jc w:val="center"/>
            </w:pPr>
            <w:r>
              <w:rPr>
                <w:rFonts w:hint="eastAsia"/>
              </w:rPr>
              <w:t>VPN</w:t>
            </w:r>
          </w:p>
        </w:tc>
        <w:tc>
          <w:tcPr>
            <w:tcW w:w="1318" w:type="dxa"/>
            <w:vAlign w:val="center"/>
          </w:tcPr>
          <w:p>
            <w:pPr>
              <w:ind w:firstLine="0" w:firstLineChars="0"/>
              <w:jc w:val="center"/>
            </w:pPr>
            <w:r>
              <w:rPr>
                <w:rFonts w:hint="eastAsia"/>
              </w:rPr>
              <w:t>深信服</w:t>
            </w:r>
          </w:p>
        </w:tc>
        <w:tc>
          <w:tcPr>
            <w:tcW w:w="1956" w:type="dxa"/>
            <w:vAlign w:val="center"/>
          </w:tcPr>
          <w:p>
            <w:pPr>
              <w:ind w:firstLine="0" w:firstLineChars="0"/>
              <w:jc w:val="center"/>
            </w:pPr>
            <w:r>
              <w:rPr>
                <w:rFonts w:hint="eastAsia"/>
              </w:rPr>
              <w:t>VPN-4650-D</w:t>
            </w:r>
          </w:p>
        </w:tc>
        <w:tc>
          <w:tcPr>
            <w:tcW w:w="1925" w:type="dxa"/>
            <w:vAlign w:val="center"/>
          </w:tcPr>
          <w:p>
            <w:pPr>
              <w:ind w:firstLine="0" w:firstLineChars="0"/>
              <w:jc w:val="center"/>
            </w:pPr>
            <w:r>
              <w:rPr>
                <w:rFonts w:hint="eastAsia"/>
              </w:rPr>
              <w:t>硬件+软件</w:t>
            </w:r>
          </w:p>
        </w:tc>
        <w:tc>
          <w:tcPr>
            <w:tcW w:w="788" w:type="dxa"/>
            <w:vAlign w:val="center"/>
          </w:tcPr>
          <w:p>
            <w:pPr>
              <w:ind w:firstLine="0" w:firstLineChars="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vAlign w:val="center"/>
          </w:tcPr>
          <w:p>
            <w:pPr>
              <w:ind w:firstLine="0" w:firstLineChars="0"/>
              <w:jc w:val="center"/>
            </w:pPr>
            <w:r>
              <w:rPr>
                <w:rFonts w:hint="eastAsia"/>
              </w:rPr>
              <w:t>核心交换机</w:t>
            </w:r>
          </w:p>
        </w:tc>
        <w:tc>
          <w:tcPr>
            <w:tcW w:w="1318" w:type="dxa"/>
            <w:vAlign w:val="center"/>
          </w:tcPr>
          <w:p>
            <w:pPr>
              <w:ind w:firstLine="0" w:firstLineChars="0"/>
              <w:jc w:val="center"/>
            </w:pPr>
            <w:r>
              <w:rPr>
                <w:rFonts w:hint="eastAsia"/>
              </w:rPr>
              <w:t>思科</w:t>
            </w:r>
          </w:p>
        </w:tc>
        <w:tc>
          <w:tcPr>
            <w:tcW w:w="1956" w:type="dxa"/>
            <w:vAlign w:val="center"/>
          </w:tcPr>
          <w:p>
            <w:pPr>
              <w:ind w:firstLine="0" w:firstLineChars="0"/>
              <w:jc w:val="center"/>
            </w:pPr>
            <w:r>
              <w:rPr>
                <w:rFonts w:hint="eastAsia"/>
              </w:rPr>
              <w:t>C6509</w:t>
            </w:r>
          </w:p>
        </w:tc>
        <w:tc>
          <w:tcPr>
            <w:tcW w:w="1925" w:type="dxa"/>
            <w:vAlign w:val="center"/>
          </w:tcPr>
          <w:p>
            <w:pPr>
              <w:ind w:firstLine="0" w:firstLineChars="0"/>
              <w:jc w:val="center"/>
            </w:pPr>
            <w:r>
              <w:rPr>
                <w:rFonts w:hint="eastAsia"/>
              </w:rPr>
              <w:t>硬件+软件</w:t>
            </w:r>
          </w:p>
        </w:tc>
        <w:tc>
          <w:tcPr>
            <w:tcW w:w="788" w:type="dxa"/>
            <w:vAlign w:val="center"/>
          </w:tcPr>
          <w:p>
            <w:pPr>
              <w:ind w:firstLine="0" w:firstLineChars="0"/>
              <w:jc w:val="center"/>
            </w:pPr>
            <w:r>
              <w:rPr>
                <w:rFonts w:hint="eastAsia"/>
              </w:rPr>
              <w:t>2</w:t>
            </w:r>
          </w:p>
        </w:tc>
      </w:tr>
    </w:tbl>
    <w:p>
      <w:pPr>
        <w:spacing w:line="400" w:lineRule="exact"/>
      </w:pPr>
    </w:p>
    <w:p>
      <w:pPr>
        <w:spacing w:line="400" w:lineRule="exact"/>
      </w:pPr>
    </w:p>
    <w:p>
      <w:pPr>
        <w:numPr>
          <w:ilvl w:val="255"/>
          <w:numId w:val="0"/>
        </w:numPr>
        <w:spacing w:line="400" w:lineRule="exact"/>
        <w:ind w:firstLine="643" w:firstLineChars="200"/>
        <w:outlineLvl w:val="0"/>
        <w:rPr>
          <w:b/>
          <w:bCs/>
          <w:sz w:val="32"/>
          <w:szCs w:val="32"/>
        </w:rPr>
      </w:pPr>
      <w:r>
        <w:rPr>
          <w:rFonts w:hint="eastAsia"/>
          <w:b/>
          <w:bCs/>
          <w:sz w:val="32"/>
          <w:szCs w:val="32"/>
        </w:rPr>
        <w:t>评分标准</w:t>
      </w:r>
    </w:p>
    <w:tbl>
      <w:tblPr>
        <w:tblStyle w:val="12"/>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9"/>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pPr>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leftChars="50" w:firstLine="0" w:firstLineChars="0"/>
            </w:pPr>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pPr>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pPr>
            <w:r>
              <w:rPr>
                <w:rFonts w:hint="eastAsia"/>
              </w:rPr>
              <w:t>商务部分15分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pPr>
            <w:r>
              <w:rPr>
                <w:rFonts w:hint="eastAsia"/>
              </w:rPr>
              <w:t>同类项目</w:t>
            </w:r>
          </w:p>
          <w:p>
            <w:pPr>
              <w:ind w:left="120" w:leftChars="50" w:firstLine="120" w:firstLineChars="50"/>
            </w:pPr>
            <w:r>
              <w:rPr>
                <w:rFonts w:hint="eastAsia"/>
              </w:rPr>
              <w:t>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pPr>
            <w:r>
              <w:rPr>
                <w:rFonts w:hint="eastAsia"/>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根据投标人提供近三年同类业绩进行打分，每有1个业绩得2分，最高得10分。须提供合同复印件，体现合同名称、产品型号以及双方签字盖章页。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pPr>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40" w:firstLineChars="100"/>
            </w:pPr>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w:t>
            </w:r>
            <w:r>
              <w:t>ISO</w:t>
            </w:r>
            <w:r>
              <w:rPr>
                <w:rFonts w:hint="eastAsia"/>
              </w:rPr>
              <w:t>管理体系认证资质证书复印件,提供一个有效期内证书得1分，最高得1分。</w:t>
            </w:r>
          </w:p>
          <w:p>
            <w:r>
              <w:rPr>
                <w:rFonts w:hint="eastAsia"/>
              </w:rPr>
              <w:t>投标人是所投产品的认证代理商并提供原厂商出具的代理商证明材料，每有一个得2分，共4分。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pPr>
            <w:r>
              <w:rPr>
                <w:rFonts w:hint="eastAsia"/>
              </w:rPr>
              <w:t>技术部分</w:t>
            </w:r>
            <w:r>
              <w:t>25</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leftChars="50" w:firstLine="0" w:firstLineChars="0"/>
            </w:pPr>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pPr>
            <w:r>
              <w:rPr>
                <w:rFonts w:hint="eastAsia"/>
              </w:rPr>
              <w:t>25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1.完全满足需求文件“2</w:t>
            </w:r>
            <w:r>
              <w:t>.</w:t>
            </w:r>
            <w:r>
              <w:rPr>
                <w:rFonts w:hint="eastAsia"/>
              </w:rPr>
              <w:t>服务内容”的得满分25分。</w:t>
            </w:r>
          </w:p>
          <w:p>
            <w:r>
              <w:rPr>
                <w:rFonts w:hint="eastAsia"/>
              </w:rPr>
              <w:t>2</w:t>
            </w:r>
            <w:r>
              <w:t>.</w:t>
            </w:r>
            <w:r>
              <w:rPr>
                <w:rFonts w:hint="eastAsia"/>
              </w:rPr>
              <w:t>无标记为一般要求(共计 条)，每条负偏离扣  分。</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pPr>
            <w:r>
              <w:rPr>
                <w:rFonts w:hint="eastAsia"/>
              </w:rPr>
              <w:t>服务部分</w:t>
            </w:r>
            <w:r>
              <w:t>30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pPr>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pPr>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240" w:leftChars="100" w:firstLine="0" w:firstLineChars="0"/>
            </w:pPr>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40" w:firstLineChars="100"/>
            </w:pPr>
            <w:r>
              <w:t>9</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根据需求技术响应情况，对投标人提供的项目团队人员的分工情况和管理架构、责任划分等进行评价，其中：</w:t>
            </w:r>
          </w:p>
          <w:p>
            <w:r>
              <w:rPr>
                <w:rFonts w:hint="eastAsia"/>
              </w:rPr>
              <w:t>1.投标人提供的项目团队的分工情况和管理架构、责任明确、完整、具体，能完全满足或优于招标文件要求，得</w:t>
            </w:r>
            <w:r>
              <w:t>9</w:t>
            </w:r>
            <w:r>
              <w:rPr>
                <w:rFonts w:hint="eastAsia"/>
              </w:rPr>
              <w:t>分；</w:t>
            </w:r>
          </w:p>
          <w:p>
            <w:r>
              <w:rPr>
                <w:rFonts w:hint="eastAsia"/>
              </w:rPr>
              <w:t>2.投标人提供的项目团队的分工情况和管理架构、责任较为明确、完整、具体，基本满足招标文件要求，得</w:t>
            </w:r>
            <w:r>
              <w:t>5</w:t>
            </w:r>
            <w:r>
              <w:rPr>
                <w:rFonts w:hint="eastAsia"/>
              </w:rPr>
              <w:t>分；</w:t>
            </w:r>
          </w:p>
          <w:p>
            <w:r>
              <w:rPr>
                <w:rFonts w:hint="eastAsia"/>
              </w:rPr>
              <w:t>3.未明确项目团队的分工情况和管理架构、责任或项目管理团队的分工情况和管理架构、责任不能满足招标文件要求，得1分。</w:t>
            </w:r>
          </w:p>
          <w:p>
            <w:r>
              <w:rPr>
                <w:rFonts w:hint="eastAsia"/>
              </w:rPr>
              <w:t>4.未提供的得0分。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240" w:leftChars="100" w:firstLine="0" w:firstLineChars="0"/>
            </w:pPr>
            <w:r>
              <w:rPr>
                <w:rFonts w:hint="eastAsia"/>
              </w:rPr>
              <w:t>培训方案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40" w:firstLineChars="100"/>
            </w:pPr>
            <w: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投标人针对本项目的网络安全设备日常维护和常见问题处理方案等内容，制定的详细完整的培训方案。</w:t>
            </w:r>
          </w:p>
          <w:p>
            <w:r>
              <w:rPr>
                <w:rFonts w:hint="eastAsia"/>
              </w:rPr>
              <w:t>1</w:t>
            </w:r>
            <w:r>
              <w:t>.</w:t>
            </w:r>
            <w:r>
              <w:rPr>
                <w:rFonts w:hint="eastAsia"/>
              </w:rPr>
              <w:t>投标人的培训方案完整合理、内容详细，有较强的针对性，有专门的培训材料和计划，得6分；</w:t>
            </w:r>
          </w:p>
          <w:p>
            <w:r>
              <w:rPr>
                <w:rFonts w:hint="eastAsia"/>
              </w:rPr>
              <w:t>2</w:t>
            </w:r>
            <w:r>
              <w:t>.</w:t>
            </w:r>
            <w:r>
              <w:rPr>
                <w:rFonts w:hint="eastAsia"/>
              </w:rPr>
              <w:t>投标人的培训方案较为合理，内容较为详细，有一定的针对性，得3分；</w:t>
            </w:r>
          </w:p>
          <w:p>
            <w:r>
              <w:t>3.</w:t>
            </w:r>
            <w:r>
              <w:rPr>
                <w:rFonts w:hint="eastAsia"/>
              </w:rPr>
              <w:t>投标人的培训方案对属于通用类，非专门针对本项目，不符合实际情况或只是对需求进行简单复制，得</w:t>
            </w:r>
            <w:r>
              <w:t>1</w:t>
            </w:r>
            <w:r>
              <w:rPr>
                <w:rFonts w:hint="eastAsia"/>
              </w:rPr>
              <w:t>分；</w:t>
            </w:r>
          </w:p>
          <w:p>
            <w:r>
              <w:rPr>
                <w:rFonts w:hint="eastAsia"/>
              </w:rPr>
              <w:t>4.未提供的得0分。</w:t>
            </w:r>
          </w:p>
        </w:tc>
      </w:tr>
    </w:tbl>
    <w:p>
      <w:pPr>
        <w:spacing w:line="400" w:lineRule="exact"/>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4832D"/>
    <w:multiLevelType w:val="singleLevel"/>
    <w:tmpl w:val="CE34832D"/>
    <w:lvl w:ilvl="0" w:tentative="0">
      <w:start w:val="1"/>
      <w:numFmt w:val="decimal"/>
      <w:lvlText w:val="%1)"/>
      <w:lvlJc w:val="left"/>
      <w:pPr>
        <w:ind w:left="425" w:hanging="425"/>
      </w:pPr>
      <w:rPr>
        <w:rFonts w:hint="default"/>
      </w:rPr>
    </w:lvl>
  </w:abstractNum>
  <w:abstractNum w:abstractNumId="1">
    <w:nsid w:val="36629D70"/>
    <w:multiLevelType w:val="singleLevel"/>
    <w:tmpl w:val="36629D70"/>
    <w:lvl w:ilvl="0" w:tentative="0">
      <w:start w:val="1"/>
      <w:numFmt w:val="decimal"/>
      <w:suff w:val="space"/>
      <w:lvlText w:val="%1."/>
      <w:lvlJc w:val="left"/>
    </w:lvl>
  </w:abstractNum>
  <w:abstractNum w:abstractNumId="2">
    <w:nsid w:val="373F225D"/>
    <w:multiLevelType w:val="multilevel"/>
    <w:tmpl w:val="373F225D"/>
    <w:lvl w:ilvl="0" w:tentative="0">
      <w:start w:val="1"/>
      <w:numFmt w:val="japaneseCounting"/>
      <w:pStyle w:val="11"/>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F268F9"/>
    <w:rsid w:val="000065D9"/>
    <w:rsid w:val="00020E1C"/>
    <w:rsid w:val="000464DC"/>
    <w:rsid w:val="00051D17"/>
    <w:rsid w:val="00071CA8"/>
    <w:rsid w:val="00076AA2"/>
    <w:rsid w:val="00091F9D"/>
    <w:rsid w:val="000B6DF9"/>
    <w:rsid w:val="000C0698"/>
    <w:rsid w:val="000E4998"/>
    <w:rsid w:val="00125550"/>
    <w:rsid w:val="00127711"/>
    <w:rsid w:val="0013158B"/>
    <w:rsid w:val="00182F94"/>
    <w:rsid w:val="001913C5"/>
    <w:rsid w:val="001C30E0"/>
    <w:rsid w:val="001E4A28"/>
    <w:rsid w:val="002049F0"/>
    <w:rsid w:val="00207CCB"/>
    <w:rsid w:val="002163A2"/>
    <w:rsid w:val="00222EEF"/>
    <w:rsid w:val="002520A4"/>
    <w:rsid w:val="00256F6F"/>
    <w:rsid w:val="00292513"/>
    <w:rsid w:val="002B0646"/>
    <w:rsid w:val="002B0E79"/>
    <w:rsid w:val="002C0ECD"/>
    <w:rsid w:val="002D5A74"/>
    <w:rsid w:val="00315464"/>
    <w:rsid w:val="00391666"/>
    <w:rsid w:val="003A0AF7"/>
    <w:rsid w:val="003C6D1E"/>
    <w:rsid w:val="003D676F"/>
    <w:rsid w:val="003E6CBD"/>
    <w:rsid w:val="00407C70"/>
    <w:rsid w:val="00493BE3"/>
    <w:rsid w:val="0049760D"/>
    <w:rsid w:val="004A5E25"/>
    <w:rsid w:val="004C5B71"/>
    <w:rsid w:val="004C698F"/>
    <w:rsid w:val="004F26B9"/>
    <w:rsid w:val="00507D7D"/>
    <w:rsid w:val="00514B28"/>
    <w:rsid w:val="005235CA"/>
    <w:rsid w:val="005430AF"/>
    <w:rsid w:val="00555F68"/>
    <w:rsid w:val="00572E93"/>
    <w:rsid w:val="005E0908"/>
    <w:rsid w:val="005F0D63"/>
    <w:rsid w:val="005F584E"/>
    <w:rsid w:val="006162A9"/>
    <w:rsid w:val="00625A12"/>
    <w:rsid w:val="006B3134"/>
    <w:rsid w:val="006D4B40"/>
    <w:rsid w:val="006F7BC3"/>
    <w:rsid w:val="00740D39"/>
    <w:rsid w:val="00771646"/>
    <w:rsid w:val="00783A63"/>
    <w:rsid w:val="00790F92"/>
    <w:rsid w:val="007A6138"/>
    <w:rsid w:val="007C1913"/>
    <w:rsid w:val="007E0964"/>
    <w:rsid w:val="00812274"/>
    <w:rsid w:val="00823348"/>
    <w:rsid w:val="00823BBF"/>
    <w:rsid w:val="0088551B"/>
    <w:rsid w:val="008C1BA0"/>
    <w:rsid w:val="008D66DF"/>
    <w:rsid w:val="008F5115"/>
    <w:rsid w:val="009000AB"/>
    <w:rsid w:val="00906E98"/>
    <w:rsid w:val="0091744F"/>
    <w:rsid w:val="00961C83"/>
    <w:rsid w:val="00981BE6"/>
    <w:rsid w:val="009A4091"/>
    <w:rsid w:val="00A22970"/>
    <w:rsid w:val="00A81437"/>
    <w:rsid w:val="00AA00AC"/>
    <w:rsid w:val="00AA31C5"/>
    <w:rsid w:val="00AB6B08"/>
    <w:rsid w:val="00AD3BD4"/>
    <w:rsid w:val="00AE2813"/>
    <w:rsid w:val="00AF0F37"/>
    <w:rsid w:val="00B11C12"/>
    <w:rsid w:val="00B200CD"/>
    <w:rsid w:val="00B22EE4"/>
    <w:rsid w:val="00B9754B"/>
    <w:rsid w:val="00BE5931"/>
    <w:rsid w:val="00BE64D3"/>
    <w:rsid w:val="00C04525"/>
    <w:rsid w:val="00C07539"/>
    <w:rsid w:val="00C26C74"/>
    <w:rsid w:val="00C31D95"/>
    <w:rsid w:val="00C5193D"/>
    <w:rsid w:val="00C77231"/>
    <w:rsid w:val="00C777DD"/>
    <w:rsid w:val="00CB6330"/>
    <w:rsid w:val="00D01882"/>
    <w:rsid w:val="00D3234F"/>
    <w:rsid w:val="00D34228"/>
    <w:rsid w:val="00D449D9"/>
    <w:rsid w:val="00D74CC1"/>
    <w:rsid w:val="00DA26B2"/>
    <w:rsid w:val="00DA4363"/>
    <w:rsid w:val="00DD122B"/>
    <w:rsid w:val="00E00B59"/>
    <w:rsid w:val="00E070F7"/>
    <w:rsid w:val="00E113B7"/>
    <w:rsid w:val="00E1683B"/>
    <w:rsid w:val="00E35513"/>
    <w:rsid w:val="00E36FF6"/>
    <w:rsid w:val="00E37987"/>
    <w:rsid w:val="00E8268A"/>
    <w:rsid w:val="00E84788"/>
    <w:rsid w:val="00E90B35"/>
    <w:rsid w:val="00EC3CC0"/>
    <w:rsid w:val="00EC54A3"/>
    <w:rsid w:val="00EE3334"/>
    <w:rsid w:val="00EE79FD"/>
    <w:rsid w:val="00F15C1F"/>
    <w:rsid w:val="00F32FDD"/>
    <w:rsid w:val="00F652E9"/>
    <w:rsid w:val="00F74D3B"/>
    <w:rsid w:val="00F96E3E"/>
    <w:rsid w:val="00FB43DA"/>
    <w:rsid w:val="00FC4F7D"/>
    <w:rsid w:val="00FD02BF"/>
    <w:rsid w:val="00FD4974"/>
    <w:rsid w:val="00FE65AE"/>
    <w:rsid w:val="03E74682"/>
    <w:rsid w:val="083538BE"/>
    <w:rsid w:val="184E0A26"/>
    <w:rsid w:val="31723C30"/>
    <w:rsid w:val="331C761C"/>
    <w:rsid w:val="3D505C5D"/>
    <w:rsid w:val="459A66E2"/>
    <w:rsid w:val="565E1322"/>
    <w:rsid w:val="64426F0D"/>
    <w:rsid w:val="6F42408E"/>
    <w:rsid w:val="708149E5"/>
    <w:rsid w:val="72F268F9"/>
    <w:rsid w:val="73F31822"/>
    <w:rsid w:val="7517089E"/>
    <w:rsid w:val="EFF5F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24"/>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spacing w:line="240" w:lineRule="auto"/>
      <w:jc w:val="left"/>
    </w:pPr>
    <w:rPr>
      <w:rFonts w:cs="宋体"/>
      <w:kern w:val="0"/>
      <w:sz w:val="18"/>
      <w:szCs w:val="18"/>
      <w:lang w:val="zh-CN" w:bidi="zh-CN"/>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annotation text"/>
    <w:basedOn w:val="1"/>
    <w:qFormat/>
    <w:uiPriority w:val="0"/>
    <w:pPr>
      <w:jc w:val="left"/>
    </w:pPr>
  </w:style>
  <w:style w:type="paragraph" w:styleId="7">
    <w:name w:val="Plain Text"/>
    <w:basedOn w:val="1"/>
    <w:qFormat/>
    <w:uiPriority w:val="0"/>
    <w:rPr>
      <w:rFonts w:hAnsi="Courier New"/>
      <w:szCs w:val="21"/>
    </w:rPr>
  </w:style>
  <w:style w:type="paragraph" w:styleId="8">
    <w:name w:val="footer"/>
    <w:basedOn w:val="1"/>
    <w:link w:val="18"/>
    <w:qFormat/>
    <w:uiPriority w:val="0"/>
    <w:pPr>
      <w:tabs>
        <w:tab w:val="center" w:pos="4153"/>
        <w:tab w:val="right" w:pos="8306"/>
      </w:tabs>
      <w:snapToGrid w:val="0"/>
      <w:spacing w:line="240" w:lineRule="auto"/>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Subtitle"/>
    <w:basedOn w:val="1"/>
    <w:next w:val="1"/>
    <w:qFormat/>
    <w:uiPriority w:val="0"/>
    <w:pPr>
      <w:tabs>
        <w:tab w:val="left" w:pos="600"/>
      </w:tabs>
      <w:ind w:firstLine="200"/>
      <w:outlineLvl w:val="1"/>
    </w:pPr>
    <w:rPr>
      <w:b/>
      <w:sz w:val="28"/>
    </w:rPr>
  </w:style>
  <w:style w:type="paragraph" w:styleId="11">
    <w:name w:val="Title"/>
    <w:basedOn w:val="1"/>
    <w:next w:val="1"/>
    <w:qFormat/>
    <w:uiPriority w:val="0"/>
    <w:pPr>
      <w:numPr>
        <w:ilvl w:val="0"/>
        <w:numId w:val="1"/>
      </w:numPr>
      <w:ind w:left="0" w:firstLine="0" w:firstLineChars="0"/>
      <w:jc w:val="center"/>
      <w:outlineLvl w:val="0"/>
    </w:pPr>
    <w:rPr>
      <w:b/>
      <w:bCs/>
      <w:sz w:val="4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列出段落1"/>
    <w:basedOn w:val="1"/>
    <w:qFormat/>
    <w:uiPriority w:val="34"/>
  </w:style>
  <w:style w:type="character" w:customStyle="1" w:styleId="17">
    <w:name w:val="页眉 字符"/>
    <w:basedOn w:val="14"/>
    <w:link w:val="9"/>
    <w:qFormat/>
    <w:uiPriority w:val="0"/>
    <w:rPr>
      <w:rFonts w:ascii="宋体" w:hAnsi="宋体"/>
      <w:kern w:val="2"/>
      <w:sz w:val="18"/>
      <w:szCs w:val="18"/>
    </w:rPr>
  </w:style>
  <w:style w:type="character" w:customStyle="1" w:styleId="18">
    <w:name w:val="页脚 字符"/>
    <w:basedOn w:val="14"/>
    <w:link w:val="8"/>
    <w:qFormat/>
    <w:uiPriority w:val="0"/>
    <w:rPr>
      <w:rFonts w:ascii="宋体" w:hAnsi="宋体"/>
      <w:kern w:val="2"/>
      <w:sz w:val="18"/>
      <w:szCs w:val="18"/>
    </w:rPr>
  </w:style>
  <w:style w:type="paragraph" w:customStyle="1" w:styleId="19">
    <w:name w:val="列出段落11"/>
    <w:basedOn w:val="1"/>
    <w:qFormat/>
    <w:uiPriority w:val="34"/>
    <w:pPr>
      <w:spacing w:line="240" w:lineRule="auto"/>
      <w:ind w:firstLine="420"/>
    </w:pPr>
    <w:rPr>
      <w:rFonts w:asciiTheme="minorHAnsi" w:hAnsiTheme="minorHAnsi" w:eastAsiaTheme="minorEastAsia" w:cstheme="minorBidi"/>
      <w:sz w:val="21"/>
      <w:szCs w:val="22"/>
    </w:rPr>
  </w:style>
  <w:style w:type="paragraph" w:styleId="20">
    <w:name w:val="List Paragraph"/>
    <w:basedOn w:val="1"/>
    <w:qFormat/>
    <w:uiPriority w:val="99"/>
    <w:pPr>
      <w:ind w:firstLine="420"/>
    </w:pPr>
  </w:style>
  <w:style w:type="paragraph" w:customStyle="1" w:styleId="21">
    <w:name w:val="正文1"/>
    <w:basedOn w:val="1"/>
    <w:qFormat/>
    <w:uiPriority w:val="0"/>
    <w:pPr>
      <w:tabs>
        <w:tab w:val="center" w:pos="1440"/>
        <w:tab w:val="left" w:pos="5720"/>
      </w:tabs>
      <w:suppressAutoHyphens/>
      <w:jc w:val="left"/>
    </w:pPr>
    <w:rPr>
      <w:kern w:val="1"/>
      <w:lang w:eastAsia="ar-SA"/>
    </w:rPr>
  </w:style>
  <w:style w:type="character" w:customStyle="1" w:styleId="22">
    <w:name w:val="font11"/>
    <w:basedOn w:val="14"/>
    <w:qFormat/>
    <w:uiPriority w:val="0"/>
    <w:rPr>
      <w:rFonts w:hint="eastAsia" w:ascii="仿宋" w:hAnsi="仿宋" w:eastAsia="仿宋" w:cs="仿宋"/>
      <w:color w:val="000000"/>
      <w:sz w:val="24"/>
      <w:szCs w:val="24"/>
      <w:u w:val="none"/>
    </w:rPr>
  </w:style>
  <w:style w:type="character" w:customStyle="1" w:styleId="23">
    <w:name w:val="font01"/>
    <w:basedOn w:val="14"/>
    <w:qFormat/>
    <w:uiPriority w:val="0"/>
    <w:rPr>
      <w:rFonts w:ascii="Arial" w:hAnsi="Arial" w:cs="Arial"/>
      <w:color w:val="000000"/>
      <w:sz w:val="24"/>
      <w:szCs w:val="24"/>
      <w:u w:val="none"/>
    </w:rPr>
  </w:style>
  <w:style w:type="character" w:customStyle="1" w:styleId="24">
    <w:name w:val="标题 3 字符"/>
    <w:basedOn w:val="14"/>
    <w:link w:val="5"/>
    <w:semiHidden/>
    <w:qFormat/>
    <w:uiPriority w:val="0"/>
    <w:rPr>
      <w:rFonts w:ascii="宋体" w:hAnsi="宋体" w:eastAsia="宋体"/>
      <w:b/>
      <w:bCs/>
      <w:kern w:val="2"/>
      <w:sz w:val="32"/>
      <w:szCs w:val="32"/>
    </w:rPr>
  </w:style>
  <w:style w:type="paragraph" w:customStyle="1" w:styleId="25">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329</Words>
  <Characters>1881</Characters>
  <Lines>15</Lines>
  <Paragraphs>4</Paragraphs>
  <TotalTime>21</TotalTime>
  <ScaleCrop>false</ScaleCrop>
  <LinksUpToDate>false</LinksUpToDate>
  <CharactersWithSpaces>2206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2025-06-26T01:54:00Z</dcterms:created>
  <dc:creator>admin</dc:creator>
  <cp:lastModifiedBy>张玲玉</cp:lastModifiedBy>
  <dcterms:modified xsi:type="dcterms:W3CDTF">2025-06-27T03:45:04Z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C9B24D998A3D48AE9D7D8D0B72D1C46E</vt:lpwstr>
  </property>
  <property fmtid="{D5CDD505-2E9C-101B-9397-08002B2CF9AE}" pid="4" name="KSOTemplateDocerSaveRecord">
    <vt:lpwstr>eyJoZGlkIjoiNTQyMTA5MzMxMzc4OTA1NWJhZDYyN2RiMTBjZGYxNTkifQ==</vt:lpwstr>
  </property>
</Properties>
</file>