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PET-CT报告打印机设备参数要求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sz w:val="24"/>
          <w:szCs w:val="24"/>
        </w:rPr>
        <w:t>产品功能</w:t>
      </w:r>
      <w:r>
        <w:rPr>
          <w:rFonts w:hint="eastAsia" w:ascii="宋体" w:hAnsi="宋体" w:eastAsia="宋体" w:cs="宋体"/>
          <w:b/>
          <w:bCs/>
          <w:sz w:val="24"/>
          <w:szCs w:val="24"/>
          <w:lang w:val="en-US" w:eastAsia="zh-CN"/>
        </w:rPr>
        <w:t>:</w:t>
      </w:r>
      <w:r>
        <w:rPr>
          <w:rFonts w:hint="eastAsia" w:ascii="宋体" w:hAnsi="宋体" w:eastAsia="宋体" w:cs="宋体"/>
          <w:sz w:val="24"/>
          <w:szCs w:val="24"/>
        </w:rPr>
        <w:t>打印、复印、扫描</w:t>
      </w:r>
    </w:p>
    <w:p>
      <w:pP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rPr>
        <w:t>打印颜色</w:t>
      </w:r>
      <w:r>
        <w:rPr>
          <w:rFonts w:hint="eastAsia" w:ascii="宋体" w:hAnsi="宋体" w:eastAsia="宋体" w:cs="宋体"/>
          <w:b/>
          <w:bCs/>
          <w:sz w:val="24"/>
          <w:szCs w:val="24"/>
          <w:lang w:val="en-US" w:eastAsia="zh-CN"/>
        </w:rPr>
        <w:t>:</w:t>
      </w:r>
      <w:r>
        <w:rPr>
          <w:rFonts w:hint="eastAsia" w:ascii="宋体" w:hAnsi="宋体" w:eastAsia="宋体" w:cs="宋体"/>
          <w:sz w:val="24"/>
          <w:szCs w:val="24"/>
        </w:rPr>
        <w:t>彩色、黑白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b/>
          <w:bCs/>
          <w:sz w:val="24"/>
          <w:szCs w:val="24"/>
        </w:rPr>
        <w:t>打印速度</w:t>
      </w:r>
      <w:r>
        <w:rPr>
          <w:rFonts w:hint="eastAsia" w:ascii="宋体" w:hAnsi="宋体" w:eastAsia="宋体" w:cs="宋体"/>
          <w:b/>
          <w:bCs/>
          <w:sz w:val="24"/>
          <w:szCs w:val="24"/>
          <w:lang w:val="en-US" w:eastAsia="zh-CN"/>
        </w:rPr>
        <w:t>:</w:t>
      </w:r>
      <w:r>
        <w:rPr>
          <w:rFonts w:hint="eastAsia" w:ascii="宋体" w:hAnsi="宋体" w:eastAsia="宋体" w:cs="宋体"/>
          <w:sz w:val="24"/>
          <w:szCs w:val="24"/>
        </w:rPr>
        <w:t>≥25ppm（A4文本）</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b/>
          <w:bCs/>
          <w:sz w:val="24"/>
          <w:szCs w:val="24"/>
        </w:rPr>
        <w:t>打印分辨率</w:t>
      </w:r>
      <w:r>
        <w:rPr>
          <w:rFonts w:hint="eastAsia" w:ascii="宋体" w:hAnsi="宋体" w:eastAsia="宋体" w:cs="宋体"/>
          <w:b/>
          <w:bCs/>
          <w:sz w:val="24"/>
          <w:szCs w:val="24"/>
          <w:lang w:val="en-US" w:eastAsia="zh-CN"/>
        </w:rPr>
        <w:t>:</w:t>
      </w:r>
      <w:r>
        <w:rPr>
          <w:rFonts w:hint="eastAsia" w:ascii="宋体" w:hAnsi="宋体" w:eastAsia="宋体" w:cs="宋体"/>
          <w:sz w:val="24"/>
          <w:szCs w:val="24"/>
        </w:rPr>
        <w:t>≥1200×1200dpi</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b/>
          <w:bCs/>
          <w:sz w:val="24"/>
          <w:szCs w:val="24"/>
        </w:rPr>
        <w:t>首页输出速度</w:t>
      </w:r>
      <w:r>
        <w:rPr>
          <w:rFonts w:hint="eastAsia" w:ascii="宋体" w:hAnsi="宋体" w:eastAsia="宋体" w:cs="宋体"/>
          <w:b/>
          <w:bCs/>
          <w:sz w:val="24"/>
          <w:szCs w:val="24"/>
          <w:lang w:val="en-US" w:eastAsia="zh-CN"/>
        </w:rPr>
        <w:t>:</w:t>
      </w:r>
      <w:r>
        <w:rPr>
          <w:rFonts w:hint="eastAsia" w:ascii="宋体" w:hAnsi="宋体" w:eastAsia="宋体" w:cs="宋体"/>
          <w:sz w:val="24"/>
          <w:szCs w:val="24"/>
        </w:rPr>
        <w:t>≤6秒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b/>
          <w:bCs/>
          <w:sz w:val="24"/>
          <w:szCs w:val="24"/>
        </w:rPr>
        <w:t>纸盒容量</w:t>
      </w:r>
      <w:r>
        <w:rPr>
          <w:rFonts w:hint="eastAsia" w:ascii="宋体" w:hAnsi="宋体" w:eastAsia="宋体" w:cs="宋体"/>
          <w:b/>
          <w:bCs/>
          <w:sz w:val="24"/>
          <w:szCs w:val="24"/>
          <w:lang w:val="en-US" w:eastAsia="zh-CN"/>
        </w:rPr>
        <w:t>:</w:t>
      </w:r>
      <w:r>
        <w:rPr>
          <w:rFonts w:hint="eastAsia" w:ascii="宋体" w:hAnsi="宋体" w:eastAsia="宋体" w:cs="宋体"/>
          <w:sz w:val="24"/>
          <w:szCs w:val="24"/>
        </w:rPr>
        <w:t>标配2个进纸器，其中1个容量≥250页，1个≥150页；同时可选配高容量纸盒。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b/>
          <w:bCs/>
          <w:sz w:val="24"/>
          <w:szCs w:val="24"/>
        </w:rPr>
        <w:t>自动输稿器容量(ADF)</w:t>
      </w:r>
      <w:r>
        <w:rPr>
          <w:rFonts w:hint="eastAsia" w:ascii="宋体" w:hAnsi="宋体" w:eastAsia="宋体" w:cs="宋体"/>
          <w:b/>
          <w:bCs/>
          <w:sz w:val="24"/>
          <w:szCs w:val="24"/>
          <w:lang w:val="en-US" w:eastAsia="zh-CN"/>
        </w:rPr>
        <w:t>:</w:t>
      </w:r>
      <w:r>
        <w:rPr>
          <w:rFonts w:hint="eastAsia" w:ascii="宋体" w:hAnsi="宋体" w:eastAsia="宋体" w:cs="宋体"/>
          <w:sz w:val="24"/>
          <w:szCs w:val="24"/>
        </w:rPr>
        <w:t>≥100页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b/>
          <w:bCs/>
          <w:sz w:val="24"/>
          <w:szCs w:val="24"/>
        </w:rPr>
        <w:t>墨盒容量</w:t>
      </w:r>
      <w:r>
        <w:rPr>
          <w:rFonts w:hint="eastAsia" w:ascii="宋体" w:hAnsi="宋体" w:eastAsia="宋体" w:cs="宋体"/>
          <w:b/>
          <w:bCs/>
          <w:sz w:val="24"/>
          <w:szCs w:val="24"/>
          <w:lang w:val="en-US" w:eastAsia="zh-CN"/>
        </w:rPr>
        <w:t>:</w:t>
      </w:r>
      <w:r>
        <w:rPr>
          <w:rFonts w:hint="eastAsia" w:ascii="宋体" w:hAnsi="宋体" w:eastAsia="宋体" w:cs="宋体"/>
          <w:sz w:val="24"/>
          <w:szCs w:val="24"/>
        </w:rPr>
        <w:t>≥20,000页</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b/>
          <w:bCs/>
          <w:sz w:val="24"/>
          <w:szCs w:val="24"/>
        </w:rPr>
        <w:t>墨盒</w:t>
      </w:r>
      <w:r>
        <w:rPr>
          <w:rFonts w:hint="eastAsia" w:ascii="宋体" w:hAnsi="宋体" w:eastAsia="宋体" w:cs="宋体"/>
          <w:b/>
          <w:bCs/>
          <w:sz w:val="24"/>
          <w:szCs w:val="24"/>
          <w:lang w:eastAsia="zh-CN"/>
        </w:rPr>
        <w:t>颜色</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独立4色</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b/>
          <w:bCs/>
          <w:sz w:val="24"/>
          <w:szCs w:val="24"/>
        </w:rPr>
        <w:t>报告</w:t>
      </w:r>
      <w:r>
        <w:rPr>
          <w:rFonts w:hint="eastAsia" w:ascii="宋体" w:hAnsi="宋体" w:eastAsia="宋体" w:cs="宋体"/>
          <w:b/>
          <w:bCs/>
          <w:sz w:val="24"/>
          <w:szCs w:val="24"/>
          <w:lang w:eastAsia="zh-CN"/>
        </w:rPr>
        <w:t>使用</w:t>
      </w:r>
      <w:r>
        <w:rPr>
          <w:rFonts w:hint="eastAsia" w:ascii="宋体" w:hAnsi="宋体" w:eastAsia="宋体" w:cs="宋体"/>
          <w:b/>
          <w:bCs/>
          <w:sz w:val="24"/>
          <w:szCs w:val="24"/>
        </w:rPr>
        <w:t>纸张要求</w:t>
      </w:r>
      <w:r>
        <w:rPr>
          <w:rFonts w:hint="eastAsia" w:ascii="宋体" w:hAnsi="宋体" w:eastAsia="宋体" w:cs="宋体"/>
          <w:b/>
          <w:bCs/>
          <w:sz w:val="24"/>
          <w:szCs w:val="24"/>
          <w:lang w:val="en-US" w:eastAsia="zh-CN"/>
        </w:rPr>
        <w:t>:</w:t>
      </w:r>
      <w:r>
        <w:rPr>
          <w:rFonts w:hint="eastAsia" w:ascii="宋体" w:hAnsi="宋体" w:eastAsia="宋体" w:cs="宋体"/>
          <w:sz w:val="24"/>
          <w:szCs w:val="24"/>
        </w:rPr>
        <w:t>相纸，表面光滑，亮度高，无毛刺、厚实不透光，A4规格（297mm×210mm）。</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b/>
          <w:bCs/>
          <w:sz w:val="24"/>
          <w:szCs w:val="24"/>
        </w:rPr>
        <w:t>打印要求</w:t>
      </w:r>
      <w:r>
        <w:rPr>
          <w:rFonts w:hint="eastAsia" w:ascii="宋体" w:hAnsi="宋体" w:eastAsia="宋体" w:cs="宋体"/>
          <w:b/>
          <w:bCs/>
          <w:sz w:val="24"/>
          <w:szCs w:val="24"/>
          <w:lang w:val="en-US" w:eastAsia="zh-CN"/>
        </w:rPr>
        <w:t>:</w:t>
      </w:r>
      <w:r>
        <w:rPr>
          <w:rFonts w:hint="eastAsia" w:ascii="宋体" w:hAnsi="宋体" w:eastAsia="宋体" w:cs="宋体"/>
          <w:sz w:val="24"/>
          <w:szCs w:val="24"/>
        </w:rPr>
        <w:t>除普通纸外，必须支持相纸、厚纸及光泽纸打印；打印图像稳定性高，抗光、抗热，长久保存不变色</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b/>
          <w:bCs/>
          <w:sz w:val="24"/>
          <w:szCs w:val="24"/>
        </w:rPr>
        <w:t>自动双面</w:t>
      </w:r>
      <w:r>
        <w:rPr>
          <w:rFonts w:hint="eastAsia" w:ascii="宋体" w:hAnsi="宋体" w:eastAsia="宋体" w:cs="宋体"/>
          <w:b/>
          <w:bCs/>
          <w:sz w:val="24"/>
          <w:szCs w:val="24"/>
          <w:lang w:val="en-US" w:eastAsia="zh-CN"/>
        </w:rPr>
        <w:t>:</w:t>
      </w:r>
      <w:r>
        <w:rPr>
          <w:rFonts w:hint="eastAsia" w:ascii="宋体" w:hAnsi="宋体" w:eastAsia="宋体" w:cs="宋体"/>
          <w:sz w:val="24"/>
          <w:szCs w:val="24"/>
        </w:rPr>
        <w:t>打印</w:t>
      </w:r>
      <w:r>
        <w:rPr>
          <w:rFonts w:hint="eastAsia" w:ascii="宋体" w:hAnsi="宋体" w:eastAsia="宋体" w:cs="宋体"/>
          <w:sz w:val="24"/>
          <w:szCs w:val="24"/>
          <w:lang w:eastAsia="zh-CN"/>
        </w:rPr>
        <w:t>、</w:t>
      </w:r>
      <w:r>
        <w:rPr>
          <w:rFonts w:hint="eastAsia" w:ascii="宋体" w:hAnsi="宋体" w:eastAsia="宋体" w:cs="宋体"/>
          <w:sz w:val="24"/>
          <w:szCs w:val="24"/>
        </w:rPr>
        <w:t>复印</w:t>
      </w:r>
      <w:r>
        <w:rPr>
          <w:rFonts w:hint="eastAsia" w:ascii="宋体" w:hAnsi="宋体" w:eastAsia="宋体" w:cs="宋体"/>
          <w:sz w:val="24"/>
          <w:szCs w:val="24"/>
          <w:lang w:eastAsia="zh-CN"/>
        </w:rPr>
        <w:t>、</w:t>
      </w:r>
      <w:r>
        <w:rPr>
          <w:rFonts w:hint="eastAsia" w:ascii="宋体" w:hAnsi="宋体" w:eastAsia="宋体" w:cs="宋体"/>
          <w:sz w:val="24"/>
          <w:szCs w:val="24"/>
        </w:rPr>
        <w:t>扫描</w:t>
      </w:r>
      <w:r>
        <w:rPr>
          <w:rFonts w:hint="eastAsia" w:ascii="宋体" w:hAnsi="宋体" w:eastAsia="宋体" w:cs="宋体"/>
          <w:sz w:val="24"/>
          <w:szCs w:val="24"/>
          <w:lang w:eastAsia="zh-CN"/>
        </w:rPr>
        <w:t>均</w:t>
      </w:r>
      <w:r>
        <w:rPr>
          <w:rFonts w:hint="eastAsia" w:ascii="宋体" w:hAnsi="宋体" w:eastAsia="宋体" w:cs="宋体"/>
          <w:sz w:val="24"/>
          <w:szCs w:val="24"/>
        </w:rPr>
        <w:t>支持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b/>
          <w:bCs/>
          <w:sz w:val="24"/>
          <w:szCs w:val="24"/>
        </w:rPr>
        <w:t>扫描分辨率</w:t>
      </w:r>
      <w:r>
        <w:rPr>
          <w:rFonts w:hint="eastAsia" w:ascii="宋体" w:hAnsi="宋体" w:eastAsia="宋体" w:cs="宋体"/>
          <w:b/>
          <w:bCs/>
          <w:sz w:val="24"/>
          <w:szCs w:val="24"/>
          <w:lang w:val="en-US" w:eastAsia="zh-CN"/>
        </w:rPr>
        <w:t>:</w:t>
      </w:r>
      <w:r>
        <w:rPr>
          <w:rFonts w:hint="eastAsia" w:ascii="宋体" w:hAnsi="宋体" w:eastAsia="宋体" w:cs="宋体"/>
          <w:sz w:val="24"/>
          <w:szCs w:val="24"/>
        </w:rPr>
        <w:t>≥600×600dpi</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b/>
          <w:bCs/>
          <w:sz w:val="24"/>
          <w:szCs w:val="24"/>
        </w:rPr>
        <w:t>扫描终端</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支持</w:t>
      </w:r>
      <w:r>
        <w:rPr>
          <w:rFonts w:hint="eastAsia" w:ascii="宋体" w:hAnsi="宋体" w:eastAsia="宋体" w:cs="宋体"/>
          <w:sz w:val="24"/>
          <w:szCs w:val="24"/>
        </w:rPr>
        <w:t>扫描到E-mail、FTP、网络文件夹、桌面、USB存储器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b/>
          <w:bCs/>
          <w:sz w:val="24"/>
          <w:szCs w:val="24"/>
        </w:rPr>
        <w:t>最高月负荷</w:t>
      </w:r>
      <w:r>
        <w:rPr>
          <w:rFonts w:hint="eastAsia" w:ascii="宋体" w:hAnsi="宋体" w:eastAsia="宋体" w:cs="宋体"/>
          <w:b/>
          <w:bCs/>
          <w:sz w:val="24"/>
          <w:szCs w:val="24"/>
          <w:lang w:val="en-US" w:eastAsia="zh-CN"/>
        </w:rPr>
        <w:t>:</w:t>
      </w:r>
      <w:r>
        <w:rPr>
          <w:rFonts w:hint="eastAsia" w:ascii="宋体" w:hAnsi="宋体" w:eastAsia="宋体" w:cs="宋体"/>
          <w:sz w:val="24"/>
          <w:szCs w:val="24"/>
        </w:rPr>
        <w:t>连续打印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b/>
          <w:bCs/>
          <w:sz w:val="24"/>
          <w:szCs w:val="24"/>
        </w:rPr>
        <w:t>网络打印</w:t>
      </w:r>
      <w:r>
        <w:rPr>
          <w:rFonts w:hint="eastAsia" w:ascii="宋体" w:hAnsi="宋体" w:eastAsia="宋体" w:cs="宋体"/>
          <w:b/>
          <w:bCs/>
          <w:sz w:val="24"/>
          <w:szCs w:val="24"/>
          <w:lang w:val="en-US" w:eastAsia="zh-CN"/>
        </w:rPr>
        <w:t>:</w:t>
      </w:r>
      <w:r>
        <w:rPr>
          <w:rFonts w:hint="eastAsia" w:ascii="宋体" w:hAnsi="宋体" w:eastAsia="宋体" w:cs="宋体"/>
          <w:sz w:val="24"/>
          <w:szCs w:val="24"/>
        </w:rPr>
        <w:t>支持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b/>
          <w:bCs/>
          <w:sz w:val="24"/>
          <w:szCs w:val="24"/>
        </w:rPr>
        <w:t>★接口</w:t>
      </w:r>
      <w:r>
        <w:rPr>
          <w:rFonts w:hint="eastAsia" w:ascii="宋体" w:hAnsi="宋体" w:eastAsia="宋体" w:cs="宋体"/>
          <w:b/>
          <w:bCs/>
          <w:sz w:val="24"/>
          <w:szCs w:val="24"/>
          <w:lang w:val="en-US" w:eastAsia="zh-CN"/>
        </w:rPr>
        <w:t>:</w:t>
      </w:r>
      <w:r>
        <w:rPr>
          <w:rFonts w:hint="eastAsia" w:ascii="宋体" w:hAnsi="宋体" w:eastAsia="宋体" w:cs="宋体"/>
          <w:sz w:val="24"/>
          <w:szCs w:val="24"/>
        </w:rPr>
        <w:t>高速USB，1000BASE-T/100BASE-TX/10BASE-T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b/>
          <w:bCs/>
          <w:sz w:val="24"/>
          <w:szCs w:val="24"/>
        </w:rPr>
        <w:t>驱动支持的操作系统</w:t>
      </w:r>
      <w:r>
        <w:rPr>
          <w:rFonts w:hint="eastAsia" w:ascii="宋体" w:hAnsi="宋体" w:eastAsia="宋体" w:cs="宋体"/>
          <w:b/>
          <w:bCs/>
          <w:sz w:val="24"/>
          <w:szCs w:val="24"/>
          <w:lang w:val="en-US" w:eastAsia="zh-CN"/>
        </w:rPr>
        <w:t>:</w:t>
      </w:r>
      <w:r>
        <w:rPr>
          <w:rFonts w:hint="eastAsia" w:ascii="宋体" w:hAnsi="宋体" w:eastAsia="宋体" w:cs="宋体"/>
          <w:sz w:val="24"/>
          <w:szCs w:val="24"/>
        </w:rPr>
        <w:t xml:space="preserve">Windows </w:t>
      </w:r>
      <w:r>
        <w:rPr>
          <w:rFonts w:hint="eastAsia" w:ascii="宋体" w:hAnsi="宋体" w:eastAsia="宋体" w:cs="宋体"/>
          <w:sz w:val="24"/>
          <w:szCs w:val="24"/>
          <w:lang w:val="en-US" w:eastAsia="zh-CN"/>
        </w:rPr>
        <w:t>11</w:t>
      </w:r>
      <w:r>
        <w:rPr>
          <w:rFonts w:hint="eastAsia" w:ascii="宋体" w:hAnsi="宋体" w:eastAsia="宋体" w:cs="宋体"/>
          <w:sz w:val="24"/>
          <w:szCs w:val="24"/>
        </w:rPr>
        <w:t>/10/8.1/8/7（32-bit，64-bit）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b/>
          <w:bCs/>
          <w:sz w:val="24"/>
          <w:szCs w:val="24"/>
        </w:rPr>
        <w:t>远程运维软件</w:t>
      </w:r>
      <w:r>
        <w:rPr>
          <w:rFonts w:hint="eastAsia" w:ascii="宋体" w:hAnsi="宋体" w:eastAsia="宋体" w:cs="宋体"/>
          <w:b/>
          <w:bCs/>
          <w:sz w:val="24"/>
          <w:szCs w:val="24"/>
          <w:lang w:val="en-US" w:eastAsia="zh-CN"/>
        </w:rPr>
        <w:t>:</w:t>
      </w:r>
      <w:r>
        <w:rPr>
          <w:rFonts w:hint="eastAsia" w:ascii="宋体" w:hAnsi="宋体" w:eastAsia="宋体" w:cs="宋体"/>
          <w:sz w:val="24"/>
          <w:szCs w:val="24"/>
        </w:rPr>
        <w:t>必须提供</w:t>
      </w:r>
      <w:r>
        <w:rPr>
          <w:rFonts w:hint="eastAsia" w:ascii="宋体" w:hAnsi="宋体" w:eastAsia="宋体" w:cs="宋体"/>
          <w:sz w:val="24"/>
          <w:szCs w:val="24"/>
          <w:lang w:val="en-US" w:eastAsia="zh-CN"/>
        </w:rPr>
        <w:t>,</w:t>
      </w:r>
      <w:r>
        <w:rPr>
          <w:rFonts w:hint="eastAsia" w:ascii="宋体" w:hAnsi="宋体" w:eastAsia="宋体" w:cs="宋体"/>
          <w:sz w:val="24"/>
          <w:szCs w:val="24"/>
        </w:rPr>
        <w:t>支持远程管理、配置设备，查看设备信息及状态，使用页计数，自动获取耗材使用状况，故障识别与预警提示</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b/>
          <w:bCs/>
          <w:sz w:val="24"/>
          <w:szCs w:val="24"/>
        </w:rPr>
        <w:t>驱动远程下发</w:t>
      </w:r>
      <w:r>
        <w:rPr>
          <w:rFonts w:hint="eastAsia" w:ascii="宋体" w:hAnsi="宋体" w:eastAsia="宋体" w:cs="宋体"/>
          <w:b/>
          <w:bCs/>
          <w:sz w:val="24"/>
          <w:szCs w:val="24"/>
          <w:lang w:val="en-US" w:eastAsia="zh-CN"/>
        </w:rPr>
        <w:t>:</w:t>
      </w:r>
      <w:r>
        <w:rPr>
          <w:rFonts w:hint="eastAsia" w:ascii="宋体" w:hAnsi="宋体" w:eastAsia="宋体" w:cs="宋体"/>
          <w:sz w:val="24"/>
          <w:szCs w:val="24"/>
        </w:rPr>
        <w:t>支持</w:t>
      </w:r>
    </w:p>
    <w:p>
      <w:pPr>
        <w:spacing w:line="360" w:lineRule="auto"/>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PET-CT报告打印机</w:t>
      </w:r>
      <w:r>
        <w:rPr>
          <w:rFonts w:hint="eastAsia" w:ascii="宋体" w:hAnsi="宋体" w:eastAsia="宋体" w:cs="宋体"/>
          <w:b/>
          <w:bCs/>
          <w:sz w:val="24"/>
          <w:szCs w:val="24"/>
          <w:lang w:val="en-US" w:eastAsia="zh-CN"/>
        </w:rPr>
        <w:t>厂商服务</w:t>
      </w:r>
      <w:r>
        <w:rPr>
          <w:rFonts w:hint="eastAsia" w:ascii="宋体" w:hAnsi="宋体" w:eastAsia="宋体" w:cs="宋体"/>
          <w:b/>
          <w:bCs/>
          <w:sz w:val="24"/>
          <w:szCs w:val="24"/>
        </w:rPr>
        <w:t>要求</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设备提供</w:t>
      </w:r>
      <w:r>
        <w:rPr>
          <w:rFonts w:hint="eastAsia" w:ascii="宋体" w:hAnsi="宋体" w:eastAsia="宋体" w:cs="宋体"/>
          <w:b/>
          <w:bCs/>
          <w:sz w:val="24"/>
          <w:szCs w:val="24"/>
          <w:lang w:val="en-US" w:eastAsia="zh-CN"/>
        </w:rPr>
        <w:t>:</w:t>
      </w:r>
      <w:r>
        <w:rPr>
          <w:rFonts w:hint="eastAsia" w:ascii="宋体" w:hAnsi="宋体" w:eastAsia="宋体" w:cs="宋体"/>
          <w:sz w:val="24"/>
          <w:szCs w:val="24"/>
        </w:rPr>
        <w:t>厂商提供符合要求的设备，保障使用部门业务需求。同时提供1台备机，以保障现场业务连续。</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装订耗材支持</w:t>
      </w:r>
      <w:r>
        <w:rPr>
          <w:rFonts w:hint="eastAsia" w:ascii="宋体" w:hAnsi="宋体" w:eastAsia="宋体" w:cs="宋体"/>
          <w:b/>
          <w:bCs/>
          <w:sz w:val="24"/>
          <w:szCs w:val="24"/>
          <w:lang w:val="en-US" w:eastAsia="zh-CN"/>
        </w:rPr>
        <w:t>:</w:t>
      </w:r>
      <w:r>
        <w:rPr>
          <w:rFonts w:hint="eastAsia" w:ascii="宋体" w:hAnsi="宋体" w:eastAsia="宋体" w:cs="宋体"/>
          <w:sz w:val="24"/>
          <w:szCs w:val="24"/>
        </w:rPr>
        <w:t>厂商提供符合要求的材料，满足科室检查报告装订成册需求。</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运维服务</w:t>
      </w:r>
      <w:r>
        <w:rPr>
          <w:rFonts w:hint="eastAsia" w:ascii="宋体" w:hAnsi="宋体" w:eastAsia="宋体" w:cs="宋体"/>
          <w:b/>
          <w:bCs/>
          <w:sz w:val="24"/>
          <w:szCs w:val="24"/>
          <w:lang w:val="en-US" w:eastAsia="zh-CN"/>
        </w:rPr>
        <w:t>:</w:t>
      </w:r>
      <w:r>
        <w:rPr>
          <w:rFonts w:hint="eastAsia" w:ascii="宋体" w:hAnsi="宋体" w:eastAsia="宋体" w:cs="宋体"/>
          <w:sz w:val="24"/>
          <w:szCs w:val="24"/>
        </w:rPr>
        <w:t>厂商须提供原装耗材及配件，并委派1名驻场工程师，负责设备安装配置，维保，耗材更换以及使用技术支持，保证设备正常运行。主设备故障24小时内无法修复需提供同型号备用机。</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定期维保</w:t>
      </w:r>
      <w:r>
        <w:rPr>
          <w:rFonts w:hint="eastAsia" w:ascii="宋体" w:hAnsi="宋体" w:eastAsia="宋体" w:cs="宋体"/>
          <w:b/>
          <w:bCs/>
          <w:sz w:val="24"/>
          <w:szCs w:val="24"/>
          <w:lang w:val="en-US" w:eastAsia="zh-CN"/>
        </w:rPr>
        <w:t>:</w:t>
      </w:r>
      <w:r>
        <w:rPr>
          <w:rFonts w:hint="eastAsia" w:ascii="宋体" w:hAnsi="宋体" w:eastAsia="宋体" w:cs="宋体"/>
          <w:sz w:val="24"/>
          <w:szCs w:val="24"/>
        </w:rPr>
        <w:t>每月定期一次维保服务，检查设备运行及耗材状态，及时更新补充各类所需耗材，保证设备运行及报告打印、装订业务连续。</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费用报销</w:t>
      </w:r>
      <w:r>
        <w:rPr>
          <w:rFonts w:hint="eastAsia" w:ascii="宋体" w:hAnsi="宋体" w:eastAsia="宋体" w:cs="宋体"/>
          <w:b/>
          <w:bCs/>
          <w:sz w:val="24"/>
          <w:szCs w:val="24"/>
          <w:lang w:val="en-US" w:eastAsia="zh-CN"/>
        </w:rPr>
        <w:t>:</w:t>
      </w:r>
      <w:r>
        <w:rPr>
          <w:rFonts w:hint="eastAsia" w:ascii="宋体" w:hAnsi="宋体" w:eastAsia="宋体" w:cs="宋体"/>
          <w:sz w:val="24"/>
          <w:szCs w:val="24"/>
        </w:rPr>
        <w:t>需提供本院会计部门认可的正式发票及验证，采用先使用后付费方式结算，院方按月支付租赁费及印张费（以实际印量为准）。</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项目评分标准：</w:t>
      </w:r>
    </w:p>
    <w:tbl>
      <w:tblPr>
        <w:tblStyle w:val="2"/>
        <w:tblW w:w="8919" w:type="dxa"/>
        <w:tblInd w:w="93" w:type="dxa"/>
        <w:tblLayout w:type="autofit"/>
        <w:tblCellMar>
          <w:top w:w="0" w:type="dxa"/>
          <w:left w:w="108" w:type="dxa"/>
          <w:bottom w:w="0" w:type="dxa"/>
          <w:right w:w="108" w:type="dxa"/>
        </w:tblCellMar>
      </w:tblPr>
      <w:tblGrid>
        <w:gridCol w:w="1278"/>
        <w:gridCol w:w="1761"/>
        <w:gridCol w:w="678"/>
        <w:gridCol w:w="5202"/>
      </w:tblGrid>
      <w:tr>
        <w:tblPrEx>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评分因素分项</w:t>
            </w:r>
          </w:p>
        </w:tc>
      </w:tr>
      <w:tr>
        <w:tblPrEx>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价格部分20分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评标价格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满足遴选文件要求且投标价格最低的投标报价为评标基准价，其价格分为满分。其他投标人的价格分统一按照下列公式计算：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投标报价得分＝（评标基准价/投标报价）×20</w:t>
            </w:r>
          </w:p>
        </w:tc>
      </w:tr>
      <w:tr>
        <w:tblPrEx>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同类项目业绩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根据投标人提供近三年同类业绩进行打分，每有1个得2分，最高得10分。</w:t>
            </w:r>
          </w:p>
        </w:tc>
      </w:tr>
      <w:tr>
        <w:tblPrEx>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资质认证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资质认证：根据不同服务作业类型提供相应要求的资质证书复印件,每提供一个有效期内证书得1分，满分5分。</w:t>
            </w:r>
          </w:p>
        </w:tc>
      </w:tr>
      <w:tr>
        <w:tblPrEx>
          <w:tblCellMar>
            <w:top w:w="0" w:type="dxa"/>
            <w:left w:w="108" w:type="dxa"/>
            <w:bottom w:w="0" w:type="dxa"/>
            <w:right w:w="108" w:type="dxa"/>
          </w:tblCellMar>
        </w:tblPrEx>
        <w:trPr>
          <w:trHeight w:val="264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技术部分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需求响应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综合考虑投标文件对需求文件“</w:t>
            </w:r>
            <w:r>
              <w:rPr>
                <w:rFonts w:hint="eastAsia" w:ascii="宋体" w:hAnsi="宋体" w:eastAsia="宋体" w:cs="宋体"/>
                <w:b/>
                <w:bCs/>
                <w:color w:val="000000"/>
                <w:kern w:val="0"/>
                <w:sz w:val="24"/>
                <w:szCs w:val="24"/>
              </w:rPr>
              <w:t>PET-CT报告打印机设备参数要求</w:t>
            </w:r>
            <w:r>
              <w:rPr>
                <w:rFonts w:hint="eastAsia" w:ascii="宋体" w:hAnsi="宋体" w:eastAsia="宋体" w:cs="宋体"/>
                <w:color w:val="000000"/>
                <w:kern w:val="0"/>
                <w:sz w:val="24"/>
                <w:szCs w:val="24"/>
              </w:rPr>
              <w:t>”的响应情况:</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（1）全部参数满足或高于技术服务要求的，得满分；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（2）需求文件中，带“★”号标记的条款(其计</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 xml:space="preserve">条)为实质性要求，若不满足则投标无效； </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）需求文件中，一般要求(共计1</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条)负偏离扣</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分，最低扣至0分；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bookmarkStart w:id="0" w:name="_GoBack"/>
            <w:bookmarkEnd w:id="0"/>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1）投标人需在技术规格偏离表中对“</w:t>
            </w:r>
            <w:r>
              <w:rPr>
                <w:rFonts w:hint="eastAsia" w:ascii="宋体" w:hAnsi="宋体" w:eastAsia="宋体" w:cs="宋体"/>
                <w:b/>
                <w:bCs/>
                <w:color w:val="000000"/>
                <w:kern w:val="0"/>
                <w:sz w:val="24"/>
                <w:szCs w:val="24"/>
              </w:rPr>
              <w:t>PET-CT报告打印机设备参数要求</w:t>
            </w:r>
            <w:r>
              <w:rPr>
                <w:rFonts w:hint="eastAsia" w:ascii="宋体" w:hAnsi="宋体" w:eastAsia="宋体" w:cs="宋体"/>
                <w:color w:val="000000"/>
                <w:kern w:val="0"/>
                <w:sz w:val="24"/>
                <w:szCs w:val="24"/>
              </w:rPr>
              <w:t>”的所有内容进行点对点应答，必须在引用需求文件的基础上,进行逐条逐项答复、说明或解释，否则视为不满足要求。漏报技术条款视为负偏离。</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带“★”号标记的条款需提供证明材料，证明材料可以使用生产厂家官方网站截图或公开发行的宣传彩页或第三方机构检验报告复印件并加盖投标人公章。未提供有效证明材料或证明材料中内容与所填报指标不一致的，该指标按不满足处理。指标本身有要求的，以指标要求为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3）为方便评标，要求提供证明文件的，投标人需在偏离表最后一列“说明”中写明相关证明文件的对应页码。</w:t>
            </w:r>
          </w:p>
        </w:tc>
      </w:tr>
      <w:tr>
        <w:tblPrEx>
          <w:tblCellMar>
            <w:top w:w="0" w:type="dxa"/>
            <w:left w:w="108" w:type="dxa"/>
            <w:bottom w:w="0" w:type="dxa"/>
            <w:right w:w="108" w:type="dxa"/>
          </w:tblCellMar>
        </w:tblPrEx>
        <w:trPr>
          <w:trHeight w:val="442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服务部分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实施方案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eastAsia="宋体" w:cs="宋体"/>
                <w:sz w:val="24"/>
                <w:szCs w:val="28"/>
              </w:rPr>
            </w:pPr>
            <w:r>
              <w:rPr>
                <w:rFonts w:hint="eastAsia" w:ascii="Calibri" w:hAnsi="Calibri" w:eastAsia="宋体" w:cs="宋体"/>
                <w:sz w:val="24"/>
                <w:szCs w:val="28"/>
              </w:rPr>
              <w:t>1.对本项目服务过程中的风险能够进行及时、准确预测，并具有成熟、合理、适合本项目的质量保障机制的，对服务过程中可能出现的紧急事件具备完善的应急处置预案；提供详细的维保服务方案（包括上门更新耗材、报修响应时间、维保服务负责人等情况)，能够结合使用特征，提出全面详细的售后方案，针对性强，可行性高；响应时间客观且及时，负责人明确且具备丰富类似工作经验，得35分；</w:t>
            </w:r>
          </w:p>
          <w:p>
            <w:pPr>
              <w:widowControl/>
              <w:jc w:val="left"/>
              <w:textAlignment w:val="center"/>
              <w:rPr>
                <w:rFonts w:ascii="Calibri" w:hAnsi="Calibri" w:eastAsia="宋体" w:cs="宋体"/>
                <w:sz w:val="24"/>
                <w:szCs w:val="28"/>
              </w:rPr>
            </w:pPr>
            <w:r>
              <w:rPr>
                <w:rFonts w:hint="eastAsia" w:ascii="Calibri" w:hAnsi="Calibri" w:eastAsia="宋体" w:cs="宋体"/>
                <w:sz w:val="24"/>
                <w:szCs w:val="28"/>
              </w:rPr>
              <w:t>2.对于本项目的服务风险有较好的预测，并具有较好的质量保障机制，应急处置方案比较合理完善，有一定的可操作性，但存在内容脱离了实际情况不具备实施的可能性或套用其他项目方案；能够基本结合使用特征，提出较为全面的维保方案，有一定针对性，可行性较高；响应时间基本客观合理，负责人明确且具备类似工作经验，得25分；</w:t>
            </w:r>
          </w:p>
          <w:p>
            <w:pPr>
              <w:widowControl/>
              <w:jc w:val="left"/>
              <w:textAlignment w:val="center"/>
              <w:rPr>
                <w:rFonts w:ascii="Calibri" w:hAnsi="Calibri" w:eastAsia="宋体" w:cs="宋体"/>
                <w:sz w:val="24"/>
                <w:szCs w:val="28"/>
              </w:rPr>
            </w:pPr>
            <w:r>
              <w:rPr>
                <w:rFonts w:hint="eastAsia" w:ascii="Calibri" w:hAnsi="Calibri" w:eastAsia="宋体" w:cs="宋体"/>
                <w:sz w:val="24"/>
                <w:szCs w:val="28"/>
              </w:rPr>
              <w:t>3.对于本项目的服务风险预测一般，质量保障机制一般，应急处置方案不合理；能够结合部分使用特征，提出有一定针对性的售后方案，具备可行性；响应时间基本客观合理，负责人明确，得15分；</w:t>
            </w:r>
          </w:p>
          <w:p>
            <w:pPr>
              <w:widowControl/>
              <w:jc w:val="left"/>
              <w:textAlignment w:val="center"/>
              <w:rPr>
                <w:rFonts w:ascii="Calibri" w:hAnsi="Calibri" w:eastAsia="宋体" w:cs="宋体"/>
                <w:sz w:val="24"/>
                <w:szCs w:val="28"/>
              </w:rPr>
            </w:pPr>
            <w:r>
              <w:rPr>
                <w:rFonts w:hint="eastAsia" w:ascii="Calibri" w:hAnsi="Calibri" w:eastAsia="宋体" w:cs="宋体"/>
                <w:sz w:val="24"/>
                <w:szCs w:val="28"/>
              </w:rPr>
              <w:t>4.不能基本结合使用特征，或方案有遗漏，较为简略，可行性较弱；响应时间基本合理，负责人明确，得10分；</w:t>
            </w:r>
          </w:p>
          <w:p>
            <w:pPr>
              <w:widowControl/>
              <w:jc w:val="left"/>
              <w:textAlignment w:val="center"/>
              <w:rPr>
                <w:rFonts w:hint="eastAsia" w:ascii="宋体" w:hAnsi="宋体" w:eastAsia="宋体" w:cs="宋体"/>
                <w:color w:val="000000"/>
                <w:sz w:val="24"/>
                <w:szCs w:val="24"/>
              </w:rPr>
            </w:pPr>
            <w:r>
              <w:rPr>
                <w:rFonts w:hint="eastAsia" w:ascii="Calibri" w:hAnsi="Calibri" w:eastAsia="宋体" w:cs="宋体"/>
                <w:sz w:val="24"/>
                <w:szCs w:val="28"/>
              </w:rPr>
              <w:t>5.未提供具体服务方案的不得分。</w:t>
            </w:r>
          </w:p>
        </w:tc>
      </w:tr>
    </w:tbl>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44877"/>
    <w:rsid w:val="00A434FA"/>
    <w:rsid w:val="2B8D31A0"/>
    <w:rsid w:val="34996381"/>
    <w:rsid w:val="3CD36812"/>
    <w:rsid w:val="3F201139"/>
    <w:rsid w:val="45444877"/>
    <w:rsid w:val="46077070"/>
    <w:rsid w:val="4D502B9E"/>
    <w:rsid w:val="6B0D193D"/>
    <w:rsid w:val="6FD363FB"/>
    <w:rsid w:val="75251F1B"/>
    <w:rsid w:val="792C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706</Words>
  <Characters>867</Characters>
  <Lines>0</Lines>
  <Paragraphs>0</Paragraphs>
  <TotalTime>0</TotalTime>
  <ScaleCrop>false</ScaleCrop>
  <LinksUpToDate>false</LinksUpToDate>
  <CharactersWithSpaces>868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2025-06-10T02:26:00Z</dcterms:created>
  <dc:creator>郭晓东</dc:creator>
  <cp:lastModifiedBy>张玲玉</cp:lastModifiedBy>
  <dcterms:modified xsi:type="dcterms:W3CDTF">2025-07-02T07:35:08Z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EF1EEE6D6A39402D82AC03EE5A2D8B01</vt:lpwstr>
  </property>
  <property fmtid="{D5CDD505-2E9C-101B-9397-08002B2CF9AE}" pid="4" name="KSOTemplateDocerSaveRecord">
    <vt:lpwstr>eyJoZGlkIjoiMTk2OWU3MmFjMTE2YmVkOTdhZjNkZTExZGFhYTlhYWUifQ==</vt:lpwstr>
  </property>
</Properties>
</file>