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工程名称：5号楼B1-4F常闭防火门改造工程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bookmarkStart w:id="1" w:name="_GoBack"/>
      <w:bookmarkEnd w:id="1"/>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《建筑工程施工质量验收统一标准》(GB50300-2013)</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《建筑设计防火规范》（2018年版）（GB50016-2014）</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《建筑防火通用规范》 （GB55037-2022）</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《综合医院建筑设计标准》（GB51039-2014）</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《建筑内部装修设计防火规范》（GB 50222-2017）</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《建筑装饰装修工程质量验收标准》（GB50210-2018）</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《医院建筑室内装饰装修技术规程》（T/CBDA 52-2021）</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《民用建筑工程室内环境污染控制规范》（GB 50325-2020）</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《建筑给水排水设计标准》（GB 50015-2019）</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《建筑给水排水与节水通用规范》（GB 55020-2021）</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《建筑给水排水及采暖工程施工质量验收规范》（GB 50242-2002）</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《给水排水管道工程施工及验收规范》(GB 50268-2008)</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《建筑环境通用规范》（GB 55016-2022）</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《民用建筑供暖通风与空气调节设计规范》（GB 50736-2012）</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《通风与空调工程施工质量验收规范》（GB 50243-2016）</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《民用建筑电气设计标准》（GB 51348-2019）</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《医疗建筑电气设计规范》（JGJ 312-2013）</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《建筑电气工程施工质量验收规范》（GB 50303-2015）</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《医用气体工程技术规范》GB 50751-2012</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《消防设施通用规范》(GB 55036-2022)</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《消防给水及消火栓系统技术规范》(GB 50974-2014)</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《自动喷水灭火系统施工及验收规范》(GB 50261-2017)</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《火灾自动报警系统设计规范》(GB 50116-2013)</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《火灾自动报警系统施工及验收标准》(GB50166-2019)</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《建筑防烟排烟系统技术标准》（GB 51251-2017）</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《建筑施工安全检查标准》(JGJ59-2011)</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《建设工程施工现场消防安全技术规范》（GB 50720-2011）</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《施工现场临时用电安全技术规范》（JGJ 46-2005）</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《建筑施工高处作业安全技术规范》（JGJ 80-2016）</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《建筑机械使用安全技术规程》(JGJ33-2012)</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《建设工程施工现场供用电安全规范》（GB 50194-2014）</w:t>
      </w:r>
    </w:p>
    <w:p>
      <w:pPr>
        <w:pStyle w:val="167"/>
        <w:spacing w:line="24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《建筑拆除工程安全技术规范》（JGJ 147-2016）</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tabs>
          <w:tab w:val="left" w:pos="1462"/>
        </w:tabs>
        <w:bidi w:val="0"/>
        <w:spacing w:line="360" w:lineRule="auto"/>
        <w:jc w:val="left"/>
        <w:rPr>
          <w:rFonts w:hint="eastAsia" w:ascii="幼圆" w:hAnsi="幼圆" w:eastAsia="幼圆" w:cs="幼圆"/>
          <w:b/>
          <w:bCs/>
          <w:color w:val="FF0000"/>
          <w:sz w:val="24"/>
          <w:szCs w:val="24"/>
          <w:lang w:val="en-US" w:eastAsia="zh-CN"/>
        </w:rPr>
      </w:pPr>
      <w:r>
        <w:rPr>
          <w:rFonts w:hint="eastAsia" w:ascii="幼圆" w:hAnsi="幼圆" w:eastAsia="幼圆" w:cs="幼圆"/>
          <w:b/>
          <w:bCs/>
          <w:color w:val="auto"/>
          <w:sz w:val="24"/>
          <w:szCs w:val="24"/>
          <w:lang w:val="en-US" w:eastAsia="zh-CN"/>
        </w:rPr>
        <w:t>承诺保证【5号楼B1-4F常闭防火门改造工程】结束后通过第三方评估，确保相关改造符合国家消防法规要求。</w:t>
      </w:r>
      <w:r>
        <w:rPr>
          <w:rFonts w:hint="eastAsia" w:ascii="幼圆" w:hAnsi="幼圆" w:eastAsia="幼圆" w:cs="幼圆"/>
          <w:b/>
          <w:bCs/>
          <w:color w:val="FF0000"/>
          <w:sz w:val="24"/>
          <w:szCs w:val="24"/>
          <w:lang w:val="en-US" w:eastAsia="zh-CN"/>
        </w:rPr>
        <w:t>（</w:t>
      </w:r>
      <w:r>
        <w:rPr>
          <w:rFonts w:hint="eastAsia" w:ascii="幼圆" w:hAnsi="幼圆" w:eastAsia="幼圆" w:cs="幼圆"/>
          <w:b/>
          <w:bCs/>
          <w:color w:val="FF0000"/>
          <w:sz w:val="24"/>
          <w:lang w:val="en-US" w:eastAsia="zh-CN"/>
        </w:rPr>
        <w:t>*</w:t>
      </w:r>
      <w:r>
        <w:rPr>
          <w:rFonts w:hint="eastAsia" w:ascii="幼圆" w:hAnsi="幼圆" w:eastAsia="幼圆" w:cs="幼圆"/>
          <w:b/>
          <w:bCs/>
          <w:color w:val="FF0000"/>
          <w:sz w:val="24"/>
          <w:szCs w:val="24"/>
          <w:lang w:val="en-US" w:eastAsia="zh-CN"/>
        </w:rPr>
        <w:t>必须承诺，废标项）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十、合同形式</w:t>
      </w:r>
    </w:p>
    <w:p>
      <w:pPr>
        <w:pStyle w:val="167"/>
        <w:numPr>
          <w:numId w:val="0"/>
        </w:numPr>
        <w:spacing w:line="360" w:lineRule="auto"/>
        <w:rPr>
          <w:rFonts w:hint="default" w:ascii="幼圆" w:hAnsi="幼圆" w:eastAsia="幼圆" w:cs="幼圆"/>
          <w:sz w:val="24"/>
          <w:szCs w:val="24"/>
          <w:lang w:val="en-US" w:eastAsia="zh-CN"/>
        </w:rPr>
      </w:pPr>
      <w:r>
        <w:rPr>
          <w:rFonts w:hint="eastAsia" w:ascii="幼圆" w:hAnsi="幼圆" w:eastAsia="幼圆" w:cs="幼圆"/>
          <w:sz w:val="24"/>
          <w:szCs w:val="24"/>
          <w:lang w:val="en-US" w:eastAsia="zh-CN"/>
        </w:rPr>
        <w:t>固定总价。</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十一、评审标准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需提供近三年（2022年11月至今，以合同签订时间为准）已完成的类似工程业绩，每提供一份得3分，最高得</w:t>
            </w:r>
            <w:r>
              <w:rPr>
                <w:rFonts w:hint="eastAsia" w:ascii="幼圆" w:hAnsi="幼圆" w:eastAsia="幼圆" w:cs="幼圆"/>
                <w:sz w:val="24"/>
                <w:szCs w:val="20"/>
                <w:lang w:val="en-US" w:eastAsia="zh-CN"/>
              </w:rPr>
              <w:t>15</w:t>
            </w:r>
            <w:r>
              <w:rPr>
                <w:rFonts w:hint="eastAsia" w:ascii="幼圆" w:hAnsi="幼圆" w:eastAsia="幼圆" w:cs="幼圆"/>
                <w:sz w:val="24"/>
                <w:szCs w:val="20"/>
              </w:rPr>
              <w:t>分。需提供合同复印件（包含合同首页、合同主要内容页及签字盖章页）并加盖供应商公章。未按要求提供，得0分。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F196A9D"/>
    <w:rsid w:val="113329E6"/>
    <w:rsid w:val="117F262B"/>
    <w:rsid w:val="12C56763"/>
    <w:rsid w:val="1BE71C78"/>
    <w:rsid w:val="1F3C1C4F"/>
    <w:rsid w:val="205F522A"/>
    <w:rsid w:val="22E24F49"/>
    <w:rsid w:val="24392B0D"/>
    <w:rsid w:val="25D77D3F"/>
    <w:rsid w:val="26B26BA7"/>
    <w:rsid w:val="27372964"/>
    <w:rsid w:val="27BD3A55"/>
    <w:rsid w:val="28C3596E"/>
    <w:rsid w:val="2C5F3B91"/>
    <w:rsid w:val="2D056703"/>
    <w:rsid w:val="31321010"/>
    <w:rsid w:val="347B53E1"/>
    <w:rsid w:val="34813790"/>
    <w:rsid w:val="35A3178F"/>
    <w:rsid w:val="35BA5B31"/>
    <w:rsid w:val="377C3B60"/>
    <w:rsid w:val="3C60089E"/>
    <w:rsid w:val="3D3FEA48"/>
    <w:rsid w:val="3DAB702F"/>
    <w:rsid w:val="3DBFD295"/>
    <w:rsid w:val="3EBA3A53"/>
    <w:rsid w:val="411538B7"/>
    <w:rsid w:val="41536D26"/>
    <w:rsid w:val="41BE02EE"/>
    <w:rsid w:val="44DB5B25"/>
    <w:rsid w:val="455507B5"/>
    <w:rsid w:val="45A73923"/>
    <w:rsid w:val="49F927E9"/>
    <w:rsid w:val="4D022964"/>
    <w:rsid w:val="4FC375E6"/>
    <w:rsid w:val="5257047F"/>
    <w:rsid w:val="537D6985"/>
    <w:rsid w:val="53ED7FA3"/>
    <w:rsid w:val="56A9ACE5"/>
    <w:rsid w:val="574D52F6"/>
    <w:rsid w:val="58591706"/>
    <w:rsid w:val="5EB702A5"/>
    <w:rsid w:val="5FEFBD42"/>
    <w:rsid w:val="63A6046B"/>
    <w:rsid w:val="64690EAB"/>
    <w:rsid w:val="6A5C38C9"/>
    <w:rsid w:val="6BBC5FCE"/>
    <w:rsid w:val="6FBD2579"/>
    <w:rsid w:val="6FED3F9B"/>
    <w:rsid w:val="703B2526"/>
    <w:rsid w:val="74A64627"/>
    <w:rsid w:val="75C51121"/>
    <w:rsid w:val="75DF8964"/>
    <w:rsid w:val="75F106A5"/>
    <w:rsid w:val="761942CF"/>
    <w:rsid w:val="787B4E47"/>
    <w:rsid w:val="78EF290F"/>
    <w:rsid w:val="79EFCB93"/>
    <w:rsid w:val="7BF63D04"/>
    <w:rsid w:val="7CE1176F"/>
    <w:rsid w:val="7DFB6C40"/>
    <w:rsid w:val="7E8A62A7"/>
    <w:rsid w:val="7EDEDA8C"/>
    <w:rsid w:val="7EE782B8"/>
    <w:rsid w:val="7F1BE675"/>
    <w:rsid w:val="7F7794D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2025-12-05T03:31:41Z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