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textAlignment w:val="bottom"/>
        <w:rPr>
          <w:rFonts w:hint="eastAsia" w:ascii="宋体" w:hAnsi="宋体" w:cs="Arial"/>
          <w:b/>
          <w:sz w:val="28"/>
          <w:szCs w:val="28"/>
        </w:rPr>
      </w:pPr>
      <w:r>
        <w:rPr>
          <w:rFonts w:hint="eastAsia" w:ascii="宋体" w:hAnsi="宋体" w:cs="Arial"/>
          <w:b/>
          <w:sz w:val="28"/>
          <w:szCs w:val="28"/>
        </w:rPr>
        <w:t xml:space="preserve">                         技术规格及要求</w:t>
      </w:r>
    </w:p>
    <w:tbl>
      <w:tblPr>
        <w:tblStyle w:val="7"/>
        <w:tblW w:w="9238" w:type="dxa"/>
        <w:tblInd w:w="113" w:type="dxa"/>
        <w:tblLayout w:type="fixed"/>
        <w:tblCellMar>
          <w:top w:w="0" w:type="dxa"/>
          <w:left w:w="108" w:type="dxa"/>
          <w:bottom w:w="0" w:type="dxa"/>
          <w:right w:w="108" w:type="dxa"/>
        </w:tblCellMar>
      </w:tblPr>
      <w:tblGrid>
        <w:gridCol w:w="1583"/>
        <w:gridCol w:w="7655"/>
      </w:tblGrid>
      <w:tr>
        <w:tblPrEx>
          <w:tblLayout w:type="fixed"/>
          <w:tblCellMar>
            <w:top w:w="0" w:type="dxa"/>
            <w:left w:w="108" w:type="dxa"/>
            <w:bottom w:w="0" w:type="dxa"/>
            <w:right w:w="108" w:type="dxa"/>
          </w:tblCellMar>
        </w:tblPrEx>
        <w:trPr>
          <w:trHeight w:val="345" w:hRule="atLeast"/>
          <w:tblHeader/>
        </w:trPr>
        <w:tc>
          <w:tcPr>
            <w:tcW w:w="1583"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招标要求</w:t>
            </w:r>
          </w:p>
          <w:p>
            <w:r>
              <w:rPr>
                <w:rFonts w:hint="eastAsia"/>
                <w:sz w:val="24"/>
              </w:rPr>
              <w:t>条</w:t>
            </w:r>
            <w:r>
              <w:rPr>
                <w:sz w:val="24"/>
              </w:rPr>
              <w:t xml:space="preserve"> </w:t>
            </w:r>
            <w:r>
              <w:rPr>
                <w:rFonts w:hint="eastAsia"/>
                <w:sz w:val="24"/>
              </w:rPr>
              <w:t>目</w:t>
            </w:r>
            <w:r>
              <w:rPr>
                <w:sz w:val="24"/>
              </w:rPr>
              <w:t xml:space="preserve"> </w:t>
            </w:r>
            <w:r>
              <w:rPr>
                <w:rFonts w:hint="eastAsia"/>
                <w:sz w:val="24"/>
              </w:rPr>
              <w:t>号</w:t>
            </w:r>
          </w:p>
        </w:tc>
        <w:tc>
          <w:tcPr>
            <w:tcW w:w="7655" w:type="dxa"/>
            <w:tcBorders>
              <w:top w:val="single" w:color="auto" w:sz="4" w:space="0"/>
              <w:left w:val="nil"/>
              <w:bottom w:val="single" w:color="auto" w:sz="4" w:space="0"/>
              <w:right w:val="single" w:color="auto" w:sz="4" w:space="0"/>
            </w:tcBorders>
            <w:vAlign w:val="center"/>
          </w:tcPr>
          <w:p>
            <w:r>
              <w:rPr>
                <w:rFonts w:hint="eastAsia"/>
                <w:sz w:val="24"/>
              </w:rPr>
              <w:t>招</w:t>
            </w:r>
            <w:r>
              <w:rPr>
                <w:sz w:val="24"/>
              </w:rPr>
              <w:t xml:space="preserve"> </w:t>
            </w:r>
            <w:r>
              <w:rPr>
                <w:rFonts w:hint="eastAsia"/>
                <w:sz w:val="24"/>
              </w:rPr>
              <w:t>标</w:t>
            </w:r>
            <w:r>
              <w:rPr>
                <w:sz w:val="24"/>
              </w:rPr>
              <w:t xml:space="preserve"> </w:t>
            </w:r>
            <w:r>
              <w:rPr>
                <w:rFonts w:hint="eastAsia"/>
                <w:sz w:val="24"/>
              </w:rPr>
              <w:t>规</w:t>
            </w:r>
            <w:r>
              <w:rPr>
                <w:sz w:val="24"/>
              </w:rPr>
              <w:t xml:space="preserve"> </w:t>
            </w:r>
            <w:r>
              <w:rPr>
                <w:rFonts w:hint="eastAsia"/>
                <w:sz w:val="24"/>
              </w:rPr>
              <w:t>格</w:t>
            </w:r>
          </w:p>
        </w:tc>
      </w:tr>
      <w:tr>
        <w:tblPrEx>
          <w:tblLayout w:type="fixed"/>
          <w:tblCellMar>
            <w:top w:w="0" w:type="dxa"/>
            <w:left w:w="108" w:type="dxa"/>
            <w:bottom w:w="0" w:type="dxa"/>
            <w:right w:w="108" w:type="dxa"/>
          </w:tblCellMar>
        </w:tblPrEx>
        <w:trPr>
          <w:trHeight w:val="462" w:hRule="atLeast"/>
        </w:trPr>
        <w:tc>
          <w:tcPr>
            <w:tcW w:w="1583" w:type="dxa"/>
            <w:tcBorders>
              <w:top w:val="nil"/>
              <w:left w:val="single" w:color="auto" w:sz="4" w:space="0"/>
              <w:bottom w:val="single" w:color="auto" w:sz="4" w:space="0"/>
              <w:right w:val="single" w:color="auto" w:sz="4" w:space="0"/>
            </w:tcBorders>
          </w:tcPr>
          <w:p>
            <w:r>
              <w:rPr>
                <w:rFonts w:hint="eastAsia" w:ascii="宋体" w:hAnsi="宋体"/>
                <w:sz w:val="24"/>
              </w:rPr>
              <w:t>一、</w:t>
            </w:r>
          </w:p>
        </w:tc>
        <w:tc>
          <w:tcPr>
            <w:tcW w:w="7655" w:type="dxa"/>
            <w:tcBorders>
              <w:top w:val="nil"/>
              <w:left w:val="nil"/>
              <w:bottom w:val="single" w:color="auto" w:sz="4" w:space="0"/>
              <w:right w:val="single" w:color="auto" w:sz="4" w:space="0"/>
            </w:tcBorders>
          </w:tcPr>
          <w:p>
            <w:r>
              <w:rPr>
                <w:rFonts w:hint="eastAsia" w:ascii="宋体" w:hAnsi="宋体"/>
                <w:sz w:val="24"/>
              </w:rPr>
              <w:t>名称：</w:t>
            </w:r>
            <w:r>
              <w:rPr>
                <w:rFonts w:ascii="宋体" w:hAnsi="宋体" w:cs="Arial"/>
                <w:b/>
                <w:bCs/>
                <w:color w:val="000000"/>
                <w:sz w:val="24"/>
              </w:rPr>
              <w:t>双能X</w:t>
            </w:r>
            <w:r>
              <w:rPr>
                <w:rFonts w:hint="eastAsia" w:ascii="宋体" w:hAnsi="宋体" w:cs="Arial"/>
                <w:b/>
                <w:bCs/>
                <w:color w:val="000000"/>
                <w:sz w:val="24"/>
              </w:rPr>
              <w:t>射</w:t>
            </w:r>
            <w:r>
              <w:rPr>
                <w:rFonts w:ascii="宋体" w:hAnsi="宋体" w:cs="Arial"/>
                <w:b/>
                <w:bCs/>
                <w:color w:val="000000"/>
                <w:sz w:val="24"/>
              </w:rPr>
              <w:t>线骨密度仪</w:t>
            </w:r>
            <w:bookmarkStart w:id="1" w:name="_GoBack"/>
            <w:bookmarkEnd w:id="1"/>
          </w:p>
        </w:tc>
      </w:tr>
      <w:tr>
        <w:tblPrEx>
          <w:tblLayout w:type="fixed"/>
          <w:tblCellMar>
            <w:top w:w="0" w:type="dxa"/>
            <w:left w:w="108" w:type="dxa"/>
            <w:bottom w:w="0" w:type="dxa"/>
            <w:right w:w="108" w:type="dxa"/>
          </w:tblCellMar>
        </w:tblPrEx>
        <w:trPr>
          <w:trHeight w:val="417" w:hRule="atLeast"/>
        </w:trPr>
        <w:tc>
          <w:tcPr>
            <w:tcW w:w="1583" w:type="dxa"/>
            <w:tcBorders>
              <w:top w:val="nil"/>
              <w:left w:val="single" w:color="auto" w:sz="4" w:space="0"/>
              <w:bottom w:val="single" w:color="auto" w:sz="4" w:space="0"/>
              <w:right w:val="single" w:color="auto" w:sz="4" w:space="0"/>
            </w:tcBorders>
          </w:tcPr>
          <w:p>
            <w:r>
              <w:rPr>
                <w:rFonts w:hint="eastAsia" w:ascii="宋体" w:hAnsi="宋体"/>
                <w:sz w:val="24"/>
              </w:rPr>
              <w:t>二、</w:t>
            </w:r>
          </w:p>
        </w:tc>
        <w:tc>
          <w:tcPr>
            <w:tcW w:w="7655" w:type="dxa"/>
            <w:tcBorders>
              <w:top w:val="nil"/>
              <w:left w:val="nil"/>
              <w:bottom w:val="single" w:color="auto" w:sz="4" w:space="0"/>
              <w:right w:val="single" w:color="auto" w:sz="4" w:space="0"/>
            </w:tcBorders>
          </w:tcPr>
          <w:p>
            <w:r>
              <w:rPr>
                <w:rFonts w:hint="eastAsia" w:ascii="宋体" w:hAnsi="宋体"/>
                <w:sz w:val="24"/>
              </w:rPr>
              <w:t>用途：用于人体骨矿含量测定及分析的临床科研工作，并用于骨质疏松的临床诊断、治疗效果观察、以及骨折危险性的预测研究。</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b/>
                <w:bCs/>
              </w:rPr>
            </w:pPr>
            <w:r>
              <w:rPr>
                <w:rFonts w:hint="eastAsia" w:ascii="宋体" w:hAnsi="宋体"/>
                <w:b/>
                <w:bCs/>
                <w:sz w:val="24"/>
              </w:rPr>
              <w:t>三、</w:t>
            </w:r>
          </w:p>
        </w:tc>
        <w:tc>
          <w:tcPr>
            <w:tcW w:w="7655" w:type="dxa"/>
            <w:tcBorders>
              <w:top w:val="nil"/>
              <w:left w:val="nil"/>
              <w:bottom w:val="single" w:color="auto" w:sz="4" w:space="0"/>
              <w:right w:val="single" w:color="auto" w:sz="4" w:space="0"/>
            </w:tcBorders>
          </w:tcPr>
          <w:p>
            <w:pPr>
              <w:rPr>
                <w:b/>
                <w:bCs/>
              </w:rPr>
            </w:pPr>
            <w:r>
              <w:rPr>
                <w:rFonts w:hint="eastAsia" w:ascii="宋体" w:hAnsi="宋体"/>
                <w:b/>
                <w:bCs/>
                <w:sz w:val="24"/>
              </w:rPr>
              <w:t>主要技术要求</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r>
              <w:rPr>
                <w:rFonts w:hint="eastAsia" w:ascii="等线" w:hAnsi="等线" w:eastAsia="等线"/>
                <w:color w:val="000000"/>
                <w:kern w:val="0"/>
                <w:szCs w:val="21"/>
              </w:rPr>
              <w:t>3.1</w:t>
            </w:r>
          </w:p>
        </w:tc>
        <w:tc>
          <w:tcPr>
            <w:tcW w:w="7655" w:type="dxa"/>
            <w:tcBorders>
              <w:top w:val="nil"/>
              <w:left w:val="nil"/>
              <w:bottom w:val="single" w:color="auto" w:sz="4" w:space="0"/>
              <w:right w:val="single" w:color="auto" w:sz="4" w:space="0"/>
            </w:tcBorders>
          </w:tcPr>
          <w:p>
            <w:r>
              <w:rPr>
                <w:rFonts w:hint="eastAsia" w:ascii="宋体" w:hAnsi="宋体"/>
                <w:kern w:val="0"/>
                <w:sz w:val="24"/>
              </w:rPr>
              <w:t>K缘过滤，同时产生高低双能X线</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r>
              <w:rPr>
                <w:rFonts w:hint="eastAsia"/>
              </w:rPr>
              <w:t>3.2</w:t>
            </w:r>
          </w:p>
        </w:tc>
        <w:tc>
          <w:tcPr>
            <w:tcW w:w="7655" w:type="dxa"/>
            <w:tcBorders>
              <w:top w:val="nil"/>
              <w:left w:val="nil"/>
              <w:bottom w:val="single" w:color="auto" w:sz="4" w:space="0"/>
              <w:right w:val="single" w:color="auto" w:sz="4" w:space="0"/>
            </w:tcBorders>
          </w:tcPr>
          <w:p>
            <w:r>
              <w:rPr>
                <w:rFonts w:hint="eastAsia" w:ascii="宋体" w:hAnsi="宋体"/>
                <w:kern w:val="0"/>
                <w:sz w:val="24"/>
              </w:rPr>
              <w:t>X线扫描线束：窄角扇形且扇形开角≤4.5°</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r>
              <w:rPr>
                <w:rFonts w:hint="eastAsia" w:ascii="等线" w:hAnsi="等线" w:eastAsia="等线"/>
                <w:color w:val="000000"/>
                <w:kern w:val="0"/>
                <w:szCs w:val="21"/>
              </w:rPr>
              <w:t>3.3</w:t>
            </w:r>
          </w:p>
        </w:tc>
        <w:tc>
          <w:tcPr>
            <w:tcW w:w="7655" w:type="dxa"/>
            <w:tcBorders>
              <w:top w:val="nil"/>
              <w:left w:val="nil"/>
              <w:bottom w:val="single" w:color="auto" w:sz="4" w:space="0"/>
              <w:right w:val="single" w:color="auto" w:sz="4" w:space="0"/>
            </w:tcBorders>
          </w:tcPr>
          <w:p>
            <w:pPr>
              <w:rPr>
                <w:rFonts w:hint="eastAsia"/>
              </w:rPr>
            </w:pPr>
            <w:r>
              <w:rPr>
                <w:rFonts w:hint="eastAsia"/>
              </w:rPr>
              <w:t>光子计数探测器</w:t>
            </w:r>
          </w:p>
        </w:tc>
      </w:tr>
      <w:tr>
        <w:tblPrEx>
          <w:tblLayout w:type="fixed"/>
          <w:tblCellMar>
            <w:top w:w="0" w:type="dxa"/>
            <w:left w:w="108" w:type="dxa"/>
            <w:bottom w:w="0" w:type="dxa"/>
            <w:right w:w="108" w:type="dxa"/>
          </w:tblCellMar>
        </w:tblPrEx>
        <w:trPr>
          <w:trHeight w:val="345" w:hRule="atLeast"/>
        </w:trPr>
        <w:tc>
          <w:tcPr>
            <w:tcW w:w="158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b/>
                <w:sz w:val="24"/>
              </w:rPr>
            </w:pPr>
            <w:r>
              <w:rPr>
                <w:rFonts w:hint="eastAsia" w:ascii="宋体" w:hAnsi="宋体"/>
                <w:bCs/>
                <w:sz w:val="24"/>
              </w:rPr>
              <w:t>3.4</w:t>
            </w:r>
          </w:p>
        </w:tc>
        <w:tc>
          <w:tcPr>
            <w:tcW w:w="7655" w:type="dxa"/>
            <w:tcBorders>
              <w:top w:val="single" w:color="auto" w:sz="4" w:space="0"/>
              <w:left w:val="nil"/>
              <w:bottom w:val="single" w:color="auto" w:sz="4" w:space="0"/>
              <w:right w:val="single" w:color="auto" w:sz="4" w:space="0"/>
            </w:tcBorders>
          </w:tcPr>
          <w:p>
            <w:pPr>
              <w:rPr>
                <w:b/>
                <w:sz w:val="24"/>
              </w:rPr>
            </w:pPr>
            <w:r>
              <w:rPr>
                <w:rFonts w:hint="eastAsia" w:ascii="宋体" w:hAnsi="宋体"/>
                <w:kern w:val="0"/>
                <w:sz w:val="24"/>
              </w:rPr>
              <w:t>扫描床最大病人承重：≥155kg</w:t>
            </w:r>
          </w:p>
        </w:tc>
      </w:tr>
      <w:tr>
        <w:tblPrEx>
          <w:tblLayout w:type="fixed"/>
          <w:tblCellMar>
            <w:top w:w="0" w:type="dxa"/>
            <w:left w:w="108" w:type="dxa"/>
            <w:bottom w:w="0" w:type="dxa"/>
            <w:right w:w="108" w:type="dxa"/>
          </w:tblCellMar>
        </w:tblPrEx>
        <w:trPr>
          <w:trHeight w:val="345" w:hRule="atLeast"/>
        </w:trPr>
        <w:tc>
          <w:tcPr>
            <w:tcW w:w="158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3.5</w:t>
            </w:r>
          </w:p>
        </w:tc>
        <w:tc>
          <w:tcPr>
            <w:tcW w:w="7655" w:type="dxa"/>
            <w:tcBorders>
              <w:top w:val="single" w:color="000000" w:sz="4" w:space="0"/>
              <w:left w:val="single" w:color="000000" w:sz="4" w:space="0"/>
              <w:bottom w:val="single" w:color="000000" w:sz="4" w:space="0"/>
              <w:right w:val="single" w:color="000000" w:sz="4" w:space="0"/>
            </w:tcBorders>
          </w:tcPr>
          <w:p>
            <w:pPr>
              <w:rPr>
                <w:rFonts w:hint="eastAsia" w:ascii="宋体" w:hAnsi="宋体"/>
                <w:b/>
                <w:bCs/>
                <w:sz w:val="24"/>
              </w:rPr>
            </w:pPr>
            <w:r>
              <w:rPr>
                <w:rFonts w:hint="eastAsia" w:ascii="宋体" w:hAnsi="宋体"/>
                <w:kern w:val="0"/>
                <w:sz w:val="24"/>
              </w:rPr>
              <w:t>标准扫描时间，腰椎：≤30秒钟，股骨：≤30秒钟</w:t>
            </w:r>
          </w:p>
        </w:tc>
      </w:tr>
      <w:tr>
        <w:tblPrEx>
          <w:tblLayout w:type="fixed"/>
          <w:tblCellMar>
            <w:top w:w="0" w:type="dxa"/>
            <w:left w:w="108" w:type="dxa"/>
            <w:bottom w:w="0" w:type="dxa"/>
            <w:right w:w="108" w:type="dxa"/>
          </w:tblCellMar>
        </w:tblPrEx>
        <w:trPr>
          <w:trHeight w:val="779" w:hRule="atLeast"/>
        </w:trPr>
        <w:tc>
          <w:tcPr>
            <w:tcW w:w="158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7655" w:type="dxa"/>
            <w:tcBorders>
              <w:top w:val="single" w:color="000000" w:sz="4" w:space="0"/>
              <w:left w:val="single" w:color="000000" w:sz="4" w:space="0"/>
              <w:bottom w:val="single" w:color="000000" w:sz="4" w:space="0"/>
              <w:right w:val="single" w:color="000000" w:sz="4" w:space="0"/>
            </w:tcBorders>
          </w:tcPr>
          <w:p>
            <w:pPr>
              <w:widowControl/>
              <w:textAlignment w:val="center"/>
              <w:rPr>
                <w:rFonts w:ascii="Arial" w:hAnsi="Arial" w:cs="Arial"/>
                <w:sz w:val="24"/>
              </w:rPr>
            </w:pPr>
            <w:r>
              <w:rPr>
                <w:rFonts w:hint="eastAsia" w:ascii="Arial" w:hAnsi="Arial" w:cs="Arial"/>
                <w:color w:val="000000"/>
                <w:sz w:val="24"/>
              </w:rPr>
              <w:t>一次定位，自动完成腰椎、双侧股骨扫描检测功能</w:t>
            </w:r>
          </w:p>
        </w:tc>
      </w:tr>
      <w:tr>
        <w:tblPrEx>
          <w:tblLayout w:type="fixed"/>
          <w:tblCellMar>
            <w:top w:w="0" w:type="dxa"/>
            <w:left w:w="108" w:type="dxa"/>
            <w:bottom w:w="0" w:type="dxa"/>
            <w:right w:w="108" w:type="dxa"/>
          </w:tblCellMar>
        </w:tblPrEx>
        <w:trPr>
          <w:trHeight w:val="345" w:hRule="atLeast"/>
        </w:trPr>
        <w:tc>
          <w:tcPr>
            <w:tcW w:w="158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3.7</w:t>
            </w:r>
          </w:p>
        </w:tc>
        <w:tc>
          <w:tcPr>
            <w:tcW w:w="7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4"/>
              </w:rPr>
            </w:pPr>
            <w:r>
              <w:rPr>
                <w:rFonts w:hint="eastAsia" w:ascii="宋体" w:hAnsi="宋体"/>
                <w:sz w:val="24"/>
              </w:rPr>
              <w:t>具备L</w:t>
            </w:r>
            <w:r>
              <w:rPr>
                <w:rFonts w:ascii="宋体" w:hAnsi="宋体"/>
                <w:sz w:val="24"/>
              </w:rPr>
              <w:t>SC</w:t>
            </w:r>
            <w:r>
              <w:rPr>
                <w:rFonts w:hint="eastAsia" w:ascii="宋体" w:hAnsi="宋体"/>
                <w:sz w:val="24"/>
              </w:rPr>
              <w:t>最小有意义变化值辅助计算工具</w:t>
            </w:r>
          </w:p>
        </w:tc>
      </w:tr>
      <w:tr>
        <w:tblPrEx>
          <w:tblLayout w:type="fixed"/>
          <w:tblCellMar>
            <w:top w:w="0" w:type="dxa"/>
            <w:left w:w="108" w:type="dxa"/>
            <w:bottom w:w="0" w:type="dxa"/>
            <w:right w:w="108" w:type="dxa"/>
          </w:tblCellMar>
        </w:tblPrEx>
        <w:trPr>
          <w:trHeight w:val="345" w:hRule="atLeast"/>
        </w:trPr>
        <w:tc>
          <w:tcPr>
            <w:tcW w:w="158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3.8</w:t>
            </w:r>
          </w:p>
        </w:tc>
        <w:tc>
          <w:tcPr>
            <w:tcW w:w="7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4"/>
              </w:rPr>
            </w:pPr>
            <w:r>
              <w:rPr>
                <w:rFonts w:hint="eastAsia" w:ascii="宋体" w:hAnsi="宋体"/>
                <w:sz w:val="24"/>
              </w:rPr>
              <w:t>具备中国人数据库</w:t>
            </w:r>
          </w:p>
        </w:tc>
      </w:tr>
      <w:tr>
        <w:tblPrEx>
          <w:tblLayout w:type="fixed"/>
          <w:tblCellMar>
            <w:top w:w="0" w:type="dxa"/>
            <w:left w:w="108" w:type="dxa"/>
            <w:bottom w:w="0" w:type="dxa"/>
            <w:right w:w="108" w:type="dxa"/>
          </w:tblCellMar>
        </w:tblPrEx>
        <w:trPr>
          <w:trHeight w:val="451" w:hRule="atLeast"/>
        </w:trPr>
        <w:tc>
          <w:tcPr>
            <w:tcW w:w="158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3.9</w:t>
            </w:r>
          </w:p>
        </w:tc>
        <w:tc>
          <w:tcPr>
            <w:tcW w:w="76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4"/>
              </w:rPr>
            </w:pPr>
            <w:r>
              <w:rPr>
                <w:rFonts w:hint="eastAsia" w:ascii="宋体" w:hAnsi="宋体"/>
                <w:bCs/>
                <w:sz w:val="24"/>
              </w:rPr>
              <w:t>脊柱/股骨扫描放射剂量：</w:t>
            </w:r>
            <w:r>
              <w:rPr>
                <w:rFonts w:ascii="Arial" w:hAnsi="Arial" w:cs="Arial"/>
                <w:color w:val="000000"/>
                <w:sz w:val="24"/>
              </w:rPr>
              <w:t>≤</w:t>
            </w:r>
            <w:r>
              <w:rPr>
                <w:rFonts w:hint="eastAsia" w:ascii="Arial" w:hAnsi="Arial" w:cs="Arial"/>
                <w:bCs/>
                <w:color w:val="000000"/>
                <w:sz w:val="24"/>
              </w:rPr>
              <w:t>37</w:t>
            </w:r>
            <w:r>
              <w:t>μGy</w:t>
            </w:r>
          </w:p>
        </w:tc>
      </w:tr>
      <w:tr>
        <w:tblPrEx>
          <w:tblLayout w:type="fixed"/>
          <w:tblCellMar>
            <w:top w:w="0" w:type="dxa"/>
            <w:left w:w="108" w:type="dxa"/>
            <w:bottom w:w="0" w:type="dxa"/>
            <w:right w:w="108" w:type="dxa"/>
          </w:tblCellMar>
        </w:tblPrEx>
        <w:trPr>
          <w:trHeight w:val="399" w:hRule="atLeast"/>
        </w:trPr>
        <w:tc>
          <w:tcPr>
            <w:tcW w:w="1583"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b/>
                <w:bCs/>
                <w:sz w:val="24"/>
              </w:rPr>
            </w:pPr>
            <w:r>
              <w:rPr>
                <w:rFonts w:hint="eastAsia" w:asciiTheme="minorEastAsia" w:hAnsiTheme="minorEastAsia" w:eastAsiaTheme="minorEastAsia"/>
                <w:b/>
                <w:bCs/>
                <w:sz w:val="24"/>
              </w:rPr>
              <w:t>四、</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b/>
                <w:bCs/>
                <w:sz w:val="24"/>
              </w:rPr>
            </w:pPr>
            <w:r>
              <w:rPr>
                <w:rFonts w:hint="eastAsia" w:ascii="宋体" w:hAnsi="宋体" w:cs="宋体"/>
                <w:b/>
                <w:bCs/>
                <w:sz w:val="24"/>
              </w:rPr>
              <w:t>主要技术参数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X线源</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K缘过滤，同时产生高低双能X线</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X线扫描线束：窄角扇形且扇形开角≤4.5°</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采集成像方式：连续扫描式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自动智能扫描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4.1.4.1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无需预扫描, 配置激光定位系统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4.1.4.2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具备根据骨骼结构，适形扫描，自动调整扫描宽度功能</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探测器系统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4.2.1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光子计数探测器，探测器材质LYSO</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4.2.3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探测器通道数量：≥16个</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扫描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bookmarkStart w:id="0" w:name="RANGE!B12"/>
            <w:r>
              <w:rPr>
                <w:rFonts w:hint="eastAsia" w:ascii="等线" w:hAnsi="等线" w:eastAsia="等线"/>
                <w:color w:val="000000"/>
                <w:sz w:val="22"/>
                <w:szCs w:val="22"/>
              </w:rPr>
              <w:t>扫描床，长度：≥200cm；宽度：≥105cm</w:t>
            </w:r>
            <w:bookmarkEnd w:id="0"/>
          </w:p>
        </w:tc>
      </w:tr>
      <w:tr>
        <w:tblPrEx>
          <w:tblLayout w:type="fixed"/>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最大有效扫描视野,长度*宽度：≥130cm * 59cm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标准扫描时间，腰椎：≤30秒钟，股骨：≤30秒钟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精确激光定位灯</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4.3.5</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全配套扫描定位器（包括腰椎、髋关节等）</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4.3.6</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全配套扫描定位器（包括腰椎、髋关节等）</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4.3.7</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扫描的精度(重复性误差)：≤1.0%</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4.3.8</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多视角影像重建技术</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4.3.9</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提供高清晰度骨骼影像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4.3.10</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具备摆位及分析异常提醒功能，在扫描之后，系统能够自动检测脊柱、髋关节、前臂等部位是否存在摆位异常或是分析异常，并能给出提示和纠正建议（提供软件界面截图或报告）。</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扫描部位及临床应用功能</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正位腰椎扫描、评估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单侧股骨扫描、评估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双侧股骨自动扫描、评估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4.4.3.1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一次定位，自动扫描完成，同屏显示双侧髋关节影像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4.4.3.2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自动提供双侧股骨平均骨密度值以及差异分析功能并提供检测联合结果</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前臂测量和分析</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4.4.5</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人工髋关节置换后的自动扫描、评估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4.4.5.1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增强型骨科专用软件（髋关节），用于人工髋关节置换术后假体周围骨量测量及变化评估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4.4.5.2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人工髋关节周围划分的评估区个数：≥19个</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4.4.6</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一次定位，自动完成腰椎、双侧股骨扫描检测功能</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4.4.7</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骨折风险评估软件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4.4.8</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计算机自动辅助诊断分析软件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4.4.9</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具备流程管理工具，提供患者数据检索功能，可按照BMD、BMC、T值、Z值等字段进行数据筛选并导出报表。可将患者数据导出txt文档或者excel文件。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4.4.1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具备LSC最小有意义变化值辅助计算工具</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4.5</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临床应用软件包</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4.5.1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运行环境：预装中文WINDOWS操作系统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4.5.2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骨密度仪中文操作软件及骨密度结果中文影像数据检测报告（非第三方汉化）</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4.5.3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骨密度计算软件包</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kern w:val="0"/>
                <w:szCs w:val="21"/>
              </w:rPr>
            </w:pPr>
            <w:r>
              <w:rPr>
                <w:rFonts w:hint="eastAsia" w:ascii="等线" w:hAnsi="等线" w:eastAsia="等线"/>
                <w:color w:val="000000"/>
                <w:sz w:val="22"/>
                <w:szCs w:val="22"/>
              </w:rPr>
              <w:t>4.5.4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NHANES III参照数据库</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4.5.5</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中国大陆人数据库：数据库由国内权威机构建立，全国多点采集</w:t>
            </w:r>
            <w:r>
              <w:rPr>
                <w:rFonts w:hint="eastAsia" w:ascii="宋体" w:hAnsi="宋体" w:cs="宋体"/>
                <w:sz w:val="24"/>
              </w:rPr>
              <w:t xml:space="preserve"> </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4.5.6</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智能自动确定骨边缘软件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4.5.7</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与前一次扫描结果对比分析</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4.5.8</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异常骨密度区域或金属自动排除软件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4.5.9</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屏幕上扫描部位调整（可以通过软件，在屏幕上对扫描部位做精细调整，保证测量的精确性）</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Theme="minorEastAsia" w:hAnsiTheme="minorEastAsia" w:eastAsiaTheme="minorEastAsia"/>
                <w:sz w:val="24"/>
              </w:rPr>
            </w:pPr>
            <w:r>
              <w:rPr>
                <w:rFonts w:hint="eastAsia" w:ascii="等线" w:hAnsi="等线" w:eastAsia="等线"/>
                <w:color w:val="000000"/>
                <w:sz w:val="22"/>
                <w:szCs w:val="22"/>
              </w:rPr>
              <w:t>4.5.1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宋体" w:hAnsi="宋体" w:cs="宋体"/>
                <w:sz w:val="24"/>
              </w:rPr>
            </w:pPr>
            <w:r>
              <w:rPr>
                <w:rFonts w:hint="eastAsia" w:ascii="等线" w:hAnsi="等线" w:eastAsia="等线"/>
                <w:color w:val="000000"/>
                <w:sz w:val="22"/>
                <w:szCs w:val="22"/>
              </w:rPr>
              <w:t>体重/种族差异校正软件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T值和Z值分析软件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检测质量控制系统（含质量检测程序，QA态势分析）</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检测结果趋势分析功能</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多部位集成报告软件-多部位集成报告系统，将所有检测结果打印在一张报告上进行联合评估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4.5.15</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自动化报告编辑书写软件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4.5.16</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DICOM 协议接口（存储、传输、检索/查询、Worklist、打印）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4.5.17</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HL7协议接口</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4.6</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放射剂量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4.6.1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脊柱/股骨扫描放射剂量：≤37μGy</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4.6.2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操作者散射剂量：距扫描床1米处外溢剂量≤6μSv/Hr</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计算机系统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主控计算机</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4.7.1.1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CPU类型：Intel</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4.7.1.2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内存：≥16GB</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4.7.1.3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硬盘：≥1TB</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4.7.1.4</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DVD光驱</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显示器：≥23英寸液晶显示器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4.7.3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彩色打印机</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4.8</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校准系统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4.8.1</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自动质控测试程序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4.8.2</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自动质控趋势分析</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vAlign w:val="bottom"/>
          </w:tcPr>
          <w:p>
            <w:pPr>
              <w:rPr>
                <w:rFonts w:hint="eastAsia" w:ascii="等线" w:hAnsi="等线" w:eastAsia="等线"/>
                <w:color w:val="000000"/>
                <w:sz w:val="22"/>
                <w:szCs w:val="22"/>
              </w:rPr>
            </w:pPr>
            <w:r>
              <w:rPr>
                <w:rFonts w:hint="eastAsia" w:ascii="等线" w:hAnsi="等线" w:eastAsia="等线"/>
                <w:color w:val="000000"/>
                <w:sz w:val="22"/>
                <w:szCs w:val="22"/>
              </w:rPr>
              <w:t>4.8.3</w:t>
            </w:r>
          </w:p>
        </w:tc>
        <w:tc>
          <w:tcPr>
            <w:tcW w:w="7655" w:type="dxa"/>
            <w:tcBorders>
              <w:top w:val="single" w:color="000000" w:sz="4" w:space="0"/>
              <w:left w:val="single" w:color="000000" w:sz="4" w:space="0"/>
              <w:bottom w:val="single" w:color="auto" w:sz="4" w:space="0"/>
              <w:right w:val="single" w:color="000000" w:sz="4" w:space="0"/>
            </w:tcBorders>
            <w:vAlign w:val="bottom"/>
          </w:tcPr>
          <w:p>
            <w:pPr>
              <w:widowControl/>
              <w:textAlignment w:val="center"/>
              <w:rPr>
                <w:rFonts w:hint="eastAsia" w:ascii="等线" w:hAnsi="等线" w:eastAsia="等线"/>
                <w:color w:val="000000"/>
                <w:sz w:val="22"/>
                <w:szCs w:val="22"/>
              </w:rPr>
            </w:pPr>
            <w:r>
              <w:rPr>
                <w:rFonts w:hint="eastAsia" w:ascii="等线" w:hAnsi="等线" w:eastAsia="等线"/>
                <w:color w:val="000000"/>
                <w:sz w:val="22"/>
                <w:szCs w:val="22"/>
              </w:rPr>
              <w:t>质控模块（含大、中、小三种骨密度校准，适合不同人群）</w:t>
            </w:r>
          </w:p>
        </w:tc>
      </w:tr>
      <w:tr>
        <w:tblPrEx>
          <w:tblLayout w:type="fixed"/>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b/>
                <w:sz w:val="24"/>
              </w:rPr>
            </w:pPr>
            <w:r>
              <w:rPr>
                <w:rFonts w:hint="eastAsia" w:asciiTheme="minorEastAsia" w:hAnsiTheme="minorEastAsia" w:eastAsiaTheme="minorEastAsia"/>
                <w:b/>
                <w:sz w:val="24"/>
              </w:rPr>
              <w:t>五</w:t>
            </w:r>
          </w:p>
        </w:tc>
        <w:tc>
          <w:tcPr>
            <w:tcW w:w="765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安装与调试</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5.1</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中标厂商负责场地规划、搬运、安装、调试，包括设备到货至安装期间之搬运及保险；保险需包括人员、</w:t>
            </w:r>
            <w:r>
              <w:rPr>
                <w:rFonts w:asciiTheme="minorEastAsia" w:hAnsiTheme="minorEastAsia" w:eastAsiaTheme="minorEastAsia"/>
                <w:sz w:val="24"/>
              </w:rPr>
              <w:t>场地</w:t>
            </w:r>
            <w:r>
              <w:rPr>
                <w:rFonts w:hint="eastAsia" w:asciiTheme="minorEastAsia" w:hAnsiTheme="minorEastAsia" w:eastAsiaTheme="minorEastAsia"/>
                <w:sz w:val="24"/>
              </w:rPr>
              <w:t>设施</w:t>
            </w:r>
            <w:r>
              <w:rPr>
                <w:rFonts w:asciiTheme="minorEastAsia" w:hAnsiTheme="minorEastAsia" w:eastAsiaTheme="minorEastAsia"/>
                <w:sz w:val="24"/>
              </w:rPr>
              <w:t>、</w:t>
            </w:r>
            <w:r>
              <w:rPr>
                <w:rFonts w:hint="eastAsia" w:asciiTheme="minorEastAsia" w:hAnsiTheme="minorEastAsia" w:eastAsiaTheme="minorEastAsia"/>
                <w:sz w:val="24"/>
              </w:rPr>
              <w:t>安装</w:t>
            </w:r>
            <w:r>
              <w:rPr>
                <w:rFonts w:asciiTheme="minorEastAsia" w:hAnsiTheme="minorEastAsia" w:eastAsiaTheme="minorEastAsia"/>
                <w:sz w:val="24"/>
              </w:rPr>
              <w:t>转移</w:t>
            </w:r>
            <w:r>
              <w:rPr>
                <w:rFonts w:hint="eastAsia" w:asciiTheme="minorEastAsia" w:hAnsiTheme="minorEastAsia" w:eastAsiaTheme="minorEastAsia"/>
                <w:sz w:val="24"/>
              </w:rPr>
              <w:t>工具</w:t>
            </w:r>
            <w:r>
              <w:rPr>
                <w:rFonts w:asciiTheme="minorEastAsia" w:hAnsiTheme="minorEastAsia" w:eastAsiaTheme="minorEastAsia"/>
                <w:sz w:val="24"/>
              </w:rPr>
              <w:t>设备</w:t>
            </w:r>
            <w:r>
              <w:rPr>
                <w:rFonts w:hint="eastAsia" w:asciiTheme="minorEastAsia" w:hAnsiTheme="minorEastAsia" w:eastAsiaTheme="minorEastAsia"/>
                <w:sz w:val="24"/>
              </w:rPr>
              <w:t>以及标的设备全额保险</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5.2</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如</w:t>
            </w:r>
            <w:r>
              <w:rPr>
                <w:rFonts w:asciiTheme="minorEastAsia" w:hAnsiTheme="minorEastAsia" w:eastAsiaTheme="minorEastAsia"/>
                <w:sz w:val="24"/>
              </w:rPr>
              <w:t>现场条件无法安装，中标厂商负责调整设备以满足现场条件</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5.3</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安装完成需提交安装报告书与质量报告书；</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5.4</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本规格书经厂商填报后，为合约之一部分，验收时依本规格书逐项比对；</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5.5</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安装完成经点检各项配件、功能及实际使用测试各项软件一个月无异常，且按</w:t>
            </w:r>
            <w:r>
              <w:rPr>
                <w:rFonts w:asciiTheme="minorEastAsia" w:hAnsiTheme="minorEastAsia" w:eastAsiaTheme="minorEastAsia"/>
                <w:sz w:val="24"/>
              </w:rPr>
              <w:t>我院要求，</w:t>
            </w:r>
            <w:r>
              <w:rPr>
                <w:rFonts w:hint="eastAsia" w:asciiTheme="minorEastAsia" w:hAnsiTheme="minorEastAsia" w:eastAsiaTheme="minorEastAsia"/>
                <w:sz w:val="24"/>
              </w:rPr>
              <w:t>提供完整验收文件，经审查通过为验收完成；</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5.6</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我院</w:t>
            </w:r>
            <w:r>
              <w:rPr>
                <w:rFonts w:asciiTheme="minorEastAsia" w:hAnsiTheme="minorEastAsia" w:eastAsiaTheme="minorEastAsia"/>
                <w:sz w:val="24"/>
              </w:rPr>
              <w:t>认定保修日期为验收完成后</w:t>
            </w:r>
            <w:r>
              <w:rPr>
                <w:rFonts w:hint="eastAsia" w:asciiTheme="minorEastAsia" w:hAnsiTheme="minorEastAsia" w:eastAsiaTheme="minorEastAsia"/>
                <w:sz w:val="24"/>
              </w:rPr>
              <w:t>1个</w:t>
            </w:r>
            <w:r>
              <w:rPr>
                <w:rFonts w:asciiTheme="minorEastAsia" w:hAnsiTheme="minorEastAsia" w:eastAsiaTheme="minorEastAsia"/>
                <w:sz w:val="24"/>
              </w:rPr>
              <w:t>自然月后</w:t>
            </w:r>
            <w:r>
              <w:rPr>
                <w:rFonts w:hint="eastAsia" w:asciiTheme="minorEastAsia" w:hAnsiTheme="minorEastAsia" w:eastAsiaTheme="minorEastAsia"/>
                <w:sz w:val="24"/>
              </w:rPr>
              <w:t>起</w:t>
            </w:r>
            <w:r>
              <w:rPr>
                <w:rFonts w:asciiTheme="minorEastAsia" w:hAnsiTheme="minorEastAsia" w:eastAsiaTheme="minorEastAsia"/>
                <w:sz w:val="24"/>
              </w:rPr>
              <w:t>计</w:t>
            </w:r>
            <w:r>
              <w:rPr>
                <w:rFonts w:hint="eastAsia" w:asciiTheme="minorEastAsia" w:hAnsiTheme="minorEastAsia" w:eastAsiaTheme="minor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5.7</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如</w:t>
            </w:r>
            <w:r>
              <w:rPr>
                <w:rFonts w:asciiTheme="minorEastAsia" w:hAnsiTheme="minorEastAsia" w:eastAsiaTheme="minorEastAsia"/>
                <w:sz w:val="24"/>
              </w:rPr>
              <w:t>设备</w:t>
            </w:r>
            <w:r>
              <w:rPr>
                <w:rFonts w:hint="eastAsia" w:asciiTheme="minorEastAsia" w:hAnsiTheme="minorEastAsia" w:eastAsiaTheme="minorEastAsia"/>
                <w:sz w:val="24"/>
              </w:rPr>
              <w:t>维修需</w:t>
            </w:r>
            <w:r>
              <w:rPr>
                <w:rFonts w:asciiTheme="minorEastAsia" w:hAnsiTheme="minorEastAsia" w:eastAsiaTheme="minorEastAsia"/>
                <w:sz w:val="24"/>
              </w:rPr>
              <w:t>厂商提供专用维修服务</w:t>
            </w:r>
            <w:r>
              <w:rPr>
                <w:rFonts w:hint="eastAsia" w:asciiTheme="minorEastAsia" w:hAnsiTheme="minorEastAsia" w:eastAsiaTheme="minorEastAsia"/>
                <w:sz w:val="24"/>
              </w:rPr>
              <w:t>软件，</w:t>
            </w:r>
            <w:r>
              <w:rPr>
                <w:rFonts w:asciiTheme="minorEastAsia" w:hAnsiTheme="minorEastAsia" w:eastAsiaTheme="minorEastAsia"/>
                <w:sz w:val="24"/>
              </w:rPr>
              <w:t>此软件</w:t>
            </w:r>
            <w:r>
              <w:rPr>
                <w:rFonts w:hint="eastAsia" w:asciiTheme="minorEastAsia" w:hAnsiTheme="minorEastAsia" w:eastAsiaTheme="minorEastAsia"/>
                <w:sz w:val="24"/>
              </w:rPr>
              <w:t>须免费提供至设备报废；</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5.8</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厂商需负责清理安装所产生的废弃物；</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5.9</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厂商需负责安装现场整洁，若有损坏需负责恢复</w:t>
            </w:r>
            <w:r>
              <w:rPr>
                <w:rFonts w:asciiTheme="minorEastAsia" w:hAnsiTheme="minorEastAsia" w:eastAsiaTheme="minorEastAsia"/>
                <w:sz w:val="24"/>
              </w:rPr>
              <w:t>原状</w:t>
            </w:r>
            <w:r>
              <w:rPr>
                <w:rFonts w:hint="eastAsia" w:asciiTheme="minorEastAsia" w:hAnsiTheme="minorEastAsia" w:eastAsiaTheme="minor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b/>
                <w:sz w:val="24"/>
              </w:rPr>
            </w:pPr>
            <w:r>
              <w:rPr>
                <w:rFonts w:hint="eastAsia" w:asciiTheme="minorEastAsia" w:hAnsiTheme="minorEastAsia" w:eastAsiaTheme="minorEastAsia"/>
                <w:b/>
                <w:sz w:val="24"/>
              </w:rPr>
              <w:t>六</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设备</w:t>
            </w:r>
            <w:r>
              <w:rPr>
                <w:rFonts w:asciiTheme="minorEastAsia" w:hAnsiTheme="minorEastAsia" w:eastAsiaTheme="minorEastAsia"/>
                <w:b/>
                <w:sz w:val="24"/>
              </w:rPr>
              <w:t>证照</w:t>
            </w:r>
            <w:r>
              <w:rPr>
                <w:rFonts w:hint="eastAsia" w:asciiTheme="minorEastAsia" w:hAnsiTheme="minorEastAsia" w:eastAsiaTheme="minorEastAsia"/>
                <w:b/>
                <w:sz w:val="24"/>
              </w:rPr>
              <w:t>及</w:t>
            </w:r>
            <w:r>
              <w:rPr>
                <w:rFonts w:asciiTheme="minorEastAsia" w:hAnsiTheme="minorEastAsia" w:eastAsiaTheme="minorEastAsia"/>
                <w:b/>
                <w:sz w:val="24"/>
              </w:rPr>
              <w:t>厂商资质</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三证</w:t>
            </w:r>
            <w:r>
              <w:rPr>
                <w:rFonts w:asciiTheme="minorEastAsia" w:hAnsiTheme="minorEastAsia" w:eastAsiaTheme="minorEastAsia"/>
                <w:sz w:val="24"/>
              </w:rPr>
              <w:t>”</w:t>
            </w:r>
            <w:r>
              <w:rPr>
                <w:rFonts w:hint="eastAsia" w:asciiTheme="minorEastAsia" w:hAnsiTheme="minorEastAsia" w:eastAsiaTheme="minorEastAsia"/>
                <w:sz w:val="24"/>
              </w:rPr>
              <w:t>齐全</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asciiTheme="minorEastAsia" w:hAnsiTheme="minorEastAsia" w:eastAsiaTheme="minorEastAsia"/>
                <w:sz w:val="24"/>
              </w:rPr>
              <w:t>代理商需</w:t>
            </w:r>
            <w:r>
              <w:rPr>
                <w:rFonts w:hint="eastAsia" w:asciiTheme="minorEastAsia" w:hAnsiTheme="minorEastAsia" w:eastAsiaTheme="minorEastAsia"/>
                <w:sz w:val="24"/>
              </w:rPr>
              <w:t>为</w:t>
            </w:r>
            <w:r>
              <w:rPr>
                <w:rFonts w:asciiTheme="minorEastAsia" w:hAnsiTheme="minorEastAsia" w:eastAsiaTheme="minorEastAsia"/>
                <w:sz w:val="24"/>
              </w:rPr>
              <w:t>本地二级以上代理，并提供</w:t>
            </w:r>
            <w:r>
              <w:rPr>
                <w:rFonts w:hint="eastAsia" w:asciiTheme="minorEastAsia" w:hAnsiTheme="minorEastAsia" w:eastAsiaTheme="minorEastAsia"/>
                <w:sz w:val="24"/>
              </w:rPr>
              <w:t>设备生产</w:t>
            </w:r>
            <w:r>
              <w:rPr>
                <w:rFonts w:asciiTheme="minorEastAsia" w:hAnsiTheme="minorEastAsia" w:eastAsiaTheme="minorEastAsia"/>
                <w:sz w:val="24"/>
              </w:rPr>
              <w:t>厂商</w:t>
            </w:r>
            <w:r>
              <w:rPr>
                <w:rFonts w:hint="eastAsia" w:asciiTheme="minorEastAsia" w:hAnsiTheme="minorEastAsia" w:eastAsiaTheme="minorEastAsia"/>
                <w:sz w:val="24"/>
              </w:rPr>
              <w:t>半年</w:t>
            </w:r>
            <w:r>
              <w:rPr>
                <w:rFonts w:asciiTheme="minorEastAsia" w:hAnsiTheme="minorEastAsia" w:eastAsiaTheme="minorEastAsia"/>
                <w:sz w:val="24"/>
              </w:rPr>
              <w:t>期以上授权书</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3</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依</w:t>
            </w:r>
            <w:r>
              <w:rPr>
                <w:rFonts w:asciiTheme="minorEastAsia" w:hAnsiTheme="minorEastAsia" w:eastAsiaTheme="minorEastAsia"/>
                <w:sz w:val="24"/>
              </w:rPr>
              <w:t>国家法规规定提供强检</w:t>
            </w:r>
            <w:r>
              <w:rPr>
                <w:rFonts w:hint="eastAsia" w:asciiTheme="minorEastAsia" w:hAnsiTheme="minorEastAsia" w:eastAsiaTheme="minorEastAsia"/>
                <w:sz w:val="24"/>
              </w:rPr>
              <w:t>及</w:t>
            </w:r>
            <w:r>
              <w:rPr>
                <w:rFonts w:asciiTheme="minorEastAsia" w:hAnsiTheme="minorEastAsia" w:eastAsiaTheme="minorEastAsia"/>
                <w:sz w:val="24"/>
              </w:rPr>
              <w:t>计量证书</w:t>
            </w:r>
            <w:r>
              <w:rPr>
                <w:rFonts w:hint="eastAsia" w:asciiTheme="minorEastAsia" w:hAnsiTheme="minorEastAsia" w:eastAsiaTheme="minorEastAsia"/>
                <w:sz w:val="24"/>
              </w:rPr>
              <w:t>：</w:t>
            </w:r>
          </w:p>
          <w:p>
            <w:pPr>
              <w:rPr>
                <w:rFonts w:hint="eastAsia" w:asciiTheme="minorEastAsia" w:hAnsiTheme="minorEastAsia" w:eastAsiaTheme="minorEastAsia"/>
                <w:sz w:val="24"/>
              </w:rPr>
            </w:pPr>
            <w:r>
              <w:rPr>
                <w:rFonts w:hint="eastAsia" w:asciiTheme="minorEastAsia" w:hAnsiTheme="minorEastAsia" w:eastAsiaTheme="minorEastAsia"/>
                <w:sz w:val="24"/>
              </w:rPr>
              <w:t>负责设备首次计量、质控等安装后检测，并取得相关证照。</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b/>
                <w:sz w:val="24"/>
              </w:rPr>
            </w:pPr>
            <w:r>
              <w:rPr>
                <w:rFonts w:hint="eastAsia" w:asciiTheme="minorEastAsia" w:hAnsiTheme="minorEastAsia" w:eastAsiaTheme="minorEastAsia"/>
                <w:b/>
                <w:sz w:val="24"/>
              </w:rPr>
              <w:t>七</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保修</w:t>
            </w:r>
            <w:r>
              <w:rPr>
                <w:rFonts w:asciiTheme="minorEastAsia" w:hAnsiTheme="minorEastAsia" w:eastAsiaTheme="minorEastAsia"/>
                <w:b/>
                <w:sz w:val="24"/>
              </w:rPr>
              <w:t>条款</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7.1</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自</w:t>
            </w:r>
            <w:r>
              <w:rPr>
                <w:rFonts w:asciiTheme="minorEastAsia" w:hAnsiTheme="minorEastAsia" w:eastAsiaTheme="minorEastAsia"/>
                <w:sz w:val="24"/>
              </w:rPr>
              <w:t>设备验收</w:t>
            </w:r>
            <w:r>
              <w:rPr>
                <w:rFonts w:hint="eastAsia" w:asciiTheme="minorEastAsia" w:hAnsiTheme="minorEastAsia" w:eastAsiaTheme="minorEastAsia"/>
                <w:sz w:val="24"/>
              </w:rPr>
              <w:t>完成</w:t>
            </w:r>
            <w:r>
              <w:rPr>
                <w:rFonts w:asciiTheme="minorEastAsia" w:hAnsiTheme="minorEastAsia" w:eastAsiaTheme="minorEastAsia"/>
                <w:sz w:val="24"/>
              </w:rPr>
              <w:t>之日起，</w:t>
            </w:r>
            <w:r>
              <w:rPr>
                <w:rFonts w:hint="eastAsia"/>
                <w:sz w:val="24"/>
              </w:rPr>
              <w:t>至少</w:t>
            </w:r>
            <w:r>
              <w:rPr>
                <w:rFonts w:hint="eastAsia"/>
                <w:sz w:val="24"/>
                <w:lang w:val="en-US" w:eastAsia="zh-CN"/>
              </w:rPr>
              <w:t>5</w:t>
            </w:r>
            <w:r>
              <w:rPr>
                <w:rFonts w:hint="eastAsia"/>
                <w:sz w:val="24"/>
              </w:rPr>
              <w:t>年全责免费保修</w:t>
            </w:r>
            <w:r>
              <w:rPr>
                <w:rFonts w:hint="eastAsia" w:asciiTheme="minorEastAsia" w:hAnsiTheme="minorEastAsia" w:eastAsiaTheme="minorEastAsia"/>
                <w:sz w:val="24"/>
              </w:rPr>
              <w:t>，</w:t>
            </w:r>
            <w:r>
              <w:rPr>
                <w:rFonts w:asciiTheme="minorEastAsia" w:hAnsiTheme="minorEastAsia" w:eastAsiaTheme="minorEastAsia"/>
                <w:sz w:val="24"/>
              </w:rPr>
              <w:t>零配件免费</w:t>
            </w:r>
            <w:r>
              <w:rPr>
                <w:rFonts w:hint="eastAsia" w:asciiTheme="minorEastAsia" w:hAnsiTheme="minorEastAsia" w:eastAsiaTheme="minorEastAsia"/>
                <w:sz w:val="24"/>
              </w:rPr>
              <w:t>;保修期</w:t>
            </w:r>
            <w:r>
              <w:rPr>
                <w:rFonts w:asciiTheme="minorEastAsia" w:hAnsiTheme="minorEastAsia" w:eastAsiaTheme="minorEastAsia"/>
                <w:sz w:val="24"/>
              </w:rPr>
              <w:t>内</w:t>
            </w:r>
            <w:r>
              <w:rPr>
                <w:rFonts w:hint="eastAsia" w:asciiTheme="minorEastAsia" w:hAnsiTheme="minorEastAsia" w:eastAsiaTheme="minorEastAsia"/>
                <w:sz w:val="24"/>
              </w:rPr>
              <w:t>并依原厂规定执行定期保养与校正，中标</w:t>
            </w:r>
            <w:r>
              <w:rPr>
                <w:rFonts w:asciiTheme="minorEastAsia" w:hAnsiTheme="minorEastAsia" w:eastAsiaTheme="minorEastAsia"/>
                <w:sz w:val="24"/>
              </w:rPr>
              <w:t>厂商提供保养工具</w:t>
            </w:r>
            <w:r>
              <w:rPr>
                <w:rFonts w:hint="eastAsia" w:asciiTheme="minorEastAsia" w:hAnsiTheme="minorEastAsia" w:eastAsiaTheme="minorEastAsia"/>
                <w:sz w:val="24"/>
              </w:rPr>
              <w:t>及</w:t>
            </w:r>
            <w:r>
              <w:rPr>
                <w:rFonts w:asciiTheme="minorEastAsia" w:hAnsiTheme="minorEastAsia" w:eastAsiaTheme="minorEastAsia"/>
                <w:sz w:val="24"/>
              </w:rPr>
              <w:t>设备</w:t>
            </w:r>
            <w:r>
              <w:rPr>
                <w:rFonts w:hint="eastAsia" w:asciiTheme="minorEastAsia" w:hAnsiTheme="minorEastAsia" w:eastAsiaTheme="minorEastAsia"/>
                <w:sz w:val="24"/>
              </w:rPr>
              <w:t>。24小时不能排除故障要求提供备品服务，备品满足同样要求。</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sz w:val="24"/>
              </w:rPr>
              <w:t>装机</w:t>
            </w:r>
            <w:r>
              <w:rPr>
                <w:sz w:val="24"/>
              </w:rPr>
              <w:t>完成后，设备厂商需提供</w:t>
            </w:r>
            <w:r>
              <w:rPr>
                <w:rFonts w:hint="eastAsia"/>
                <w:sz w:val="24"/>
              </w:rPr>
              <w:t>所有</w:t>
            </w:r>
            <w:r>
              <w:rPr>
                <w:sz w:val="24"/>
              </w:rPr>
              <w:t>可能造成技术壁垒的信息，</w:t>
            </w:r>
            <w:r>
              <w:rPr>
                <w:rFonts w:hint="eastAsia"/>
                <w:sz w:val="24"/>
              </w:rPr>
              <w:t>包括</w:t>
            </w:r>
            <w:r>
              <w:rPr>
                <w:sz w:val="24"/>
              </w:rPr>
              <w:t>但不限于密码、USB-key、电子锁具等，验收时</w:t>
            </w:r>
            <w:r>
              <w:rPr>
                <w:rFonts w:hint="eastAsia"/>
                <w:sz w:val="24"/>
              </w:rPr>
              <w:t>我院</w:t>
            </w:r>
            <w:r>
              <w:rPr>
                <w:sz w:val="24"/>
              </w:rPr>
              <w:t>工程师需可对所有后台信息完全可掌握</w:t>
            </w:r>
            <w:r>
              <w:rPr>
                <w:rFonts w:hint="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7.3</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保修期内已购软件免费升级</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7.4</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提供新增软、硬件购置折扣计价方式</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7.5</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提供</w:t>
            </w:r>
            <w:r>
              <w:rPr>
                <w:rFonts w:asciiTheme="minorEastAsia" w:hAnsiTheme="minorEastAsia" w:eastAsiaTheme="minorEastAsia"/>
                <w:sz w:val="24"/>
              </w:rPr>
              <w:t>全部</w:t>
            </w:r>
            <w:r>
              <w:rPr>
                <w:rFonts w:hint="eastAsia" w:asciiTheme="minorEastAsia" w:hAnsiTheme="minorEastAsia" w:eastAsiaTheme="minorEastAsia"/>
                <w:sz w:val="24"/>
              </w:rPr>
              <w:t>零件编号</w:t>
            </w:r>
            <w:r>
              <w:rPr>
                <w:rFonts w:asciiTheme="minorEastAsia" w:hAnsiTheme="minorEastAsia" w:eastAsiaTheme="minorEastAsia"/>
                <w:sz w:val="24"/>
              </w:rPr>
              <w:t>及</w:t>
            </w:r>
            <w:r>
              <w:rPr>
                <w:rFonts w:hint="eastAsia" w:asciiTheme="minorEastAsia" w:hAnsiTheme="minorEastAsia" w:eastAsiaTheme="minorEastAsia"/>
                <w:sz w:val="24"/>
              </w:rPr>
              <w:t>价格，零件</w:t>
            </w:r>
            <w:r>
              <w:rPr>
                <w:rFonts w:asciiTheme="minorEastAsia" w:hAnsiTheme="minorEastAsia" w:eastAsiaTheme="minorEastAsia"/>
                <w:sz w:val="24"/>
              </w:rPr>
              <w:t>保证供应</w:t>
            </w:r>
            <w:r>
              <w:rPr>
                <w:rFonts w:hint="eastAsia" w:asciiTheme="minorEastAsia" w:hAnsiTheme="minorEastAsia" w:eastAsiaTheme="minorEastAsia"/>
                <w:sz w:val="24"/>
              </w:rPr>
              <w:t>10年以上；否则依本院设备残值回收</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7.6</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国外零件取得速度保证3日内，维修</w:t>
            </w:r>
            <w:r>
              <w:rPr>
                <w:rFonts w:asciiTheme="minorEastAsia" w:hAnsiTheme="minorEastAsia" w:eastAsiaTheme="minorEastAsia"/>
                <w:sz w:val="24"/>
              </w:rPr>
              <w:t>期间提供备机</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b/>
                <w:sz w:val="24"/>
              </w:rPr>
            </w:pPr>
            <w:r>
              <w:rPr>
                <w:rFonts w:hint="eastAsia" w:asciiTheme="minorEastAsia" w:hAnsiTheme="minorEastAsia" w:eastAsiaTheme="minorEastAsia"/>
                <w:b/>
                <w:sz w:val="24"/>
              </w:rPr>
              <w:t>八</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人员训练</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8.1</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设备</w:t>
            </w:r>
            <w:r>
              <w:rPr>
                <w:rFonts w:asciiTheme="minorEastAsia" w:hAnsiTheme="minorEastAsia" w:eastAsiaTheme="minorEastAsia"/>
                <w:sz w:val="24"/>
              </w:rPr>
              <w:t>到货</w:t>
            </w:r>
            <w:r>
              <w:rPr>
                <w:rFonts w:hint="eastAsia" w:asciiTheme="minorEastAsia" w:hAnsiTheme="minorEastAsia" w:eastAsiaTheme="minorEastAsia"/>
                <w:sz w:val="24"/>
              </w:rPr>
              <w:t>装机完成后，</w:t>
            </w:r>
            <w:r>
              <w:rPr>
                <w:rFonts w:asciiTheme="minorEastAsia" w:hAnsiTheme="minorEastAsia" w:eastAsiaTheme="minorEastAsia"/>
                <w:sz w:val="24"/>
              </w:rPr>
              <w:t>厂商</w:t>
            </w:r>
            <w:r>
              <w:rPr>
                <w:rFonts w:hint="eastAsia" w:asciiTheme="minorEastAsia" w:hAnsiTheme="minorEastAsia" w:eastAsiaTheme="minorEastAsia"/>
                <w:sz w:val="24"/>
              </w:rPr>
              <w:t>需配合我院</w:t>
            </w:r>
            <w:r>
              <w:rPr>
                <w:rFonts w:asciiTheme="minorEastAsia" w:hAnsiTheme="minorEastAsia" w:eastAsiaTheme="minorEastAsia"/>
                <w:sz w:val="24"/>
              </w:rPr>
              <w:t>仪器处安排，</w:t>
            </w:r>
            <w:r>
              <w:rPr>
                <w:rFonts w:hint="eastAsia" w:asciiTheme="minorEastAsia" w:hAnsiTheme="minorEastAsia" w:eastAsiaTheme="minorEastAsia"/>
                <w:sz w:val="24"/>
              </w:rPr>
              <w:t>不限次</w:t>
            </w:r>
            <w:r>
              <w:rPr>
                <w:rFonts w:asciiTheme="minorEastAsia" w:hAnsiTheme="minorEastAsia" w:eastAsiaTheme="minorEastAsia"/>
                <w:sz w:val="24"/>
              </w:rPr>
              <w:t>免费</w:t>
            </w:r>
            <w:r>
              <w:rPr>
                <w:rFonts w:hint="eastAsia" w:asciiTheme="minorEastAsia" w:hAnsiTheme="minorEastAsia" w:eastAsiaTheme="minorEastAsia"/>
                <w:sz w:val="24"/>
              </w:rPr>
              <w:t>指导使用科室所有</w:t>
            </w:r>
            <w:r>
              <w:rPr>
                <w:rFonts w:asciiTheme="minorEastAsia" w:hAnsiTheme="minorEastAsia" w:eastAsiaTheme="minorEastAsia"/>
                <w:sz w:val="24"/>
              </w:rPr>
              <w:t>使用人员进行</w:t>
            </w:r>
            <w:r>
              <w:rPr>
                <w:rFonts w:hint="eastAsia" w:asciiTheme="minorEastAsia" w:hAnsiTheme="minorEastAsia" w:eastAsiaTheme="minorEastAsia"/>
                <w:sz w:val="24"/>
              </w:rPr>
              <w:t>实际操作训练，</w:t>
            </w:r>
            <w:r>
              <w:rPr>
                <w:rFonts w:asciiTheme="minorEastAsia" w:hAnsiTheme="minorEastAsia" w:eastAsiaTheme="minorEastAsia"/>
                <w:sz w:val="24"/>
              </w:rPr>
              <w:t>直至完全</w:t>
            </w:r>
            <w:r>
              <w:rPr>
                <w:rFonts w:hint="eastAsia" w:asciiTheme="minorEastAsia" w:hAnsiTheme="minorEastAsia" w:eastAsiaTheme="minorEastAsia"/>
                <w:sz w:val="24"/>
              </w:rPr>
              <w:t>熟练</w:t>
            </w:r>
            <w:r>
              <w:rPr>
                <w:rFonts w:asciiTheme="minorEastAsia" w:hAnsiTheme="minorEastAsia" w:eastAsiaTheme="minorEastAsia"/>
                <w:sz w:val="24"/>
              </w:rPr>
              <w:t>掌握操作</w:t>
            </w:r>
            <w:r>
              <w:rPr>
                <w:rFonts w:hint="eastAsia" w:asciiTheme="minorEastAsia" w:hAnsiTheme="minorEastAsia" w:eastAsiaTheme="minorEastAsia"/>
                <w:sz w:val="24"/>
              </w:rPr>
              <w:t>流程</w:t>
            </w:r>
            <w:r>
              <w:rPr>
                <w:rFonts w:asciiTheme="minorEastAsia" w:hAnsiTheme="minorEastAsia" w:eastAsiaTheme="minorEastAsia"/>
                <w:sz w:val="24"/>
              </w:rPr>
              <w:t>及日常保养流程</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提供原厂完整课程维修技术训练1</w:t>
            </w:r>
            <w:r>
              <w:rPr>
                <w:rFonts w:asciiTheme="minorEastAsia" w:hAnsiTheme="minorEastAsia" w:eastAsiaTheme="minorEastAsia"/>
                <w:sz w:val="24"/>
              </w:rPr>
              <w:t>-2</w:t>
            </w:r>
            <w:r>
              <w:rPr>
                <w:rFonts w:hint="eastAsia" w:asciiTheme="minorEastAsia" w:hAnsiTheme="minorEastAsia" w:eastAsiaTheme="minorEastAsia"/>
                <w:sz w:val="24"/>
              </w:rPr>
              <w:t>名(含学费)，</w:t>
            </w:r>
            <w:r>
              <w:rPr>
                <w:rFonts w:asciiTheme="minorEastAsia" w:hAnsiTheme="minorEastAsia" w:eastAsiaTheme="minorEastAsia"/>
                <w:sz w:val="24"/>
              </w:rPr>
              <w:t>最终</w:t>
            </w:r>
            <w:r>
              <w:rPr>
                <w:rFonts w:hint="eastAsia" w:asciiTheme="minorEastAsia" w:hAnsiTheme="minorEastAsia" w:eastAsiaTheme="minorEastAsia"/>
                <w:sz w:val="24"/>
              </w:rPr>
              <w:t>培训要求</w:t>
            </w:r>
            <w:r>
              <w:rPr>
                <w:rFonts w:asciiTheme="minorEastAsia" w:hAnsiTheme="minorEastAsia" w:eastAsiaTheme="minorEastAsia"/>
                <w:sz w:val="24"/>
              </w:rPr>
              <w:t>，使我院仪器处工程师</w:t>
            </w:r>
            <w:r>
              <w:rPr>
                <w:rFonts w:hint="eastAsia" w:asciiTheme="minorEastAsia" w:hAnsiTheme="minorEastAsia" w:eastAsiaTheme="minorEastAsia"/>
                <w:sz w:val="24"/>
              </w:rPr>
              <w:t>可</w:t>
            </w:r>
            <w:r>
              <w:rPr>
                <w:rFonts w:asciiTheme="minorEastAsia" w:hAnsiTheme="minorEastAsia" w:eastAsiaTheme="minorEastAsia"/>
                <w:sz w:val="24"/>
              </w:rPr>
              <w:t>独立、完整掌握本机设备的原理、调试、维修</w:t>
            </w:r>
            <w:r>
              <w:rPr>
                <w:rFonts w:hint="eastAsia" w:asciiTheme="minorEastAsia" w:hAnsiTheme="minorEastAsia" w:eastAsiaTheme="minorEastAsia"/>
                <w:sz w:val="24"/>
              </w:rPr>
              <w:t>及所有</w:t>
            </w:r>
            <w:r>
              <w:rPr>
                <w:rFonts w:asciiTheme="minorEastAsia" w:hAnsiTheme="minorEastAsia" w:eastAsiaTheme="minorEastAsia"/>
                <w:sz w:val="24"/>
              </w:rPr>
              <w:t>维护保养工作。</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原厂维修</w:t>
            </w:r>
            <w:r>
              <w:rPr>
                <w:rFonts w:asciiTheme="minorEastAsia" w:hAnsiTheme="minorEastAsia" w:eastAsiaTheme="minorEastAsia"/>
                <w:sz w:val="24"/>
              </w:rPr>
              <w:t>技术训练</w:t>
            </w:r>
            <w:r>
              <w:rPr>
                <w:rFonts w:hint="eastAsia" w:asciiTheme="minorEastAsia" w:hAnsiTheme="minorEastAsia" w:eastAsiaTheme="minorEastAsia"/>
                <w:sz w:val="24"/>
              </w:rPr>
              <w:t>费用</w:t>
            </w:r>
            <w:r>
              <w:rPr>
                <w:rFonts w:asciiTheme="minorEastAsia" w:hAnsiTheme="minorEastAsia" w:eastAsiaTheme="minorEastAsia"/>
                <w:sz w:val="24"/>
              </w:rPr>
              <w:t>分摊</w:t>
            </w:r>
            <w:r>
              <w:rPr>
                <w:rFonts w:hint="eastAsia" w:asciiTheme="minorEastAsia" w:hAnsiTheme="minorEastAsia" w:eastAsiaTheme="minorEastAsia"/>
                <w:sz w:val="24"/>
              </w:rPr>
              <w:t>：课程学费、住宿地点与训练地点间之交通由得标厂商负责，机票费、日常生活费由本院自理</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操作手册，2份中文或英文原版手册</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tcPr>
          <w:p>
            <w:pPr>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.5</w:t>
            </w:r>
          </w:p>
        </w:tc>
        <w:tc>
          <w:tcPr>
            <w:tcW w:w="765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内容需包含：</w:t>
            </w:r>
          </w:p>
          <w:p>
            <w:pPr>
              <w:rPr>
                <w:rFonts w:hint="eastAsia" w:asciiTheme="minorEastAsia" w:hAnsiTheme="minorEastAsia" w:eastAsiaTheme="minorEastAsia"/>
                <w:sz w:val="24"/>
              </w:rPr>
            </w:pPr>
            <w:r>
              <w:rPr>
                <w:rFonts w:hint="eastAsia" w:asciiTheme="minorEastAsia" w:hAnsiTheme="minorEastAsia" w:eastAsiaTheme="minorEastAsia"/>
                <w:sz w:val="24"/>
              </w:rPr>
              <w:t>1电子控制线路图</w:t>
            </w:r>
          </w:p>
          <w:p>
            <w:pPr>
              <w:rPr>
                <w:rFonts w:hint="eastAsia" w:asciiTheme="minorEastAsia" w:hAnsiTheme="minorEastAsia" w:eastAsiaTheme="minorEastAsia"/>
                <w:sz w:val="24"/>
              </w:rPr>
            </w:pPr>
            <w:r>
              <w:rPr>
                <w:rFonts w:hint="eastAsia" w:asciiTheme="minorEastAsia" w:hAnsiTheme="minorEastAsia" w:eastAsiaTheme="minorEastAsia"/>
                <w:sz w:val="24"/>
              </w:rPr>
              <w:t>2电子控制线路解说</w:t>
            </w:r>
          </w:p>
          <w:p>
            <w:pPr>
              <w:rPr>
                <w:rFonts w:hint="eastAsia" w:asciiTheme="minorEastAsia" w:hAnsiTheme="minorEastAsia" w:eastAsiaTheme="minorEastAsia"/>
                <w:sz w:val="24"/>
              </w:rPr>
            </w:pPr>
            <w:r>
              <w:rPr>
                <w:rFonts w:hint="eastAsia" w:asciiTheme="minorEastAsia" w:hAnsiTheme="minorEastAsia" w:eastAsiaTheme="minorEastAsia"/>
                <w:sz w:val="24"/>
              </w:rPr>
              <w:t>3功能测试步骤与调整校正说明</w:t>
            </w:r>
          </w:p>
          <w:p>
            <w:pPr>
              <w:rPr>
                <w:rFonts w:hint="eastAsia" w:asciiTheme="minorEastAsia" w:hAnsiTheme="minorEastAsia" w:eastAsiaTheme="minorEastAsia"/>
                <w:sz w:val="24"/>
              </w:rPr>
            </w:pPr>
            <w:r>
              <w:rPr>
                <w:rFonts w:hint="eastAsia" w:asciiTheme="minorEastAsia" w:hAnsiTheme="minorEastAsia" w:eastAsiaTheme="minorEastAsia"/>
                <w:sz w:val="24"/>
              </w:rPr>
              <w:t>4零件分布图</w:t>
            </w:r>
          </w:p>
          <w:p>
            <w:pPr>
              <w:rPr>
                <w:rFonts w:hint="eastAsia" w:asciiTheme="minorEastAsia" w:hAnsiTheme="minorEastAsia" w:eastAsiaTheme="minorEastAsia"/>
                <w:sz w:val="24"/>
              </w:rPr>
            </w:pPr>
            <w:r>
              <w:rPr>
                <w:rFonts w:hint="eastAsia" w:asciiTheme="minorEastAsia" w:hAnsiTheme="minorEastAsia" w:eastAsiaTheme="minorEastAsia"/>
                <w:sz w:val="24"/>
              </w:rPr>
              <w:t>5保养校正作业内容</w:t>
            </w:r>
          </w:p>
          <w:p>
            <w:pPr>
              <w:rPr>
                <w:rFonts w:hint="eastAsia" w:asciiTheme="minorEastAsia" w:hAnsiTheme="minorEastAsia" w:eastAsiaTheme="minorEastAsia"/>
                <w:sz w:val="24"/>
              </w:rPr>
            </w:pPr>
            <w:r>
              <w:rPr>
                <w:rFonts w:hint="eastAsia" w:asciiTheme="minorEastAsia" w:hAnsiTheme="minorEastAsia" w:eastAsiaTheme="minorEastAsia"/>
                <w:sz w:val="24"/>
              </w:rPr>
              <w:t>6故障原因与排除方式解说</w:t>
            </w:r>
          </w:p>
        </w:tc>
      </w:tr>
    </w:tbl>
    <w:p>
      <w:pPr>
        <w:widowControl/>
        <w:jc w:val="left"/>
      </w:pPr>
    </w:p>
    <w:sectPr>
      <w:pgSz w:w="11906" w:h="16838"/>
      <w:pgMar w:top="709" w:right="127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F"/>
    <w:rsid w:val="00016D8F"/>
    <w:rsid w:val="000215FD"/>
    <w:rsid w:val="00056113"/>
    <w:rsid w:val="000754FE"/>
    <w:rsid w:val="00075EBC"/>
    <w:rsid w:val="00075F2F"/>
    <w:rsid w:val="00081DD0"/>
    <w:rsid w:val="000A05D5"/>
    <w:rsid w:val="000A55B2"/>
    <w:rsid w:val="000A633A"/>
    <w:rsid w:val="000A6F6F"/>
    <w:rsid w:val="000C48BA"/>
    <w:rsid w:val="000F77F5"/>
    <w:rsid w:val="00115A8F"/>
    <w:rsid w:val="0012452E"/>
    <w:rsid w:val="001363C7"/>
    <w:rsid w:val="001437F9"/>
    <w:rsid w:val="00190315"/>
    <w:rsid w:val="001A775B"/>
    <w:rsid w:val="001C5454"/>
    <w:rsid w:val="001C665C"/>
    <w:rsid w:val="00205D34"/>
    <w:rsid w:val="00240401"/>
    <w:rsid w:val="002414C6"/>
    <w:rsid w:val="002476C4"/>
    <w:rsid w:val="00254166"/>
    <w:rsid w:val="00295838"/>
    <w:rsid w:val="0029607D"/>
    <w:rsid w:val="002975B2"/>
    <w:rsid w:val="002A16B5"/>
    <w:rsid w:val="002B1699"/>
    <w:rsid w:val="002B7A78"/>
    <w:rsid w:val="002E1D48"/>
    <w:rsid w:val="002F0CEA"/>
    <w:rsid w:val="002F4015"/>
    <w:rsid w:val="002F74F2"/>
    <w:rsid w:val="003071BF"/>
    <w:rsid w:val="0031650F"/>
    <w:rsid w:val="00330F76"/>
    <w:rsid w:val="00334646"/>
    <w:rsid w:val="003514DF"/>
    <w:rsid w:val="00351C0E"/>
    <w:rsid w:val="003729D5"/>
    <w:rsid w:val="00390901"/>
    <w:rsid w:val="00391BFE"/>
    <w:rsid w:val="00397343"/>
    <w:rsid w:val="003979D4"/>
    <w:rsid w:val="003D3C85"/>
    <w:rsid w:val="003F1CC4"/>
    <w:rsid w:val="004302DA"/>
    <w:rsid w:val="004472F5"/>
    <w:rsid w:val="00462CD5"/>
    <w:rsid w:val="00490B92"/>
    <w:rsid w:val="00495348"/>
    <w:rsid w:val="004A0028"/>
    <w:rsid w:val="004B2106"/>
    <w:rsid w:val="004B329B"/>
    <w:rsid w:val="004C5EBC"/>
    <w:rsid w:val="004D33EB"/>
    <w:rsid w:val="004E6861"/>
    <w:rsid w:val="00515D97"/>
    <w:rsid w:val="00536B45"/>
    <w:rsid w:val="005412FB"/>
    <w:rsid w:val="00565906"/>
    <w:rsid w:val="00583A6B"/>
    <w:rsid w:val="005B62EB"/>
    <w:rsid w:val="005C0A61"/>
    <w:rsid w:val="005E326E"/>
    <w:rsid w:val="00602667"/>
    <w:rsid w:val="00604064"/>
    <w:rsid w:val="00616727"/>
    <w:rsid w:val="006206C4"/>
    <w:rsid w:val="006228E6"/>
    <w:rsid w:val="006243FA"/>
    <w:rsid w:val="00636844"/>
    <w:rsid w:val="00641F46"/>
    <w:rsid w:val="006563E8"/>
    <w:rsid w:val="00684531"/>
    <w:rsid w:val="006B40D3"/>
    <w:rsid w:val="00711E4C"/>
    <w:rsid w:val="007403DD"/>
    <w:rsid w:val="0075156E"/>
    <w:rsid w:val="00766299"/>
    <w:rsid w:val="00772C47"/>
    <w:rsid w:val="007A014A"/>
    <w:rsid w:val="008058D7"/>
    <w:rsid w:val="00806263"/>
    <w:rsid w:val="00813987"/>
    <w:rsid w:val="0082668A"/>
    <w:rsid w:val="00837D27"/>
    <w:rsid w:val="00857FB4"/>
    <w:rsid w:val="00865460"/>
    <w:rsid w:val="00875ED1"/>
    <w:rsid w:val="008832E5"/>
    <w:rsid w:val="00896905"/>
    <w:rsid w:val="008E34D6"/>
    <w:rsid w:val="008F16BF"/>
    <w:rsid w:val="00903BBB"/>
    <w:rsid w:val="00921EF4"/>
    <w:rsid w:val="00925667"/>
    <w:rsid w:val="00935762"/>
    <w:rsid w:val="00957215"/>
    <w:rsid w:val="0099204C"/>
    <w:rsid w:val="009A39BF"/>
    <w:rsid w:val="009A424D"/>
    <w:rsid w:val="009B0DDB"/>
    <w:rsid w:val="009D07B4"/>
    <w:rsid w:val="00A0169F"/>
    <w:rsid w:val="00A01EBD"/>
    <w:rsid w:val="00A0583E"/>
    <w:rsid w:val="00A05D5C"/>
    <w:rsid w:val="00A12B08"/>
    <w:rsid w:val="00A7158B"/>
    <w:rsid w:val="00A830E0"/>
    <w:rsid w:val="00AA4E00"/>
    <w:rsid w:val="00AC08CE"/>
    <w:rsid w:val="00AD7FAD"/>
    <w:rsid w:val="00AF43C1"/>
    <w:rsid w:val="00B24EA9"/>
    <w:rsid w:val="00B36422"/>
    <w:rsid w:val="00B40E09"/>
    <w:rsid w:val="00B7531B"/>
    <w:rsid w:val="00BA7A95"/>
    <w:rsid w:val="00BC754C"/>
    <w:rsid w:val="00BE18F2"/>
    <w:rsid w:val="00BE2ACA"/>
    <w:rsid w:val="00C11603"/>
    <w:rsid w:val="00C4414B"/>
    <w:rsid w:val="00C609EB"/>
    <w:rsid w:val="00C61CA0"/>
    <w:rsid w:val="00C763C7"/>
    <w:rsid w:val="00CA3CCB"/>
    <w:rsid w:val="00CC2F49"/>
    <w:rsid w:val="00CC764C"/>
    <w:rsid w:val="00CE3BB0"/>
    <w:rsid w:val="00D0748B"/>
    <w:rsid w:val="00DF27DC"/>
    <w:rsid w:val="00E204A6"/>
    <w:rsid w:val="00E309FA"/>
    <w:rsid w:val="00E34A51"/>
    <w:rsid w:val="00E373F9"/>
    <w:rsid w:val="00E444E7"/>
    <w:rsid w:val="00E83F95"/>
    <w:rsid w:val="00EA0FA9"/>
    <w:rsid w:val="00ED7095"/>
    <w:rsid w:val="00EF0908"/>
    <w:rsid w:val="00F061E2"/>
    <w:rsid w:val="00F1768B"/>
    <w:rsid w:val="00F46C5F"/>
    <w:rsid w:val="00F5252E"/>
    <w:rsid w:val="00F8162F"/>
    <w:rsid w:val="00F84403"/>
    <w:rsid w:val="00F9251B"/>
    <w:rsid w:val="00F94A84"/>
    <w:rsid w:val="00FB21C6"/>
    <w:rsid w:val="00FC0DF6"/>
    <w:rsid w:val="00FD1800"/>
    <w:rsid w:val="02ED63EE"/>
    <w:rsid w:val="10704CA8"/>
    <w:rsid w:val="14377C0F"/>
    <w:rsid w:val="174964D2"/>
    <w:rsid w:val="1AE81517"/>
    <w:rsid w:val="1B671B38"/>
    <w:rsid w:val="22A354A5"/>
    <w:rsid w:val="22AE157E"/>
    <w:rsid w:val="327255CC"/>
    <w:rsid w:val="34E10767"/>
    <w:rsid w:val="401C19ED"/>
    <w:rsid w:val="46866C60"/>
    <w:rsid w:val="4B910CE7"/>
    <w:rsid w:val="6FFF2068"/>
    <w:rsid w:val="71865C65"/>
    <w:rsid w:val="73BC23E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0"/>
    <w:semiHidden/>
    <w:qFormat/>
    <w:uiPriority w:val="0"/>
    <w:pPr>
      <w:spacing w:line="360" w:lineRule="auto"/>
      <w:ind w:left="720" w:hanging="720" w:hangingChars="300"/>
    </w:pPr>
    <w:rPr>
      <w:sz w:val="24"/>
      <w:szCs w:val="20"/>
    </w:rPr>
  </w:style>
  <w:style w:type="paragraph" w:styleId="3">
    <w:name w:val="Date"/>
    <w:basedOn w:val="1"/>
    <w:next w:val="1"/>
    <w:link w:val="11"/>
    <w:semiHidden/>
    <w:qFormat/>
    <w:uiPriority w:val="0"/>
    <w:rPr>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正文文本缩进 字符"/>
    <w:basedOn w:val="6"/>
    <w:link w:val="2"/>
    <w:semiHidden/>
    <w:qFormat/>
    <w:uiPriority w:val="0"/>
    <w:rPr>
      <w:rFonts w:ascii="Times New Roman" w:hAnsi="Times New Roman" w:eastAsia="宋体" w:cs="Times New Roman"/>
      <w:sz w:val="24"/>
      <w:szCs w:val="20"/>
    </w:rPr>
  </w:style>
  <w:style w:type="character" w:customStyle="1" w:styleId="11">
    <w:name w:val="日期 字符"/>
    <w:basedOn w:val="6"/>
    <w:link w:val="3"/>
    <w:semiHidden/>
    <w:qFormat/>
    <w:uiPriority w:val="0"/>
    <w:rPr>
      <w:rFonts w:ascii="Times New Roman" w:hAnsi="Times New Roman" w:eastAsia="宋体" w:cs="Times New Roman"/>
      <w:szCs w:val="20"/>
    </w:rPr>
  </w:style>
  <w:style w:type="paragraph" w:customStyle="1" w:styleId="12">
    <w:name w:val="列表段落1"/>
    <w:basedOn w:val="1"/>
    <w:qFormat/>
    <w:uiPriority w:val="34"/>
    <w:pPr>
      <w:ind w:firstLine="420" w:firstLineChars="200"/>
    </w:pPr>
  </w:style>
  <w:style w:type="character" w:customStyle="1" w:styleId="13">
    <w:name w:val="font21"/>
    <w:qFormat/>
    <w:uiPriority w:val="0"/>
    <w:rPr>
      <w:rFonts w:hint="eastAsia" w:ascii="宋体" w:hAnsi="宋体" w:eastAsia="宋体" w:cs="宋体"/>
      <w:color w:val="000000"/>
      <w:sz w:val="24"/>
      <w:szCs w:val="24"/>
      <w:u w:val="none"/>
    </w:rPr>
  </w:style>
  <w:style w:type="character" w:customStyle="1" w:styleId="14">
    <w:name w:val="font31"/>
    <w:qFormat/>
    <w:uiPriority w:val="0"/>
    <w:rPr>
      <w:rFonts w:ascii="Arial" w:hAnsi="Arial" w:cs="Arial"/>
      <w:color w:val="000000"/>
      <w:sz w:val="24"/>
      <w:szCs w:val="24"/>
      <w:u w:val="none"/>
    </w:rPr>
  </w:style>
  <w:style w:type="character" w:customStyle="1" w:styleId="15">
    <w:name w:val="font7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1448</Words>
  <Characters>1738</Characters>
  <Lines>173</Lines>
  <Paragraphs>265</Paragraphs>
  <TotalTime>0</TotalTime>
  <ScaleCrop>false</ScaleCrop>
  <LinksUpToDate>false</LinksUpToDate>
  <CharactersWithSpaces>2921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2025-12-18T06:18:00Z</dcterms:created>
  <dc:creator>ad</dc:creator>
  <cp:lastModifiedBy>user</cp:lastModifiedBy>
  <cp:lastPrinted>2019-02-22T07:43:00Z</cp:lastPrinted>
  <dcterms:modified xsi:type="dcterms:W3CDTF">2025-12-22T06:09:46Z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EB5B3F3B110B4B6A9008EA6149039E0E</vt:lpwstr>
  </property>
</Properties>
</file>