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ind w:left="420" w:firstLine="360" w:firstLineChars="100"/>
        <w:rPr>
          <w:rFonts w:ascii="微软雅黑" w:hAnsi="微软雅黑" w:eastAsia="微软雅黑"/>
          <w:sz w:val="36"/>
          <w:szCs w:val="36"/>
        </w:rPr>
      </w:pPr>
      <w:r>
        <w:rPr>
          <w:rFonts w:hint="eastAsia" w:ascii="微软雅黑" w:hAnsi="微软雅黑" w:eastAsia="微软雅黑"/>
          <w:sz w:val="36"/>
          <w:szCs w:val="36"/>
        </w:rPr>
        <w:t>研究型病房智能</w:t>
      </w:r>
      <w:bookmarkStart w:id="0" w:name="_GoBack"/>
      <w:bookmarkEnd w:id="0"/>
      <w:r>
        <w:rPr>
          <w:rFonts w:hint="eastAsia" w:ascii="微软雅黑" w:hAnsi="微软雅黑" w:eastAsia="微软雅黑"/>
          <w:sz w:val="36"/>
          <w:szCs w:val="36"/>
        </w:rPr>
        <w:t>床旁交互系统遴选文件</w:t>
      </w:r>
    </w:p>
    <w:p>
      <w:pPr>
        <w:pStyle w:val="4"/>
        <w:spacing w:before="0" w:line="240" w:lineRule="auto"/>
        <w:ind w:left="420"/>
        <w:rPr>
          <w:rFonts w:ascii="微软雅黑" w:hAnsi="微软雅黑" w:eastAsia="微软雅黑"/>
          <w:b w:val="0"/>
          <w:bCs w:val="0"/>
        </w:rPr>
      </w:pPr>
      <w:r>
        <w:rPr>
          <w:rFonts w:hint="eastAsia" w:ascii="微软雅黑" w:hAnsi="微软雅黑" w:eastAsia="微软雅黑"/>
          <w:b w:val="0"/>
          <w:bCs w:val="0"/>
        </w:rPr>
        <w:t>一、项目基本情况</w:t>
      </w:r>
    </w:p>
    <w:p>
      <w:pPr>
        <w:rPr>
          <w:rFonts w:ascii="微软雅黑" w:hAnsi="微软雅黑" w:eastAsia="微软雅黑"/>
          <w:sz w:val="24"/>
        </w:rPr>
      </w:pPr>
      <w:r>
        <w:rPr>
          <w:rFonts w:hint="eastAsia" w:ascii="微软雅黑" w:hAnsi="微软雅黑" w:eastAsia="微软雅黑"/>
          <w:sz w:val="24"/>
        </w:rPr>
        <w:t>1、项目名称：智能床旁交互系统购置项目</w:t>
      </w:r>
    </w:p>
    <w:p>
      <w:pPr>
        <w:pStyle w:val="2"/>
        <w:spacing w:line="240" w:lineRule="auto"/>
        <w:ind w:firstLine="0" w:firstLineChars="0"/>
        <w:rPr>
          <w:rFonts w:ascii="微软雅黑" w:hAnsi="微软雅黑" w:eastAsia="微软雅黑" w:cs="微软雅黑"/>
          <w:szCs w:val="24"/>
          <w:lang w:val="en-US"/>
        </w:rPr>
      </w:pPr>
      <w:r>
        <w:rPr>
          <w:rFonts w:hint="eastAsia" w:ascii="微软雅黑" w:hAnsi="微软雅黑" w:eastAsia="微软雅黑" w:cs="微软雅黑"/>
          <w:szCs w:val="24"/>
          <w:lang w:val="en-US"/>
        </w:rPr>
        <w:t>2、项目预算金额：23.83575万元</w:t>
      </w:r>
    </w:p>
    <w:p>
      <w:pPr>
        <w:pStyle w:val="4"/>
        <w:spacing w:before="0" w:line="240" w:lineRule="auto"/>
        <w:ind w:firstLine="320" w:firstLineChars="100"/>
      </w:pPr>
      <w:r>
        <w:rPr>
          <w:rFonts w:hint="eastAsia" w:ascii="微软雅黑" w:hAnsi="微软雅黑" w:eastAsia="微软雅黑" w:cs="微软雅黑"/>
          <w:b w:val="0"/>
          <w:bCs w:val="0"/>
        </w:rPr>
        <w:t>二、采购清单及参数</w:t>
      </w:r>
    </w:p>
    <w:p>
      <w:pPr>
        <w:pStyle w:val="4"/>
        <w:spacing w:before="0" w:line="240" w:lineRule="auto"/>
        <w:rPr>
          <w:b w:val="0"/>
          <w:bCs w:val="0"/>
          <w:sz w:val="24"/>
          <w:szCs w:val="24"/>
        </w:rPr>
      </w:pPr>
      <w:r>
        <w:rPr>
          <w:rFonts w:hint="eastAsia" w:ascii="微软雅黑" w:hAnsi="微软雅黑" w:eastAsia="微软雅黑" w:cs="微软雅黑"/>
          <w:b w:val="0"/>
          <w:bCs w:val="0"/>
          <w:sz w:val="24"/>
          <w:szCs w:val="24"/>
        </w:rPr>
        <w:t>1、采购清单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1774"/>
        <w:gridCol w:w="1462"/>
        <w:gridCol w:w="1230"/>
        <w:gridCol w:w="1493"/>
        <w:gridCol w:w="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tcPr>
          <w:p>
            <w:pPr>
              <w:pStyle w:val="2"/>
              <w:spacing w:line="240" w:lineRule="auto"/>
              <w:ind w:firstLine="240" w:firstLineChars="100"/>
              <w:jc w:val="center"/>
              <w:rPr>
                <w:rFonts w:ascii="微软雅黑" w:hAnsi="微软雅黑" w:eastAsia="微软雅黑" w:cs="微软雅黑"/>
              </w:rPr>
            </w:pPr>
            <w:r>
              <w:rPr>
                <w:rFonts w:hint="eastAsia" w:ascii="微软雅黑" w:hAnsi="微软雅黑" w:eastAsia="微软雅黑" w:cs="微软雅黑"/>
              </w:rPr>
              <w:t>序号</w:t>
            </w:r>
          </w:p>
        </w:tc>
        <w:tc>
          <w:tcPr>
            <w:tcW w:w="2025" w:type="dxa"/>
          </w:tcPr>
          <w:p>
            <w:pPr>
              <w:pStyle w:val="2"/>
              <w:spacing w:line="240" w:lineRule="auto"/>
              <w:ind w:firstLine="240" w:firstLineChars="100"/>
              <w:jc w:val="center"/>
              <w:rPr>
                <w:rFonts w:ascii="微软雅黑" w:hAnsi="微软雅黑" w:eastAsia="微软雅黑" w:cs="微软雅黑"/>
              </w:rPr>
            </w:pPr>
            <w:r>
              <w:rPr>
                <w:rFonts w:hint="eastAsia" w:ascii="微软雅黑" w:hAnsi="微软雅黑" w:eastAsia="微软雅黑" w:cs="微软雅黑"/>
              </w:rPr>
              <w:t>品项名称</w:t>
            </w:r>
          </w:p>
        </w:tc>
        <w:tc>
          <w:tcPr>
            <w:tcW w:w="1575" w:type="dxa"/>
          </w:tcPr>
          <w:p>
            <w:pPr>
              <w:pStyle w:val="2"/>
              <w:spacing w:line="240" w:lineRule="auto"/>
              <w:ind w:firstLine="0" w:firstLineChars="0"/>
              <w:rPr>
                <w:rFonts w:ascii="微软雅黑" w:hAnsi="微软雅黑" w:eastAsia="微软雅黑" w:cs="微软雅黑"/>
              </w:rPr>
            </w:pPr>
            <w:r>
              <w:rPr>
                <w:rFonts w:hint="eastAsia" w:ascii="微软雅黑" w:hAnsi="微软雅黑" w:eastAsia="微软雅黑" w:cs="微软雅黑"/>
                <w:kern w:val="0"/>
              </w:rPr>
              <w:t>分品目单价预算金额（元）</w:t>
            </w:r>
          </w:p>
        </w:tc>
        <w:tc>
          <w:tcPr>
            <w:tcW w:w="1299" w:type="dxa"/>
          </w:tcPr>
          <w:p>
            <w:pPr>
              <w:pStyle w:val="2"/>
              <w:spacing w:line="240" w:lineRule="auto"/>
              <w:ind w:firstLine="0" w:firstLineChars="0"/>
              <w:jc w:val="center"/>
              <w:rPr>
                <w:rFonts w:ascii="微软雅黑" w:hAnsi="微软雅黑" w:eastAsia="微软雅黑" w:cs="微软雅黑"/>
              </w:rPr>
            </w:pPr>
            <w:r>
              <w:rPr>
                <w:rFonts w:hint="eastAsia" w:ascii="微软雅黑" w:hAnsi="微软雅黑" w:eastAsia="微软雅黑" w:cs="微软雅黑"/>
                <w:kern w:val="0"/>
              </w:rPr>
              <w:t>数量（个）</w:t>
            </w:r>
          </w:p>
        </w:tc>
        <w:tc>
          <w:tcPr>
            <w:tcW w:w="1548" w:type="dxa"/>
          </w:tcPr>
          <w:p>
            <w:pPr>
              <w:pStyle w:val="2"/>
              <w:spacing w:line="240" w:lineRule="auto"/>
              <w:ind w:firstLine="0" w:firstLineChars="0"/>
              <w:jc w:val="center"/>
              <w:rPr>
                <w:rFonts w:ascii="微软雅黑" w:hAnsi="微软雅黑" w:eastAsia="微软雅黑" w:cs="微软雅黑"/>
              </w:rPr>
            </w:pPr>
            <w:r>
              <w:rPr>
                <w:rFonts w:hint="eastAsia" w:ascii="微软雅黑" w:hAnsi="微软雅黑" w:eastAsia="微软雅黑" w:cs="微软雅黑"/>
                <w:kern w:val="0"/>
              </w:rPr>
              <w:t>预算金额（元）</w:t>
            </w:r>
          </w:p>
        </w:tc>
        <w:tc>
          <w:tcPr>
            <w:tcW w:w="1548" w:type="dxa"/>
          </w:tcPr>
          <w:p>
            <w:pPr>
              <w:pStyle w:val="2"/>
              <w:spacing w:line="240" w:lineRule="auto"/>
              <w:ind w:firstLine="0" w:firstLineChars="0"/>
              <w:rPr>
                <w:rFonts w:ascii="微软雅黑" w:hAnsi="微软雅黑" w:eastAsia="微软雅黑" w:cs="微软雅黑"/>
              </w:rPr>
            </w:pPr>
            <w:r>
              <w:rPr>
                <w:rFonts w:hint="eastAsia" w:ascii="微软雅黑" w:hAnsi="微软雅黑" w:eastAsia="微软雅黑" w:cs="微软雅黑"/>
                <w:kern w:val="0"/>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w:t>
            </w:r>
          </w:p>
        </w:tc>
        <w:tc>
          <w:tcPr>
            <w:tcW w:w="2025" w:type="dxa"/>
          </w:tcPr>
          <w:p>
            <w:pPr>
              <w:pStyle w:val="2"/>
              <w:ind w:firstLine="0" w:firstLineChars="0"/>
              <w:rPr>
                <w:rFonts w:ascii="微软雅黑" w:hAnsi="微软雅黑" w:eastAsia="微软雅黑" w:cs="微软雅黑"/>
                <w:lang w:val="en-US"/>
              </w:rPr>
            </w:pPr>
            <w:r>
              <w:rPr>
                <w:rFonts w:hint="eastAsia" w:ascii="微软雅黑" w:hAnsi="微软雅黑" w:eastAsia="微软雅黑" w:cs="微软雅黑"/>
              </w:rPr>
              <w:t>护理呼叫系统</w:t>
            </w:r>
            <w:r>
              <w:rPr>
                <w:rFonts w:hint="eastAsia" w:ascii="微软雅黑" w:hAnsi="微软雅黑" w:eastAsia="微软雅黑" w:cs="微软雅黑"/>
                <w:lang w:val="en-US"/>
              </w:rPr>
              <w:t>-护士站信息看板（液晶一体机）</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7850</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w:t>
            </w:r>
          </w:p>
        </w:tc>
        <w:tc>
          <w:tcPr>
            <w:tcW w:w="1548" w:type="dxa"/>
            <w:vMerge w:val="restart"/>
          </w:tcPr>
          <w:p>
            <w:pPr>
              <w:pStyle w:val="2"/>
              <w:spacing w:line="240" w:lineRule="auto"/>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238357.5</w:t>
            </w:r>
          </w:p>
        </w:tc>
        <w:tc>
          <w:tcPr>
            <w:tcW w:w="1548" w:type="dxa"/>
            <w:vMerge w:val="restart"/>
          </w:tcPr>
          <w:p>
            <w:pPr>
              <w:pStyle w:val="2"/>
              <w:ind w:firstLine="0" w:firstLineChars="0"/>
              <w:rPr>
                <w:rFonts w:ascii="微软雅黑" w:hAnsi="微软雅黑" w:eastAsia="微软雅黑" w:cs="微软雅黑"/>
                <w:lang w:val="en-US"/>
              </w:rPr>
            </w:pPr>
            <w:r>
              <w:rPr>
                <w:rFonts w:hint="eastAsia" w:ascii="微软雅黑" w:hAnsi="微软雅黑" w:eastAsia="微软雅黑" w:cs="微软雅黑"/>
              </w:rPr>
              <w:t>详见一、</w:t>
            </w:r>
            <w:r>
              <w:rPr>
                <w:rFonts w:hint="eastAsia" w:ascii="微软雅黑" w:hAnsi="微软雅黑" w:eastAsia="微软雅黑" w:cs="微软雅黑"/>
                <w:lang w:val="en-US"/>
              </w:rPr>
              <w:t>2采购参数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2</w:t>
            </w:r>
          </w:p>
        </w:tc>
        <w:tc>
          <w:tcPr>
            <w:tcW w:w="2025" w:type="dxa"/>
          </w:tcPr>
          <w:p>
            <w:pPr>
              <w:pStyle w:val="2"/>
              <w:ind w:firstLine="0" w:firstLineChars="0"/>
              <w:rPr>
                <w:rFonts w:ascii="微软雅黑" w:hAnsi="微软雅黑" w:eastAsia="微软雅黑" w:cs="微软雅黑"/>
                <w:lang w:val="en-US"/>
              </w:rPr>
            </w:pPr>
            <w:r>
              <w:rPr>
                <w:rFonts w:hint="eastAsia" w:ascii="微软雅黑" w:hAnsi="微软雅黑" w:eastAsia="微软雅黑" w:cs="微软雅黑"/>
              </w:rPr>
              <w:t>护理呼叫系统</w:t>
            </w:r>
            <w:r>
              <w:rPr>
                <w:rFonts w:hint="eastAsia" w:ascii="微软雅黑" w:hAnsi="微软雅黑" w:eastAsia="微软雅黑" w:cs="微软雅黑"/>
                <w:lang w:val="en-US"/>
              </w:rPr>
              <w:t>-床头对讲分机</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2788</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48</w:t>
            </w:r>
          </w:p>
        </w:tc>
        <w:tc>
          <w:tcPr>
            <w:tcW w:w="1548" w:type="dxa"/>
            <w:vMerge w:val="continue"/>
          </w:tcPr>
          <w:p>
            <w:pPr>
              <w:pStyle w:val="2"/>
              <w:ind w:firstLine="0" w:firstLineChars="0"/>
            </w:pPr>
          </w:p>
        </w:tc>
        <w:tc>
          <w:tcPr>
            <w:tcW w:w="1548" w:type="dxa"/>
            <w:vMerge w:val="continue"/>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3</w:t>
            </w:r>
          </w:p>
        </w:tc>
        <w:tc>
          <w:tcPr>
            <w:tcW w:w="2025" w:type="dxa"/>
          </w:tcPr>
          <w:p>
            <w:pPr>
              <w:pStyle w:val="2"/>
              <w:ind w:firstLine="0" w:firstLineChars="0"/>
              <w:rPr>
                <w:rFonts w:ascii="微软雅黑" w:hAnsi="微软雅黑" w:eastAsia="微软雅黑" w:cs="微软雅黑"/>
                <w:lang w:val="en-US"/>
              </w:rPr>
            </w:pPr>
            <w:r>
              <w:rPr>
                <w:rFonts w:hint="eastAsia" w:ascii="微软雅黑" w:hAnsi="微软雅黑" w:eastAsia="微软雅黑" w:cs="微软雅黑"/>
              </w:rPr>
              <w:t>护理呼叫系统</w:t>
            </w:r>
            <w:r>
              <w:rPr>
                <w:rFonts w:hint="eastAsia" w:ascii="微软雅黑" w:hAnsi="微软雅黑" w:eastAsia="微软雅黑" w:cs="微软雅黑"/>
                <w:lang w:val="en-US"/>
              </w:rPr>
              <w:t>-病房门口主机</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2981</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15</w:t>
            </w:r>
          </w:p>
        </w:tc>
        <w:tc>
          <w:tcPr>
            <w:tcW w:w="1548" w:type="dxa"/>
            <w:vMerge w:val="continue"/>
          </w:tcPr>
          <w:p>
            <w:pPr>
              <w:pStyle w:val="2"/>
              <w:ind w:firstLine="0" w:firstLineChars="0"/>
            </w:pPr>
          </w:p>
        </w:tc>
        <w:tc>
          <w:tcPr>
            <w:tcW w:w="1548" w:type="dxa"/>
            <w:vMerge w:val="continue"/>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4</w:t>
            </w:r>
          </w:p>
        </w:tc>
        <w:tc>
          <w:tcPr>
            <w:tcW w:w="2025" w:type="dxa"/>
          </w:tcPr>
          <w:p>
            <w:pPr>
              <w:pStyle w:val="2"/>
              <w:ind w:firstLine="0" w:firstLineChars="0"/>
              <w:rPr>
                <w:rFonts w:ascii="微软雅黑" w:hAnsi="微软雅黑" w:eastAsia="微软雅黑" w:cs="微软雅黑"/>
                <w:lang w:val="en-US"/>
              </w:rPr>
            </w:pPr>
            <w:r>
              <w:rPr>
                <w:rFonts w:hint="eastAsia" w:ascii="微软雅黑" w:hAnsi="微软雅黑" w:eastAsia="微软雅黑" w:cs="微软雅黑"/>
              </w:rPr>
              <w:t>护理呼叫系统</w:t>
            </w:r>
            <w:r>
              <w:rPr>
                <w:rFonts w:hint="eastAsia" w:ascii="微软雅黑" w:hAnsi="微软雅黑" w:eastAsia="微软雅黑" w:cs="微软雅黑"/>
                <w:lang w:val="en-US"/>
              </w:rPr>
              <w:t>-医护管理主机</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4968.5</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w:t>
            </w:r>
          </w:p>
        </w:tc>
        <w:tc>
          <w:tcPr>
            <w:tcW w:w="1548" w:type="dxa"/>
            <w:vMerge w:val="continue"/>
          </w:tcPr>
          <w:p>
            <w:pPr>
              <w:pStyle w:val="2"/>
              <w:ind w:firstLine="0" w:firstLineChars="0"/>
            </w:pPr>
          </w:p>
        </w:tc>
        <w:tc>
          <w:tcPr>
            <w:tcW w:w="1548" w:type="dxa"/>
            <w:vMerge w:val="continue"/>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5</w:t>
            </w:r>
          </w:p>
        </w:tc>
        <w:tc>
          <w:tcPr>
            <w:tcW w:w="2025" w:type="dxa"/>
          </w:tcPr>
          <w:p>
            <w:pPr>
              <w:pStyle w:val="2"/>
              <w:ind w:firstLine="0" w:firstLineChars="0"/>
              <w:rPr>
                <w:rFonts w:ascii="微软雅黑" w:hAnsi="微软雅黑" w:eastAsia="微软雅黑" w:cs="微软雅黑"/>
              </w:rPr>
            </w:pPr>
            <w:r>
              <w:rPr>
                <w:rFonts w:hint="eastAsia" w:ascii="微软雅黑" w:hAnsi="微软雅黑" w:eastAsia="微软雅黑" w:cs="微软雅黑"/>
              </w:rPr>
              <w:t>智慧白版系统</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15000</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w:t>
            </w:r>
          </w:p>
        </w:tc>
        <w:tc>
          <w:tcPr>
            <w:tcW w:w="1548" w:type="dxa"/>
            <w:vMerge w:val="continue"/>
          </w:tcPr>
          <w:p>
            <w:pPr>
              <w:pStyle w:val="2"/>
              <w:ind w:firstLine="0" w:firstLineChars="0"/>
            </w:pPr>
          </w:p>
        </w:tc>
        <w:tc>
          <w:tcPr>
            <w:tcW w:w="1548" w:type="dxa"/>
            <w:vMerge w:val="continue"/>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6</w:t>
            </w:r>
          </w:p>
        </w:tc>
        <w:tc>
          <w:tcPr>
            <w:tcW w:w="2025" w:type="dxa"/>
          </w:tcPr>
          <w:p>
            <w:pPr>
              <w:pStyle w:val="2"/>
              <w:ind w:firstLine="0" w:firstLineChars="0"/>
              <w:rPr>
                <w:rFonts w:ascii="微软雅黑" w:hAnsi="微软雅黑" w:eastAsia="微软雅黑" w:cs="微软雅黑"/>
              </w:rPr>
            </w:pPr>
            <w:r>
              <w:rPr>
                <w:rFonts w:hint="eastAsia" w:ascii="微软雅黑" w:hAnsi="微软雅黑" w:eastAsia="微软雅黑" w:cs="微软雅黑"/>
              </w:rPr>
              <w:t>智慧病房信息交互系统</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15000</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1</w:t>
            </w:r>
          </w:p>
        </w:tc>
        <w:tc>
          <w:tcPr>
            <w:tcW w:w="1548" w:type="dxa"/>
            <w:vMerge w:val="continue"/>
          </w:tcPr>
          <w:p>
            <w:pPr>
              <w:pStyle w:val="2"/>
              <w:ind w:firstLine="0" w:firstLineChars="0"/>
            </w:pPr>
          </w:p>
        </w:tc>
        <w:tc>
          <w:tcPr>
            <w:tcW w:w="1548" w:type="dxa"/>
            <w:vMerge w:val="continue"/>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3"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7</w:t>
            </w:r>
          </w:p>
        </w:tc>
        <w:tc>
          <w:tcPr>
            <w:tcW w:w="2025" w:type="dxa"/>
          </w:tcPr>
          <w:p>
            <w:pPr>
              <w:pStyle w:val="2"/>
              <w:ind w:firstLine="0" w:firstLineChars="0"/>
              <w:rPr>
                <w:rFonts w:ascii="微软雅黑" w:hAnsi="微软雅黑" w:eastAsia="微软雅黑" w:cs="微软雅黑"/>
                <w:lang w:val="en-US"/>
              </w:rPr>
            </w:pPr>
            <w:r>
              <w:rPr>
                <w:rFonts w:hint="eastAsia" w:ascii="微软雅黑" w:hAnsi="微软雅黑" w:eastAsia="微软雅黑" w:cs="微软雅黑"/>
                <w:lang w:val="en-US"/>
              </w:rPr>
              <w:t>48口交换机</w:t>
            </w:r>
          </w:p>
        </w:tc>
        <w:tc>
          <w:tcPr>
            <w:tcW w:w="1575"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8500</w:t>
            </w:r>
          </w:p>
        </w:tc>
        <w:tc>
          <w:tcPr>
            <w:tcW w:w="1299" w:type="dxa"/>
          </w:tcPr>
          <w:p>
            <w:pPr>
              <w:pStyle w:val="2"/>
              <w:ind w:firstLine="0" w:firstLineChars="0"/>
              <w:jc w:val="center"/>
              <w:rPr>
                <w:rFonts w:ascii="微软雅黑" w:hAnsi="微软雅黑" w:eastAsia="微软雅黑" w:cs="微软雅黑"/>
                <w:lang w:val="en-US"/>
              </w:rPr>
            </w:pPr>
            <w:r>
              <w:rPr>
                <w:rFonts w:hint="eastAsia" w:ascii="微软雅黑" w:hAnsi="微软雅黑" w:eastAsia="微软雅黑" w:cs="微软雅黑"/>
                <w:lang w:val="en-US"/>
              </w:rPr>
              <w:t>2</w:t>
            </w:r>
          </w:p>
        </w:tc>
        <w:tc>
          <w:tcPr>
            <w:tcW w:w="1548" w:type="dxa"/>
            <w:vMerge w:val="continue"/>
          </w:tcPr>
          <w:p>
            <w:pPr>
              <w:pStyle w:val="2"/>
              <w:ind w:firstLine="0" w:firstLineChars="0"/>
            </w:pPr>
          </w:p>
        </w:tc>
        <w:tc>
          <w:tcPr>
            <w:tcW w:w="1548" w:type="dxa"/>
            <w:vMerge w:val="continue"/>
          </w:tcPr>
          <w:p>
            <w:pPr>
              <w:pStyle w:val="2"/>
              <w:ind w:firstLine="0" w:firstLineChars="0"/>
            </w:pPr>
          </w:p>
        </w:tc>
      </w:tr>
    </w:tbl>
    <w:p>
      <w:pPr>
        <w:pStyle w:val="2"/>
        <w:ind w:firstLine="0" w:firstLineChars="0"/>
      </w:pPr>
    </w:p>
    <w:p>
      <w:pPr>
        <w:pStyle w:val="2"/>
        <w:ind w:firstLine="0" w:firstLineChars="0"/>
        <w:rPr>
          <w:rFonts w:ascii="微软雅黑" w:hAnsi="微软雅黑" w:eastAsia="微软雅黑" w:cs="微软雅黑"/>
          <w:sz w:val="32"/>
          <w:szCs w:val="32"/>
          <w:lang w:val="en-US"/>
        </w:rPr>
      </w:pPr>
      <w:r>
        <w:rPr>
          <w:rFonts w:hint="eastAsia" w:ascii="微软雅黑" w:hAnsi="微软雅黑" w:eastAsia="微软雅黑" w:cs="微软雅黑"/>
          <w:szCs w:val="24"/>
          <w:lang w:val="en-US"/>
        </w:rPr>
        <w:t>2、采购参数</w:t>
      </w:r>
    </w:p>
    <w:p>
      <w:pPr>
        <w:pStyle w:val="4"/>
        <w:spacing w:before="0"/>
        <w:ind w:left="420"/>
        <w:rPr>
          <w:rFonts w:ascii="微软雅黑" w:hAnsi="微软雅黑" w:eastAsia="微软雅黑"/>
          <w:b w:val="0"/>
          <w:bCs w:val="0"/>
          <w:sz w:val="24"/>
          <w:szCs w:val="24"/>
        </w:rPr>
      </w:pPr>
      <w:r>
        <w:rPr>
          <w:rFonts w:hint="eastAsia" w:ascii="微软雅黑" w:hAnsi="微软雅黑" w:eastAsia="微软雅黑"/>
          <w:b w:val="0"/>
          <w:bCs w:val="0"/>
          <w:sz w:val="24"/>
          <w:szCs w:val="24"/>
        </w:rPr>
        <w:t>（1）护理呼叫系统-护士站信息看板（液晶一体机）</w:t>
      </w:r>
    </w:p>
    <w:tbl>
      <w:tblPr>
        <w:tblStyle w:val="9"/>
        <w:tblW w:w="55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2007"/>
        <w:gridCol w:w="6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399" w:type="pct"/>
            <w:vAlign w:val="center"/>
          </w:tcPr>
          <w:p>
            <w:pPr>
              <w:jc w:val="center"/>
              <w:rPr>
                <w:rFonts w:ascii="微软雅黑" w:hAnsi="微软雅黑" w:eastAsia="微软雅黑"/>
                <w:b/>
                <w:sz w:val="22"/>
              </w:rPr>
            </w:pPr>
            <w:r>
              <w:rPr>
                <w:rFonts w:hint="eastAsia" w:ascii="微软雅黑" w:hAnsi="微软雅黑" w:eastAsia="微软雅黑"/>
                <w:b/>
                <w:sz w:val="22"/>
              </w:rPr>
              <w:t>序号</w:t>
            </w:r>
          </w:p>
        </w:tc>
        <w:tc>
          <w:tcPr>
            <w:tcW w:w="1061" w:type="pct"/>
            <w:vAlign w:val="center"/>
          </w:tcPr>
          <w:p>
            <w:pPr>
              <w:jc w:val="center"/>
              <w:rPr>
                <w:rFonts w:ascii="微软雅黑" w:hAnsi="微软雅黑" w:eastAsia="微软雅黑"/>
                <w:b/>
                <w:sz w:val="22"/>
              </w:rPr>
            </w:pPr>
            <w:r>
              <w:rPr>
                <w:rFonts w:hint="eastAsia" w:ascii="微软雅黑" w:hAnsi="微软雅黑" w:eastAsia="微软雅黑"/>
                <w:b/>
                <w:sz w:val="22"/>
              </w:rPr>
              <w:t>指标项</w:t>
            </w:r>
          </w:p>
        </w:tc>
        <w:tc>
          <w:tcPr>
            <w:tcW w:w="3540" w:type="pct"/>
            <w:vAlign w:val="center"/>
          </w:tcPr>
          <w:p>
            <w:pPr>
              <w:jc w:val="center"/>
              <w:rPr>
                <w:rFonts w:ascii="微软雅黑" w:hAnsi="微软雅黑" w:eastAsia="微软雅黑"/>
                <w:b/>
                <w:sz w:val="22"/>
              </w:rPr>
            </w:pPr>
            <w:r>
              <w:rPr>
                <w:rFonts w:hint="eastAsia" w:ascii="微软雅黑" w:hAnsi="微软雅黑" w:eastAsia="微软雅黑"/>
                <w:b/>
                <w:sz w:val="22"/>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cs="宋体"/>
                <w:kern w:val="0"/>
                <w:sz w:val="22"/>
              </w:rPr>
              <w:t>▲</w:t>
            </w:r>
            <w:r>
              <w:rPr>
                <w:rFonts w:hint="eastAsia" w:ascii="微软雅黑" w:hAnsi="微软雅黑" w:eastAsia="微软雅黑"/>
                <w:sz w:val="22"/>
              </w:rPr>
              <w:t>尺寸</w:t>
            </w:r>
          </w:p>
        </w:tc>
        <w:tc>
          <w:tcPr>
            <w:tcW w:w="3540" w:type="pct"/>
            <w:vAlign w:val="center"/>
          </w:tcPr>
          <w:p>
            <w:pPr>
              <w:jc w:val="left"/>
              <w:rPr>
                <w:rFonts w:ascii="微软雅黑" w:hAnsi="微软雅黑" w:eastAsia="微软雅黑"/>
                <w:sz w:val="22"/>
              </w:rPr>
            </w:pPr>
            <w:r>
              <w:rPr>
                <w:rFonts w:hint="eastAsia" w:ascii="微软雅黑" w:hAnsi="微软雅黑" w:eastAsia="微软雅黑"/>
                <w:sz w:val="22"/>
              </w:rPr>
              <w:t>LED液晶屏体，显示尺寸≥55英寸，屏幕使用4K A级硬屏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分辨率</w:t>
            </w:r>
          </w:p>
        </w:tc>
        <w:tc>
          <w:tcPr>
            <w:tcW w:w="3540" w:type="pct"/>
            <w:vAlign w:val="center"/>
          </w:tcPr>
          <w:p>
            <w:pPr>
              <w:jc w:val="left"/>
              <w:rPr>
                <w:rFonts w:ascii="微软雅黑" w:hAnsi="微软雅黑" w:eastAsia="微软雅黑"/>
                <w:sz w:val="22"/>
              </w:rPr>
            </w:pPr>
            <w:r>
              <w:rPr>
                <w:rFonts w:hint="eastAsia" w:ascii="微软雅黑" w:hAnsi="微软雅黑" w:eastAsia="微软雅黑"/>
                <w:sz w:val="22"/>
              </w:rPr>
              <w:t>分辨率≥3840*2160，对比度≥1</w:t>
            </w:r>
            <w:r>
              <w:rPr>
                <w:rFonts w:ascii="微软雅黑" w:hAnsi="微软雅黑" w:eastAsia="微软雅黑"/>
                <w:sz w:val="22"/>
              </w:rPr>
              <w:t>2</w:t>
            </w:r>
            <w:r>
              <w:rPr>
                <w:rFonts w:hint="eastAsia" w:ascii="微软雅黑" w:hAnsi="微软雅黑" w:eastAsia="微软雅黑"/>
                <w:sz w:val="22"/>
              </w:rPr>
              <w:t>00:1；屏幕显示灰度分辨率等级达到128灰阶以上，最高可达256。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触摸方式</w:t>
            </w:r>
          </w:p>
        </w:tc>
        <w:tc>
          <w:tcPr>
            <w:tcW w:w="3540" w:type="pct"/>
            <w:vAlign w:val="center"/>
          </w:tcPr>
          <w:p>
            <w:pPr>
              <w:jc w:val="left"/>
              <w:rPr>
                <w:rFonts w:ascii="微软雅黑" w:hAnsi="微软雅黑" w:eastAsia="微软雅黑"/>
                <w:sz w:val="22"/>
              </w:rPr>
            </w:pPr>
            <w:r>
              <w:rPr>
                <w:rFonts w:hint="eastAsia" w:ascii="微软雅黑" w:hAnsi="微软雅黑" w:eastAsia="微软雅黑"/>
                <w:sz w:val="22"/>
              </w:rPr>
              <w:t>采用20点红外触控技术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RAM</w:t>
            </w:r>
          </w:p>
        </w:tc>
        <w:tc>
          <w:tcPr>
            <w:tcW w:w="3540" w:type="pct"/>
            <w:vAlign w:val="center"/>
          </w:tcPr>
          <w:p>
            <w:pPr>
              <w:jc w:val="left"/>
              <w:rPr>
                <w:rFonts w:ascii="微软雅黑" w:hAnsi="微软雅黑" w:eastAsia="微软雅黑"/>
                <w:sz w:val="22"/>
              </w:rPr>
            </w:pPr>
            <w:r>
              <w:rPr>
                <w:rFonts w:hint="eastAsia" w:ascii="微软雅黑" w:hAnsi="微软雅黑" w:eastAsia="微软雅黑"/>
                <w:sz w:val="22"/>
              </w:rPr>
              <w:t>≥2GB。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ROM</w:t>
            </w:r>
          </w:p>
        </w:tc>
        <w:tc>
          <w:tcPr>
            <w:tcW w:w="3540" w:type="pct"/>
            <w:vAlign w:val="center"/>
          </w:tcPr>
          <w:p>
            <w:pPr>
              <w:jc w:val="left"/>
              <w:rPr>
                <w:rFonts w:ascii="微软雅黑" w:hAnsi="微软雅黑" w:eastAsia="微软雅黑"/>
                <w:sz w:val="22"/>
              </w:rPr>
            </w:pPr>
            <w:r>
              <w:rPr>
                <w:rFonts w:hint="eastAsia" w:ascii="微软雅黑" w:hAnsi="微软雅黑" w:eastAsia="微软雅黑"/>
                <w:sz w:val="22"/>
              </w:rPr>
              <w:t>≥</w:t>
            </w:r>
            <w:r>
              <w:rPr>
                <w:rFonts w:ascii="微软雅黑" w:hAnsi="微软雅黑" w:eastAsia="微软雅黑"/>
                <w:sz w:val="22"/>
              </w:rPr>
              <w:t>16</w:t>
            </w:r>
            <w:r>
              <w:rPr>
                <w:rFonts w:hint="eastAsia" w:ascii="微软雅黑" w:hAnsi="微软雅黑" w:eastAsia="微软雅黑"/>
                <w:sz w:val="22"/>
              </w:rPr>
              <w:t>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屏幕亮度</w:t>
            </w:r>
          </w:p>
        </w:tc>
        <w:tc>
          <w:tcPr>
            <w:tcW w:w="3540" w:type="pct"/>
            <w:vAlign w:val="center"/>
          </w:tcPr>
          <w:p>
            <w:pPr>
              <w:rPr>
                <w:rFonts w:ascii="微软雅黑" w:hAnsi="微软雅黑" w:eastAsia="微软雅黑"/>
                <w:sz w:val="22"/>
              </w:rPr>
            </w:pPr>
            <w:r>
              <w:rPr>
                <w:rFonts w:hint="eastAsia" w:ascii="微软雅黑" w:hAnsi="微软雅黑" w:eastAsia="微软雅黑"/>
                <w:sz w:val="22"/>
              </w:rPr>
              <w:t>≥350cd/m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网络协议</w:t>
            </w:r>
          </w:p>
        </w:tc>
        <w:tc>
          <w:tcPr>
            <w:tcW w:w="3540" w:type="pct"/>
            <w:vAlign w:val="center"/>
          </w:tcPr>
          <w:p>
            <w:pPr>
              <w:rPr>
                <w:rFonts w:ascii="微软雅黑" w:hAnsi="微软雅黑" w:eastAsia="微软雅黑"/>
                <w:sz w:val="22"/>
              </w:rPr>
            </w:pPr>
            <w:r>
              <w:rPr>
                <w:rFonts w:hint="eastAsia" w:ascii="微软雅黑" w:hAnsi="微软雅黑" w:eastAsia="微软雅黑"/>
                <w:sz w:val="22"/>
              </w:rPr>
              <w:t>IEEE802.11a/b/g/n/ac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蓝牙</w:t>
            </w:r>
          </w:p>
        </w:tc>
        <w:tc>
          <w:tcPr>
            <w:tcW w:w="3540" w:type="pct"/>
            <w:vAlign w:val="center"/>
          </w:tcPr>
          <w:p>
            <w:pPr>
              <w:rPr>
                <w:rFonts w:ascii="微软雅黑" w:hAnsi="微软雅黑" w:eastAsia="微软雅黑"/>
                <w:sz w:val="22"/>
              </w:rPr>
            </w:pPr>
            <w:r>
              <w:rPr>
                <w:rFonts w:hint="eastAsia" w:ascii="微软雅黑" w:hAnsi="微软雅黑" w:eastAsia="微软雅黑"/>
                <w:sz w:val="22"/>
              </w:rPr>
              <w:t>支持蓝牙5.0或以上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操作系统</w:t>
            </w:r>
          </w:p>
        </w:tc>
        <w:tc>
          <w:tcPr>
            <w:tcW w:w="3540" w:type="pct"/>
            <w:vAlign w:val="center"/>
          </w:tcPr>
          <w:p>
            <w:pPr>
              <w:rPr>
                <w:rFonts w:ascii="微软雅黑" w:hAnsi="微软雅黑" w:eastAsia="微软雅黑"/>
                <w:sz w:val="22"/>
              </w:rPr>
            </w:pPr>
            <w:r>
              <w:rPr>
                <w:rFonts w:hint="eastAsia" w:ascii="微软雅黑" w:hAnsi="微软雅黑" w:eastAsia="微软雅黑"/>
                <w:sz w:val="22"/>
              </w:rPr>
              <w:t>支持不低于Android 7.0或以上系统版本。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支持网络共享</w:t>
            </w:r>
          </w:p>
        </w:tc>
        <w:tc>
          <w:tcPr>
            <w:tcW w:w="3540" w:type="pct"/>
            <w:vAlign w:val="center"/>
          </w:tcPr>
          <w:p>
            <w:pPr>
              <w:rPr>
                <w:rFonts w:ascii="微软雅黑" w:hAnsi="微软雅黑" w:eastAsia="微软雅黑"/>
                <w:sz w:val="22"/>
              </w:rPr>
            </w:pPr>
            <w:r>
              <w:rPr>
                <w:rFonts w:hint="eastAsia" w:ascii="微软雅黑" w:hAnsi="微软雅黑" w:eastAsia="微软雅黑"/>
                <w:sz w:val="22"/>
              </w:rPr>
              <w:t>通过一根网线连接到整机，可以实现Android系统和Windows系统都上网；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▲双网口设计</w:t>
            </w:r>
          </w:p>
        </w:tc>
        <w:tc>
          <w:tcPr>
            <w:tcW w:w="3540" w:type="pct"/>
            <w:vAlign w:val="center"/>
          </w:tcPr>
          <w:p>
            <w:pPr>
              <w:rPr>
                <w:rFonts w:ascii="微软雅黑" w:hAnsi="微软雅黑" w:eastAsia="微软雅黑"/>
                <w:sz w:val="22"/>
              </w:rPr>
            </w:pPr>
            <w:r>
              <w:rPr>
                <w:rFonts w:hint="eastAsia" w:ascii="微软雅黑" w:hAnsi="微软雅黑" w:eastAsia="微软雅黑"/>
                <w:sz w:val="22"/>
              </w:rPr>
              <w:t>支持网络桥接功能，可以为下一级设备提供网络，在高保密场合无需外接其他网络设备；（需提供第三方机构出具的检测报告或其他证明材料）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▲侧边栏</w:t>
            </w:r>
          </w:p>
        </w:tc>
        <w:tc>
          <w:tcPr>
            <w:tcW w:w="3540" w:type="pct"/>
            <w:vAlign w:val="center"/>
          </w:tcPr>
          <w:p>
            <w:pPr>
              <w:rPr>
                <w:rFonts w:ascii="微软雅黑" w:hAnsi="微软雅黑" w:eastAsia="微软雅黑"/>
                <w:sz w:val="22"/>
              </w:rPr>
            </w:pPr>
            <w:r>
              <w:rPr>
                <w:rFonts w:hint="eastAsia" w:ascii="微软雅黑" w:hAnsi="微软雅黑" w:eastAsia="微软雅黑"/>
                <w:sz w:val="22"/>
              </w:rPr>
              <w:t>显示屏两侧均有可显示/可隐藏/可切换悬浮球按键，支持手势呼出功能，实现返回，切回主页，设置，任意通道批注，进程管理等系统操作（需提供悬浮球软件著作权证书复印件或其他证明材料）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▲白板协同</w:t>
            </w:r>
          </w:p>
        </w:tc>
        <w:tc>
          <w:tcPr>
            <w:tcW w:w="3540" w:type="pct"/>
            <w:vAlign w:val="center"/>
          </w:tcPr>
          <w:p>
            <w:pPr>
              <w:rPr>
                <w:rFonts w:ascii="微软雅黑" w:hAnsi="微软雅黑" w:eastAsia="微软雅黑"/>
                <w:sz w:val="22"/>
              </w:rPr>
            </w:pPr>
            <w:r>
              <w:rPr>
                <w:rFonts w:hint="eastAsia" w:ascii="微软雅黑" w:hAnsi="微软雅黑" w:eastAsia="微软雅黑"/>
                <w:sz w:val="22"/>
              </w:rPr>
              <w:t>白板内音视频通话，在开启白板协同功能下，可进行音/视频通话，白板书写共享，支持最多 3 个视频画面，最多 10 方加入会议，具备全场静音功能、请出会议室功能、锁定会议室功能（需提供第三方机构出具的检测报告或其他证明材料）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1"/>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sz w:val="22"/>
              </w:rPr>
              <w:t>★兼容性</w:t>
            </w:r>
          </w:p>
        </w:tc>
        <w:tc>
          <w:tcPr>
            <w:tcW w:w="3540" w:type="pct"/>
            <w:vAlign w:val="center"/>
          </w:tcPr>
          <w:p>
            <w:pPr>
              <w:rPr>
                <w:rFonts w:ascii="微软雅黑" w:hAnsi="微软雅黑" w:eastAsia="微软雅黑"/>
                <w:sz w:val="22"/>
              </w:rPr>
            </w:pPr>
            <w:r>
              <w:rPr>
                <w:rFonts w:hint="eastAsia" w:ascii="微软雅黑" w:hAnsi="微软雅黑" w:eastAsia="微软雅黑"/>
                <w:sz w:val="22"/>
              </w:rPr>
              <w:t>为保证产品的兼容性和稳定性，投标人须承诺适配医院现有业务系统，包括不限于智慧病房交互平台、智能输液管理系统、床旁交互系统等，适配涉及的费用由中标人承担。（需提供承诺函，格式自拟）</w:t>
            </w:r>
          </w:p>
        </w:tc>
      </w:tr>
    </w:tbl>
    <w:p>
      <w:pPr>
        <w:pStyle w:val="4"/>
        <w:rPr>
          <w:rFonts w:ascii="微软雅黑" w:hAnsi="微软雅黑" w:eastAsia="微软雅黑"/>
          <w:b w:val="0"/>
          <w:bCs w:val="0"/>
          <w:sz w:val="24"/>
          <w:szCs w:val="24"/>
        </w:rPr>
      </w:pPr>
      <w:r>
        <w:rPr>
          <w:rFonts w:hint="eastAsia" w:ascii="微软雅黑" w:hAnsi="微软雅黑" w:eastAsia="微软雅黑"/>
          <w:b w:val="0"/>
          <w:bCs w:val="0"/>
          <w:sz w:val="24"/>
          <w:szCs w:val="24"/>
        </w:rPr>
        <w:t>（2）护理呼叫系统-床头对讲分机</w:t>
      </w:r>
    </w:p>
    <w:tbl>
      <w:tblPr>
        <w:tblStyle w:val="9"/>
        <w:tblW w:w="9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987"/>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adjustRightInd w:val="0"/>
              <w:jc w:val="center"/>
              <w:rPr>
                <w:rFonts w:ascii="微软雅黑" w:hAnsi="微软雅黑" w:eastAsia="微软雅黑" w:cs="宋体"/>
                <w:b/>
                <w:sz w:val="22"/>
              </w:rPr>
            </w:pPr>
            <w:r>
              <w:rPr>
                <w:rFonts w:hint="eastAsia" w:ascii="微软雅黑" w:hAnsi="微软雅黑" w:eastAsia="微软雅黑" w:cs="宋体"/>
                <w:b/>
                <w:sz w:val="22"/>
              </w:rPr>
              <w:t>序号</w:t>
            </w:r>
          </w:p>
        </w:tc>
        <w:tc>
          <w:tcPr>
            <w:tcW w:w="1987" w:type="dxa"/>
            <w:vAlign w:val="center"/>
          </w:tcPr>
          <w:p>
            <w:pPr>
              <w:adjustRightInd w:val="0"/>
              <w:jc w:val="center"/>
              <w:rPr>
                <w:rFonts w:ascii="微软雅黑" w:hAnsi="微软雅黑" w:eastAsia="微软雅黑" w:cs="宋体"/>
                <w:b/>
                <w:sz w:val="22"/>
              </w:rPr>
            </w:pPr>
            <w:r>
              <w:rPr>
                <w:rFonts w:hint="eastAsia" w:ascii="微软雅黑" w:hAnsi="微软雅黑" w:eastAsia="微软雅黑" w:cs="宋体"/>
                <w:b/>
                <w:sz w:val="22"/>
              </w:rPr>
              <w:t>指标项</w:t>
            </w:r>
          </w:p>
        </w:tc>
        <w:tc>
          <w:tcPr>
            <w:tcW w:w="6804" w:type="dxa"/>
            <w:vAlign w:val="center"/>
          </w:tcPr>
          <w:p>
            <w:pPr>
              <w:adjustRightInd w:val="0"/>
              <w:jc w:val="center"/>
              <w:rPr>
                <w:rFonts w:ascii="微软雅黑" w:hAnsi="微软雅黑" w:eastAsia="微软雅黑" w:cs="宋体"/>
                <w:b/>
                <w:sz w:val="22"/>
              </w:rPr>
            </w:pPr>
            <w:r>
              <w:rPr>
                <w:rFonts w:hint="eastAsia" w:ascii="微软雅黑" w:hAnsi="微软雅黑" w:eastAsia="微软雅黑" w:cs="宋体"/>
                <w:b/>
                <w:sz w:val="22"/>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▲处理器</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≥八核高性能处理器（需提供规格书加盖公章）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▲主频</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≥2.3Ghz</w:t>
            </w:r>
            <w:r>
              <w:rPr>
                <w:rFonts w:hint="eastAsia" w:ascii="微软雅黑" w:hAnsi="微软雅黑" w:eastAsia="微软雅黑" w:cs="宋体"/>
                <w:sz w:val="22"/>
              </w:rPr>
              <w:t xml:space="preserve"> </w:t>
            </w:r>
            <w:r>
              <w:rPr>
                <w:rFonts w:hint="eastAsia" w:ascii="微软雅黑" w:hAnsi="微软雅黑" w:eastAsia="微软雅黑" w:cs="宋体"/>
                <w:kern w:val="0"/>
                <w:sz w:val="22"/>
              </w:rPr>
              <w:t>（需提供规格书加盖公章）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RAM</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 3GB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ROM</w:t>
            </w:r>
          </w:p>
        </w:tc>
        <w:tc>
          <w:tcPr>
            <w:tcW w:w="6804" w:type="dxa"/>
            <w:vAlign w:val="center"/>
          </w:tcPr>
          <w:p>
            <w:pPr>
              <w:rPr>
                <w:rFonts w:ascii="微软雅黑" w:hAnsi="微软雅黑" w:eastAsia="微软雅黑" w:cs="宋体"/>
                <w:kern w:val="0"/>
                <w:sz w:val="22"/>
              </w:rPr>
            </w:pPr>
            <w:r>
              <w:rPr>
                <w:rFonts w:hint="eastAsia" w:ascii="微软雅黑" w:hAnsi="微软雅黑" w:eastAsia="微软雅黑" w:cs="宋体"/>
                <w:kern w:val="0"/>
                <w:sz w:val="22"/>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Arial"/>
                <w:bCs/>
                <w:sz w:val="22"/>
              </w:rPr>
            </w:pPr>
            <w:r>
              <w:rPr>
                <w:rFonts w:hint="eastAsia" w:ascii="微软雅黑" w:hAnsi="微软雅黑" w:eastAsia="微软雅黑" w:cs="宋体"/>
                <w:kern w:val="0"/>
                <w:sz w:val="22"/>
              </w:rPr>
              <w:t>看门狗</w:t>
            </w:r>
          </w:p>
        </w:tc>
        <w:tc>
          <w:tcPr>
            <w:tcW w:w="6804" w:type="dxa"/>
            <w:vAlign w:val="center"/>
          </w:tcPr>
          <w:p>
            <w:pPr>
              <w:adjustRightInd w:val="0"/>
              <w:rPr>
                <w:rFonts w:ascii="微软雅黑" w:hAnsi="微软雅黑" w:eastAsia="微软雅黑" w:cs="Arial"/>
                <w:sz w:val="22"/>
                <w:lang w:eastAsia="zh-TW"/>
              </w:rPr>
            </w:pPr>
            <w:r>
              <w:rPr>
                <w:rFonts w:hint="eastAsia" w:ascii="微软雅黑" w:hAnsi="微软雅黑" w:eastAsia="微软雅黑" w:cs="宋体"/>
                <w:kern w:val="0"/>
                <w:sz w:val="22"/>
              </w:rPr>
              <w:t>硬件配置看门狗，可实现故障自动检测并诊断，死机自动重启;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尺寸</w:t>
            </w:r>
          </w:p>
        </w:tc>
        <w:tc>
          <w:tcPr>
            <w:tcW w:w="6804" w:type="dxa"/>
            <w:vAlign w:val="center"/>
          </w:tcPr>
          <w:p>
            <w:pPr>
              <w:adjustRightInd w:val="0"/>
              <w:rPr>
                <w:rFonts w:ascii="微软雅黑" w:hAnsi="微软雅黑" w:eastAsia="微软雅黑" w:cs="宋体"/>
                <w:sz w:val="22"/>
              </w:rPr>
            </w:pPr>
            <w:r>
              <w:rPr>
                <w:rFonts w:hint="eastAsia" w:ascii="微软雅黑" w:hAnsi="微软雅黑" w:eastAsia="微软雅黑" w:cs="宋体"/>
                <w:kern w:val="0"/>
                <w:sz w:val="22"/>
              </w:rPr>
              <w:t>≥10.1英寸LCD屏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分辨率</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≥1280*800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bCs/>
                <w:kern w:val="0"/>
                <w:sz w:val="22"/>
              </w:rPr>
            </w:pPr>
            <w:r>
              <w:rPr>
                <w:rFonts w:hint="eastAsia" w:ascii="微软雅黑" w:hAnsi="微软雅黑" w:eastAsia="微软雅黑"/>
                <w:bCs/>
                <w:sz w:val="22"/>
              </w:rPr>
              <w:t>▲外壳</w:t>
            </w:r>
            <w:r>
              <w:rPr>
                <w:rFonts w:hint="eastAsia" w:ascii="微软雅黑" w:hAnsi="微软雅黑" w:eastAsia="微软雅黑" w:cs="宋体"/>
                <w:bCs/>
                <w:sz w:val="22"/>
              </w:rPr>
              <w:t>材质</w:t>
            </w:r>
          </w:p>
        </w:tc>
        <w:tc>
          <w:tcPr>
            <w:tcW w:w="6804" w:type="dxa"/>
            <w:vAlign w:val="center"/>
          </w:tcPr>
          <w:p>
            <w:pPr>
              <w:rPr>
                <w:rFonts w:ascii="微软雅黑" w:hAnsi="微软雅黑" w:eastAsia="微软雅黑" w:cs="宋体"/>
                <w:bCs/>
                <w:kern w:val="0"/>
                <w:sz w:val="22"/>
              </w:rPr>
            </w:pPr>
            <w:r>
              <w:rPr>
                <w:rFonts w:hint="eastAsia" w:ascii="微软雅黑" w:hAnsi="微软雅黑" w:eastAsia="微软雅黑"/>
                <w:bCs/>
                <w:kern w:val="0"/>
                <w:sz w:val="22"/>
              </w:rPr>
              <w:t>采用抑菌防霉、</w:t>
            </w:r>
            <w:r>
              <w:rPr>
                <w:rFonts w:hint="eastAsia" w:ascii="微软雅黑" w:hAnsi="微软雅黑" w:eastAsia="微软雅黑" w:cs="宋体"/>
                <w:kern w:val="0"/>
                <w:sz w:val="22"/>
              </w:rPr>
              <w:t>防火阻燃</w:t>
            </w:r>
            <w:r>
              <w:rPr>
                <w:rFonts w:hint="eastAsia" w:ascii="微软雅黑" w:hAnsi="微软雅黑" w:eastAsia="微软雅黑"/>
                <w:bCs/>
                <w:kern w:val="0"/>
                <w:sz w:val="22"/>
              </w:rPr>
              <w:t>材料，圆角矩形设计，抗菌率≥99.99%，符合GB/T 31402-2023标准。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bCs/>
                <w:sz w:val="22"/>
              </w:rPr>
            </w:pPr>
            <w:r>
              <w:rPr>
                <w:rFonts w:hint="eastAsia" w:ascii="微软雅黑" w:hAnsi="微软雅黑" w:eastAsia="微软雅黑" w:cs="宋体"/>
                <w:kern w:val="0"/>
                <w:sz w:val="22"/>
              </w:rPr>
              <w:t>触控</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支持10点触控，湿手和手指套触控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bCs/>
                <w:sz w:val="22"/>
              </w:rPr>
            </w:pPr>
            <w:r>
              <w:rPr>
                <w:rFonts w:hint="eastAsia" w:ascii="微软雅黑" w:hAnsi="微软雅黑" w:eastAsia="微软雅黑" w:cs="宋体"/>
                <w:kern w:val="0"/>
                <w:sz w:val="22"/>
              </w:rPr>
              <w:t>▲玻璃盖板</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表面采用AF工艺（防指纹残留，污染屏幕），有效防止指纹和屏幕刮伤，易于清洁，抗菌率≥90%。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bCs/>
                <w:sz w:val="22"/>
              </w:rPr>
            </w:pPr>
            <w:r>
              <w:rPr>
                <w:rFonts w:hint="eastAsia" w:ascii="微软雅黑" w:hAnsi="微软雅黑" w:eastAsia="微软雅黑" w:cs="宋体"/>
                <w:kern w:val="0"/>
                <w:sz w:val="22"/>
              </w:rPr>
              <w:t>WiFi</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WiFi频率：2.4GHz &amp; 5GHz;WiFi协议：802.11a/b/g/n/ac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蓝牙</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Bluetooth 5.0或以上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有线网络</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10M/100M/1000M自适应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▲喇叭</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立体扬声器2W；扬声器且位于设备正面，出音无遮挡保证通话对讲效果。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adjustRightInd w:val="0"/>
              <w:jc w:val="center"/>
              <w:rPr>
                <w:rFonts w:ascii="微软雅黑" w:hAnsi="微软雅黑" w:eastAsia="微软雅黑" w:cs="宋体"/>
                <w:sz w:val="22"/>
              </w:rPr>
            </w:pPr>
            <w:r>
              <w:rPr>
                <w:rFonts w:hint="eastAsia" w:ascii="微软雅黑" w:hAnsi="微软雅黑" w:eastAsia="微软雅黑" w:cs="宋体"/>
                <w:kern w:val="0"/>
                <w:sz w:val="22"/>
              </w:rPr>
              <w:t>▲呼叫手柄</w:t>
            </w:r>
          </w:p>
        </w:tc>
        <w:tc>
          <w:tcPr>
            <w:tcW w:w="6804" w:type="dxa"/>
            <w:vAlign w:val="center"/>
          </w:tcPr>
          <w:p>
            <w:pPr>
              <w:rPr>
                <w:rFonts w:ascii="微软雅黑" w:hAnsi="微软雅黑" w:eastAsia="微软雅黑" w:cs="宋体"/>
                <w:sz w:val="22"/>
              </w:rPr>
            </w:pPr>
            <w:r>
              <w:rPr>
                <w:rFonts w:hint="eastAsia" w:ascii="微软雅黑" w:hAnsi="微软雅黑" w:eastAsia="微软雅黑" w:cs="宋体"/>
                <w:kern w:val="0"/>
                <w:sz w:val="22"/>
              </w:rPr>
              <w:t>采用磁吸方式进行固定，方便患者取放；和整机连接方式为分体式连接方式，方便售后运维；配置一个呼叫和取消一体的物理按键，且无其他按键，方便患者操作，避免按错按键报错呼叫信息。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Arial"/>
                <w:sz w:val="22"/>
              </w:rPr>
            </w:pPr>
            <w:r>
              <w:rPr>
                <w:rFonts w:hint="eastAsia" w:ascii="微软雅黑" w:hAnsi="微软雅黑" w:eastAsia="微软雅黑" w:cs="宋体"/>
                <w:kern w:val="0"/>
                <w:sz w:val="22"/>
              </w:rPr>
              <w:t>▲呼叫接听方式</w:t>
            </w:r>
          </w:p>
        </w:tc>
        <w:tc>
          <w:tcPr>
            <w:tcW w:w="6804" w:type="dxa"/>
            <w:vAlign w:val="center"/>
          </w:tcPr>
          <w:p>
            <w:pPr>
              <w:jc w:val="left"/>
              <w:rPr>
                <w:rFonts w:ascii="微软雅黑" w:hAnsi="微软雅黑" w:eastAsia="微软雅黑" w:cs="Arial"/>
                <w:sz w:val="22"/>
              </w:rPr>
            </w:pPr>
            <w:r>
              <w:rPr>
                <w:rFonts w:hint="eastAsia" w:ascii="微软雅黑" w:hAnsi="微软雅黑" w:eastAsia="微软雅黑" w:cs="宋体"/>
                <w:kern w:val="0"/>
                <w:sz w:val="22"/>
              </w:rPr>
              <w:t>可通过整机物理按键、屏幕虚拟按键、呼叫手柄呼叫按键接听或挂断呼叫。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Arial"/>
                <w:sz w:val="22"/>
              </w:rPr>
            </w:pPr>
            <w:r>
              <w:rPr>
                <w:rFonts w:hint="eastAsia" w:ascii="微软雅黑" w:hAnsi="微软雅黑" w:eastAsia="微软雅黑" w:cs="宋体"/>
                <w:kern w:val="0"/>
                <w:sz w:val="22"/>
              </w:rPr>
              <w:t>▲供电方式</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同时支持POE供电、电源适配器供电、集中电源供电方式。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外设接口</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RJ45*1、DC*1、呼叫手柄接口*1、洗手间按钮接口*1、type-c*1，RS485*1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▲物理按键</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整机端物理按键不少于3个，呼叫按键*1、增援按键*1，复位按键*1。为方便护士或患者操作，整机呼叫按键和增援物理按键位于屏幕右侧。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固定支架</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固定支架和整机之间不需要螺丝固定，方便拆装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▲操作系统</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color w:val="000000"/>
                <w:kern w:val="0"/>
                <w:sz w:val="22"/>
              </w:rPr>
              <w:t>安卓12.0或以上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网络安全</w:t>
            </w:r>
          </w:p>
        </w:tc>
        <w:tc>
          <w:tcPr>
            <w:tcW w:w="6804" w:type="dxa"/>
            <w:vAlign w:val="center"/>
          </w:tcPr>
          <w:p>
            <w:pPr>
              <w:jc w:val="left"/>
              <w:rPr>
                <w:rFonts w:ascii="微软雅黑" w:hAnsi="微软雅黑" w:eastAsia="微软雅黑" w:cs="宋体"/>
                <w:color w:val="000000"/>
                <w:kern w:val="0"/>
                <w:sz w:val="22"/>
              </w:rPr>
            </w:pPr>
            <w:r>
              <w:rPr>
                <w:rFonts w:hint="eastAsia" w:ascii="微软雅黑" w:hAnsi="微软雅黑" w:eastAsia="微软雅黑" w:cs="宋体"/>
                <w:kern w:val="0"/>
                <w:sz w:val="22"/>
              </w:rPr>
              <w:t>可绑定医院WLAN指定AP，确保设备院内医疗使用。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color w:val="000000"/>
                <w:kern w:val="0"/>
                <w:sz w:val="22"/>
              </w:rPr>
              <w:t xml:space="preserve">快捷配置 </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color w:val="000000"/>
                <w:kern w:val="0"/>
                <w:sz w:val="22"/>
              </w:rPr>
              <w:t>支持扫码批量快捷配置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color w:val="000000"/>
                <w:kern w:val="0"/>
                <w:sz w:val="22"/>
              </w:rPr>
            </w:pPr>
            <w:r>
              <w:rPr>
                <w:rFonts w:hint="eastAsia" w:ascii="微软雅黑" w:hAnsi="微软雅黑" w:eastAsia="微软雅黑" w:cs="宋体"/>
                <w:kern w:val="0"/>
                <w:sz w:val="22"/>
              </w:rPr>
              <w:t>固件升级</w:t>
            </w:r>
          </w:p>
        </w:tc>
        <w:tc>
          <w:tcPr>
            <w:tcW w:w="6804" w:type="dxa"/>
            <w:vAlign w:val="center"/>
          </w:tcPr>
          <w:p>
            <w:pPr>
              <w:jc w:val="left"/>
              <w:rPr>
                <w:rFonts w:ascii="微软雅黑" w:hAnsi="微软雅黑" w:eastAsia="微软雅黑" w:cs="宋体"/>
                <w:color w:val="000000"/>
                <w:kern w:val="0"/>
                <w:sz w:val="22"/>
              </w:rPr>
            </w:pPr>
            <w:r>
              <w:rPr>
                <w:rFonts w:hint="eastAsia" w:ascii="微软雅黑" w:hAnsi="微软雅黑" w:eastAsia="微软雅黑" w:cs="宋体"/>
                <w:kern w:val="0"/>
                <w:sz w:val="22"/>
              </w:rPr>
              <w:t>OTA批量系统升级。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时间同步</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内网自动进行时间同步。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系统安全</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支持实现对系统设置、应用程序管理、USB调试模式开启的权限限制；系统桌面个性化配置，设定管理权限。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智能文字转语音</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支持文本健康宣教资料（word,txt），自动语音播报；可自动播报患者护理计划。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vAlign w:val="center"/>
          </w:tcPr>
          <w:p>
            <w:pPr>
              <w:pStyle w:val="13"/>
              <w:numPr>
                <w:ilvl w:val="0"/>
                <w:numId w:val="2"/>
              </w:numPr>
              <w:ind w:firstLineChars="0"/>
              <w:jc w:val="center"/>
              <w:rPr>
                <w:rFonts w:ascii="微软雅黑" w:hAnsi="微软雅黑" w:eastAsia="微软雅黑"/>
              </w:rPr>
            </w:pPr>
          </w:p>
        </w:tc>
        <w:tc>
          <w:tcPr>
            <w:tcW w:w="1987" w:type="dxa"/>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▲节能证书</w:t>
            </w:r>
          </w:p>
        </w:tc>
        <w:tc>
          <w:tcPr>
            <w:tcW w:w="6804" w:type="dxa"/>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投标产品通过节能认证，需提供证书复印件。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pStyle w:val="13"/>
              <w:numPr>
                <w:ilvl w:val="0"/>
                <w:numId w:val="2"/>
              </w:numPr>
              <w:ind w:firstLineChars="0"/>
              <w:jc w:val="center"/>
              <w:rPr>
                <w:rFonts w:ascii="微软雅黑" w:hAnsi="微软雅黑" w:eastAsia="微软雅黑"/>
              </w:rPr>
            </w:pPr>
          </w:p>
        </w:tc>
        <w:tc>
          <w:tcPr>
            <w:tcW w:w="1987" w:type="dxa"/>
            <w:tcBorders>
              <w:top w:val="single" w:color="auto" w:sz="4" w:space="0"/>
              <w:left w:val="single" w:color="auto" w:sz="4" w:space="0"/>
              <w:bottom w:val="single" w:color="auto" w:sz="4" w:space="0"/>
              <w:right w:val="single" w:color="auto" w:sz="4" w:space="0"/>
            </w:tcBorders>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▲核准证</w:t>
            </w:r>
          </w:p>
        </w:tc>
        <w:tc>
          <w:tcPr>
            <w:tcW w:w="6804" w:type="dxa"/>
            <w:tcBorders>
              <w:top w:val="single" w:color="auto" w:sz="4" w:space="0"/>
              <w:left w:val="single" w:color="auto" w:sz="4" w:space="0"/>
              <w:bottom w:val="single" w:color="auto" w:sz="4" w:space="0"/>
              <w:right w:val="single" w:color="auto" w:sz="4" w:space="0"/>
            </w:tcBorders>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投标产品通过无线电发射设备型号核准证，需提供证书复印件。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pStyle w:val="13"/>
              <w:numPr>
                <w:ilvl w:val="0"/>
                <w:numId w:val="2"/>
              </w:numPr>
              <w:ind w:firstLineChars="0"/>
              <w:jc w:val="center"/>
              <w:rPr>
                <w:rFonts w:ascii="微软雅黑" w:hAnsi="微软雅黑" w:eastAsia="微软雅黑"/>
              </w:rPr>
            </w:pPr>
          </w:p>
        </w:tc>
        <w:tc>
          <w:tcPr>
            <w:tcW w:w="1987" w:type="dxa"/>
            <w:tcBorders>
              <w:top w:val="single" w:color="auto" w:sz="4" w:space="0"/>
              <w:left w:val="single" w:color="auto" w:sz="4" w:space="0"/>
              <w:bottom w:val="single" w:color="auto" w:sz="4" w:space="0"/>
              <w:right w:val="single" w:color="auto" w:sz="4" w:space="0"/>
            </w:tcBorders>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▲辐射安全</w:t>
            </w:r>
          </w:p>
        </w:tc>
        <w:tc>
          <w:tcPr>
            <w:tcW w:w="6804" w:type="dxa"/>
            <w:tcBorders>
              <w:top w:val="single" w:color="auto" w:sz="4" w:space="0"/>
              <w:left w:val="single" w:color="auto" w:sz="4" w:space="0"/>
              <w:bottom w:val="single" w:color="auto" w:sz="4" w:space="0"/>
              <w:right w:val="single" w:color="auto" w:sz="4" w:space="0"/>
            </w:tcBorders>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基于人体健康和安全，制造商具有辐射安全许可证。（提供证书复印件加盖公章）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pStyle w:val="13"/>
              <w:numPr>
                <w:ilvl w:val="0"/>
                <w:numId w:val="2"/>
              </w:numPr>
              <w:ind w:firstLineChars="0"/>
              <w:jc w:val="center"/>
              <w:rPr>
                <w:rFonts w:ascii="微软雅黑" w:hAnsi="微软雅黑" w:eastAsia="微软雅黑"/>
              </w:rPr>
            </w:pPr>
          </w:p>
        </w:tc>
        <w:tc>
          <w:tcPr>
            <w:tcW w:w="1987" w:type="dxa"/>
            <w:tcBorders>
              <w:top w:val="single" w:color="auto" w:sz="4" w:space="0"/>
              <w:left w:val="single" w:color="auto" w:sz="4" w:space="0"/>
              <w:bottom w:val="single" w:color="auto" w:sz="4" w:space="0"/>
              <w:right w:val="single" w:color="auto" w:sz="4" w:space="0"/>
            </w:tcBorders>
            <w:vAlign w:val="center"/>
          </w:tcPr>
          <w:p>
            <w:pPr>
              <w:jc w:val="center"/>
              <w:rPr>
                <w:rFonts w:ascii="微软雅黑" w:hAnsi="微软雅黑" w:eastAsia="微软雅黑" w:cs="宋体"/>
                <w:kern w:val="0"/>
                <w:sz w:val="22"/>
              </w:rPr>
            </w:pPr>
            <w:r>
              <w:rPr>
                <w:rFonts w:hint="eastAsia" w:ascii="微软雅黑" w:hAnsi="微软雅黑" w:eastAsia="微软雅黑"/>
                <w:sz w:val="22"/>
              </w:rPr>
              <w:t>★兼容性</w:t>
            </w:r>
          </w:p>
        </w:tc>
        <w:tc>
          <w:tcPr>
            <w:tcW w:w="6804" w:type="dxa"/>
            <w:tcBorders>
              <w:top w:val="single" w:color="auto" w:sz="4" w:space="0"/>
              <w:left w:val="single" w:color="auto" w:sz="4" w:space="0"/>
              <w:bottom w:val="single" w:color="auto" w:sz="4" w:space="0"/>
              <w:right w:val="single" w:color="auto" w:sz="4" w:space="0"/>
            </w:tcBorders>
            <w:vAlign w:val="center"/>
          </w:tcPr>
          <w:p>
            <w:pPr>
              <w:jc w:val="left"/>
              <w:rPr>
                <w:rFonts w:ascii="微软雅黑" w:hAnsi="微软雅黑" w:eastAsia="微软雅黑" w:cs="宋体"/>
                <w:kern w:val="0"/>
                <w:sz w:val="22"/>
              </w:rPr>
            </w:pPr>
            <w:r>
              <w:rPr>
                <w:rFonts w:hint="eastAsia" w:ascii="微软雅黑" w:hAnsi="微软雅黑" w:eastAsia="微软雅黑"/>
                <w:sz w:val="22"/>
              </w:rPr>
              <w:t>为保证产品的兼容性和稳定性，投标人须承诺适配医院现有业务系统，包括不限于智慧病房交互平台、智能输液管理系统、床旁交互系统等，适配涉及的费用由中标人承担。（需提供承诺函，格式自拟）</w:t>
            </w:r>
          </w:p>
        </w:tc>
      </w:tr>
    </w:tbl>
    <w:p>
      <w:pPr>
        <w:pStyle w:val="4"/>
        <w:rPr>
          <w:rFonts w:ascii="微软雅黑" w:hAnsi="微软雅黑" w:eastAsia="微软雅黑"/>
          <w:b w:val="0"/>
          <w:bCs w:val="0"/>
          <w:sz w:val="24"/>
          <w:szCs w:val="24"/>
        </w:rPr>
      </w:pPr>
      <w:r>
        <w:rPr>
          <w:rFonts w:hint="eastAsia" w:ascii="微软雅黑" w:hAnsi="微软雅黑" w:eastAsia="微软雅黑"/>
          <w:b w:val="0"/>
          <w:bCs w:val="0"/>
          <w:sz w:val="24"/>
          <w:szCs w:val="24"/>
        </w:rPr>
        <w:t>（3）护理呼叫系统-病房门口主机</w:t>
      </w:r>
    </w:p>
    <w:tbl>
      <w:tblPr>
        <w:tblStyle w:val="9"/>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102"/>
        <w:gridCol w:w="6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adjustRightInd w:val="0"/>
              <w:snapToGrid w:val="0"/>
              <w:jc w:val="center"/>
              <w:rPr>
                <w:rFonts w:ascii="微软雅黑" w:hAnsi="微软雅黑" w:eastAsia="微软雅黑"/>
                <w:b/>
                <w:sz w:val="22"/>
              </w:rPr>
            </w:pPr>
            <w:r>
              <w:rPr>
                <w:rFonts w:hint="eastAsia" w:ascii="微软雅黑" w:hAnsi="微软雅黑" w:eastAsia="微软雅黑"/>
                <w:b/>
                <w:sz w:val="22"/>
              </w:rPr>
              <w:t>序号</w:t>
            </w:r>
          </w:p>
        </w:tc>
        <w:tc>
          <w:tcPr>
            <w:tcW w:w="1146" w:type="pct"/>
            <w:vAlign w:val="center"/>
          </w:tcPr>
          <w:p>
            <w:pPr>
              <w:adjustRightInd w:val="0"/>
              <w:snapToGrid w:val="0"/>
              <w:jc w:val="center"/>
              <w:rPr>
                <w:rFonts w:ascii="微软雅黑" w:hAnsi="微软雅黑" w:eastAsia="微软雅黑"/>
                <w:b/>
                <w:sz w:val="22"/>
              </w:rPr>
            </w:pPr>
            <w:r>
              <w:rPr>
                <w:rFonts w:hint="eastAsia" w:ascii="微软雅黑" w:hAnsi="微软雅黑" w:eastAsia="微软雅黑"/>
                <w:b/>
                <w:sz w:val="22"/>
              </w:rPr>
              <w:t>指标项</w:t>
            </w:r>
          </w:p>
        </w:tc>
        <w:tc>
          <w:tcPr>
            <w:tcW w:w="3409" w:type="pct"/>
            <w:vAlign w:val="center"/>
          </w:tcPr>
          <w:p>
            <w:pPr>
              <w:adjustRightInd w:val="0"/>
              <w:snapToGrid w:val="0"/>
              <w:jc w:val="center"/>
              <w:rPr>
                <w:rFonts w:ascii="微软雅黑" w:hAnsi="微软雅黑" w:eastAsia="微软雅黑" w:cs="微软雅黑"/>
                <w:b/>
                <w:sz w:val="22"/>
              </w:rPr>
            </w:pPr>
            <w:r>
              <w:rPr>
                <w:rFonts w:hint="eastAsia" w:ascii="微软雅黑" w:hAnsi="微软雅黑" w:eastAsia="微软雅黑" w:cs="微软雅黑"/>
                <w:b/>
                <w:sz w:val="22"/>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bCs/>
                <w:sz w:val="22"/>
              </w:rPr>
            </w:pPr>
            <w:r>
              <w:rPr>
                <w:rFonts w:hint="eastAsia" w:ascii="微软雅黑" w:hAnsi="微软雅黑" w:eastAsia="微软雅黑" w:cs="宋体"/>
                <w:kern w:val="0"/>
                <w:sz w:val="22"/>
              </w:rPr>
              <w:t>处理器</w:t>
            </w:r>
          </w:p>
        </w:tc>
        <w:tc>
          <w:tcPr>
            <w:tcW w:w="3409" w:type="pct"/>
            <w:vAlign w:val="center"/>
          </w:tcPr>
          <w:p>
            <w:pPr>
              <w:adjustRightInd w:val="0"/>
              <w:rPr>
                <w:rFonts w:ascii="微软雅黑" w:hAnsi="微软雅黑" w:eastAsia="微软雅黑" w:cs="Arial"/>
                <w:bCs/>
                <w:sz w:val="22"/>
                <w:lang w:eastAsia="zh-TW"/>
              </w:rPr>
            </w:pPr>
            <w:r>
              <w:rPr>
                <w:rFonts w:hint="eastAsia" w:ascii="微软雅黑" w:hAnsi="微软雅黑" w:eastAsia="微软雅黑" w:cs="宋体"/>
                <w:kern w:val="0"/>
                <w:sz w:val="22"/>
              </w:rPr>
              <w:t>≥四核高性能处理器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主频</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≥1.8Ghz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RAM</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ROM</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看门狗</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硬件配置看门狗，可实现故障自动检测并诊断，死机自动重启;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尺寸</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≥15.6英寸LCD屏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分辨率</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bCs/>
                <w:sz w:val="22"/>
              </w:rPr>
              <w:t>▲外壳</w:t>
            </w:r>
            <w:r>
              <w:rPr>
                <w:rFonts w:hint="eastAsia" w:ascii="微软雅黑" w:hAnsi="微软雅黑" w:eastAsia="微软雅黑" w:cs="宋体"/>
                <w:bCs/>
                <w:sz w:val="22"/>
              </w:rPr>
              <w:t>材质</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bCs/>
                <w:kern w:val="0"/>
                <w:sz w:val="22"/>
              </w:rPr>
              <w:t>采用抑菌防霉、</w:t>
            </w:r>
            <w:r>
              <w:rPr>
                <w:rFonts w:hint="eastAsia" w:ascii="微软雅黑" w:hAnsi="微软雅黑" w:eastAsia="微软雅黑" w:cs="宋体"/>
                <w:kern w:val="0"/>
                <w:sz w:val="22"/>
              </w:rPr>
              <w:t>防火阻燃</w:t>
            </w:r>
            <w:r>
              <w:rPr>
                <w:rFonts w:hint="eastAsia" w:ascii="微软雅黑" w:hAnsi="微软雅黑" w:eastAsia="微软雅黑"/>
                <w:bCs/>
                <w:kern w:val="0"/>
                <w:sz w:val="22"/>
              </w:rPr>
              <w:t>材料，圆角矩形设计，抗菌率≥99.99%，符合GB/T 31402-2023标准。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触控</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支持10点触控，湿手和手指套触控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▲玻璃盖板</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表面采用AF工艺（防指纹残留，污染屏幕），有效防止指纹和屏幕刮伤，易于清洁，抗菌率≥90%。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蓝牙</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color w:val="000000"/>
                <w:kern w:val="0"/>
                <w:sz w:val="22"/>
              </w:rPr>
              <w:t>Bluetooth 4.1或以上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有线网络</w:t>
            </w:r>
          </w:p>
        </w:tc>
        <w:tc>
          <w:tcPr>
            <w:tcW w:w="3409" w:type="pct"/>
            <w:vAlign w:val="center"/>
          </w:tcPr>
          <w:p>
            <w:pPr>
              <w:adjustRightInd w:val="0"/>
              <w:rPr>
                <w:rFonts w:ascii="微软雅黑" w:hAnsi="微软雅黑" w:eastAsia="微软雅黑" w:cs="宋体"/>
                <w:color w:val="000000"/>
                <w:kern w:val="0"/>
                <w:sz w:val="22"/>
              </w:rPr>
            </w:pPr>
            <w:r>
              <w:rPr>
                <w:rFonts w:hint="eastAsia" w:ascii="微软雅黑" w:hAnsi="微软雅黑" w:eastAsia="微软雅黑" w:cs="宋体"/>
                <w:kern w:val="0"/>
                <w:sz w:val="22"/>
              </w:rPr>
              <w:t>10M/100M/1000M自适应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Mic</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内置MIC，降噪防啸叫高清通话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▲供电方式</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同时支持POE供电、电源适配器供电、集中电源供电方式。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外设接口</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RJ45*1、DC*1、洗手间按钮接口*1、Type-c*1，Type-A*1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物理按键</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为方便护士或患者操作，整机物理按键位于屏幕下方；整机端物理按键不少于4个，呼叫按键*1、息屏按键*1、增援按键*1，复位按键*1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整机尺寸</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424.5mm L*226.2mm*W13mmD±5mm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操作系统</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安卓11.0或以上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网络安全</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可绑定医院WLAN指定AP，确保设备院内医疗使用。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color w:val="000000"/>
                <w:kern w:val="0"/>
                <w:sz w:val="22"/>
              </w:rPr>
              <w:t xml:space="preserve">快捷配置 </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color w:val="000000"/>
                <w:kern w:val="0"/>
                <w:sz w:val="22"/>
              </w:rPr>
              <w:t>支持扫码批量快捷配置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color w:val="000000"/>
                <w:kern w:val="0"/>
                <w:sz w:val="22"/>
              </w:rPr>
            </w:pPr>
            <w:r>
              <w:rPr>
                <w:rFonts w:hint="eastAsia" w:ascii="微软雅黑" w:hAnsi="微软雅黑" w:eastAsia="微软雅黑" w:cs="宋体"/>
                <w:kern w:val="0"/>
                <w:sz w:val="22"/>
              </w:rPr>
              <w:t>固件升级</w:t>
            </w:r>
          </w:p>
        </w:tc>
        <w:tc>
          <w:tcPr>
            <w:tcW w:w="3409" w:type="pct"/>
            <w:vAlign w:val="center"/>
          </w:tcPr>
          <w:p>
            <w:pPr>
              <w:adjustRightInd w:val="0"/>
              <w:rPr>
                <w:rFonts w:ascii="微软雅黑" w:hAnsi="微软雅黑" w:eastAsia="微软雅黑" w:cs="宋体"/>
                <w:color w:val="000000"/>
                <w:kern w:val="0"/>
                <w:sz w:val="22"/>
              </w:rPr>
            </w:pPr>
            <w:r>
              <w:rPr>
                <w:rFonts w:hint="eastAsia" w:ascii="微软雅黑" w:hAnsi="微软雅黑" w:eastAsia="微软雅黑" w:cs="宋体"/>
                <w:kern w:val="0"/>
                <w:sz w:val="22"/>
              </w:rPr>
              <w:t>OTA批量系统升级。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时间同步</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内网自动进行时间同步。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系统安全</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支持实现对系统设置、应用程序管理、USB调试模式开启的权限限制；系统桌面个性化配置，设定管理权限。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▲节能证书</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投标产品通过节能认证，需提供证书复印件。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cs="宋体"/>
                <w:kern w:val="0"/>
                <w:sz w:val="22"/>
              </w:rPr>
              <w:t>▲辐射安全</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cs="宋体"/>
                <w:kern w:val="0"/>
                <w:sz w:val="22"/>
              </w:rPr>
              <w:t>基于人体健康和安全，制造商具有辐射安全许可证。（提供证书复印件加盖公章）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5" w:type="pct"/>
            <w:vAlign w:val="center"/>
          </w:tcPr>
          <w:p>
            <w:pPr>
              <w:pStyle w:val="13"/>
              <w:numPr>
                <w:ilvl w:val="0"/>
                <w:numId w:val="3"/>
              </w:numPr>
              <w:ind w:firstLineChars="0"/>
              <w:jc w:val="center"/>
              <w:rPr>
                <w:rFonts w:ascii="微软雅黑" w:hAnsi="微软雅黑" w:eastAsia="微软雅黑"/>
                <w:bCs/>
              </w:rPr>
            </w:pPr>
          </w:p>
        </w:tc>
        <w:tc>
          <w:tcPr>
            <w:tcW w:w="1146" w:type="pct"/>
            <w:vAlign w:val="center"/>
          </w:tcPr>
          <w:p>
            <w:pPr>
              <w:adjustRightInd w:val="0"/>
              <w:jc w:val="center"/>
              <w:rPr>
                <w:rFonts w:ascii="微软雅黑" w:hAnsi="微软雅黑" w:eastAsia="微软雅黑" w:cs="宋体"/>
                <w:kern w:val="0"/>
                <w:sz w:val="22"/>
              </w:rPr>
            </w:pPr>
            <w:r>
              <w:rPr>
                <w:rFonts w:hint="eastAsia" w:ascii="微软雅黑" w:hAnsi="微软雅黑" w:eastAsia="微软雅黑"/>
                <w:sz w:val="22"/>
              </w:rPr>
              <w:t>★兼容性</w:t>
            </w:r>
          </w:p>
        </w:tc>
        <w:tc>
          <w:tcPr>
            <w:tcW w:w="3409" w:type="pct"/>
            <w:vAlign w:val="center"/>
          </w:tcPr>
          <w:p>
            <w:pPr>
              <w:adjustRightInd w:val="0"/>
              <w:rPr>
                <w:rFonts w:ascii="微软雅黑" w:hAnsi="微软雅黑" w:eastAsia="微软雅黑" w:cs="宋体"/>
                <w:kern w:val="0"/>
                <w:sz w:val="22"/>
              </w:rPr>
            </w:pPr>
            <w:r>
              <w:rPr>
                <w:rFonts w:hint="eastAsia" w:ascii="微软雅黑" w:hAnsi="微软雅黑" w:eastAsia="微软雅黑"/>
                <w:sz w:val="22"/>
              </w:rPr>
              <w:t>为保证产品的兼容性和稳定性，投标人须承诺适配医院现有业务系统，包括不限于智慧病房交互平台、智能输液管理系统、床旁交互系统等，适配涉及的费用由中标人承担。（需提供承诺函，格式自拟）</w:t>
            </w:r>
          </w:p>
        </w:tc>
      </w:tr>
    </w:tbl>
    <w:p>
      <w:pPr>
        <w:pStyle w:val="4"/>
        <w:rPr>
          <w:rFonts w:ascii="微软雅黑" w:hAnsi="微软雅黑" w:eastAsia="微软雅黑"/>
          <w:b w:val="0"/>
          <w:bCs w:val="0"/>
          <w:sz w:val="24"/>
          <w:szCs w:val="24"/>
        </w:rPr>
      </w:pPr>
      <w:r>
        <w:rPr>
          <w:rFonts w:hint="eastAsia" w:ascii="微软雅黑" w:hAnsi="微软雅黑" w:eastAsia="微软雅黑"/>
          <w:b w:val="0"/>
          <w:bCs w:val="0"/>
          <w:sz w:val="24"/>
          <w:szCs w:val="24"/>
        </w:rPr>
        <w:t>（4）护理呼叫系统-医护管理主机</w:t>
      </w:r>
    </w:p>
    <w:tbl>
      <w:tblPr>
        <w:tblStyle w:val="9"/>
        <w:tblW w:w="55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2007"/>
        <w:gridCol w:w="6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blHeader/>
          <w:jc w:val="center"/>
        </w:trPr>
        <w:tc>
          <w:tcPr>
            <w:tcW w:w="399" w:type="pct"/>
            <w:vAlign w:val="center"/>
          </w:tcPr>
          <w:p>
            <w:pPr>
              <w:jc w:val="center"/>
              <w:rPr>
                <w:rFonts w:ascii="微软雅黑" w:hAnsi="微软雅黑" w:eastAsia="微软雅黑"/>
                <w:b/>
                <w:sz w:val="22"/>
              </w:rPr>
            </w:pPr>
            <w:r>
              <w:rPr>
                <w:rFonts w:hint="eastAsia" w:ascii="微软雅黑" w:hAnsi="微软雅黑" w:eastAsia="微软雅黑"/>
                <w:b/>
                <w:sz w:val="22"/>
              </w:rPr>
              <w:t>序号</w:t>
            </w:r>
          </w:p>
        </w:tc>
        <w:tc>
          <w:tcPr>
            <w:tcW w:w="1061" w:type="pct"/>
            <w:vAlign w:val="center"/>
          </w:tcPr>
          <w:p>
            <w:pPr>
              <w:jc w:val="center"/>
              <w:rPr>
                <w:rFonts w:ascii="微软雅黑" w:hAnsi="微软雅黑" w:eastAsia="微软雅黑"/>
                <w:b/>
                <w:sz w:val="22"/>
              </w:rPr>
            </w:pPr>
            <w:r>
              <w:rPr>
                <w:rFonts w:hint="eastAsia" w:ascii="微软雅黑" w:hAnsi="微软雅黑" w:eastAsia="微软雅黑"/>
                <w:b/>
                <w:sz w:val="22"/>
              </w:rPr>
              <w:t>指标项</w:t>
            </w:r>
          </w:p>
        </w:tc>
        <w:tc>
          <w:tcPr>
            <w:tcW w:w="3540" w:type="pct"/>
            <w:vAlign w:val="center"/>
          </w:tcPr>
          <w:p>
            <w:pPr>
              <w:jc w:val="center"/>
              <w:rPr>
                <w:rFonts w:ascii="微软雅黑" w:hAnsi="微软雅黑" w:eastAsia="微软雅黑"/>
                <w:b/>
                <w:sz w:val="22"/>
              </w:rPr>
            </w:pPr>
            <w:r>
              <w:rPr>
                <w:rFonts w:hint="eastAsia" w:ascii="微软雅黑" w:hAnsi="微软雅黑" w:eastAsia="微软雅黑"/>
                <w:b/>
                <w:sz w:val="22"/>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sz w:val="22"/>
              </w:rPr>
            </w:pPr>
            <w:r>
              <w:rPr>
                <w:rFonts w:hint="eastAsia" w:ascii="微软雅黑" w:hAnsi="微软雅黑" w:eastAsia="微软雅黑" w:cs="宋体"/>
                <w:kern w:val="0"/>
                <w:sz w:val="22"/>
              </w:rPr>
              <w:t>▲处理器</w:t>
            </w:r>
          </w:p>
        </w:tc>
        <w:tc>
          <w:tcPr>
            <w:tcW w:w="3540" w:type="pct"/>
            <w:vAlign w:val="center"/>
          </w:tcPr>
          <w:p>
            <w:pPr>
              <w:jc w:val="left"/>
              <w:rPr>
                <w:rFonts w:ascii="微软雅黑" w:hAnsi="微软雅黑" w:eastAsia="微软雅黑"/>
                <w:sz w:val="22"/>
              </w:rPr>
            </w:pPr>
            <w:r>
              <w:rPr>
                <w:rFonts w:hint="eastAsia" w:ascii="微软雅黑" w:hAnsi="微软雅黑" w:eastAsia="微软雅黑" w:cs="宋体"/>
                <w:kern w:val="0"/>
                <w:sz w:val="22"/>
              </w:rPr>
              <w:t>≥八核高性能处理器，主频≥2.3Ghz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s="宋体"/>
                <w:color w:val="000000"/>
                <w:kern w:val="0"/>
                <w:sz w:val="22"/>
              </w:rPr>
              <w:t>RAM</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w:t>
            </w:r>
            <w:r>
              <w:rPr>
                <w:rFonts w:hint="eastAsia" w:ascii="微软雅黑" w:hAnsi="微软雅黑" w:eastAsia="微软雅黑" w:cs="宋体"/>
                <w:color w:val="000000"/>
                <w:kern w:val="0"/>
                <w:sz w:val="22"/>
              </w:rPr>
              <w:t>3G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s="宋体"/>
                <w:color w:val="000000"/>
                <w:kern w:val="0"/>
                <w:sz w:val="22"/>
              </w:rPr>
              <w:t>ROM</w:t>
            </w:r>
          </w:p>
        </w:tc>
        <w:tc>
          <w:tcPr>
            <w:tcW w:w="3540" w:type="pct"/>
            <w:vAlign w:val="center"/>
          </w:tcPr>
          <w:p>
            <w:pPr>
              <w:jc w:val="left"/>
              <w:rPr>
                <w:rFonts w:ascii="微软雅黑" w:hAnsi="微软雅黑" w:eastAsia="微软雅黑" w:cs="宋体"/>
                <w:color w:val="000000"/>
                <w:kern w:val="0"/>
                <w:sz w:val="22"/>
              </w:rPr>
            </w:pPr>
            <w:r>
              <w:rPr>
                <w:rFonts w:hint="eastAsia" w:ascii="微软雅黑" w:hAnsi="微软雅黑" w:eastAsia="微软雅黑" w:cs="宋体"/>
                <w:kern w:val="0"/>
                <w:sz w:val="22"/>
              </w:rPr>
              <w:t>≥</w:t>
            </w:r>
            <w:r>
              <w:rPr>
                <w:rFonts w:hint="eastAsia" w:ascii="微软雅黑" w:hAnsi="微软雅黑" w:eastAsia="微软雅黑" w:cs="宋体"/>
                <w:color w:val="000000"/>
                <w:kern w:val="0"/>
                <w:sz w:val="22"/>
              </w:rPr>
              <w:t>16G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看门狗</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硬件配置看门狗，可实现故障自动检测并诊断，死机自动重启;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w:t>
            </w:r>
            <w:r>
              <w:rPr>
                <w:rFonts w:hint="eastAsia" w:ascii="微软雅黑" w:hAnsi="微软雅黑" w:eastAsia="微软雅黑"/>
                <w:sz w:val="22"/>
              </w:rPr>
              <w:t>尺寸</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w:t>
            </w:r>
            <w:r>
              <w:rPr>
                <w:rFonts w:hint="eastAsia" w:ascii="微软雅黑" w:hAnsi="微软雅黑" w:eastAsia="微软雅黑"/>
                <w:sz w:val="22"/>
              </w:rPr>
              <w:t>21.5英寸LCD屏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分辨率</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w:t>
            </w:r>
            <w:r>
              <w:rPr>
                <w:rFonts w:hint="eastAsia" w:ascii="微软雅黑" w:hAnsi="微软雅黑" w:eastAsia="微软雅黑"/>
                <w:sz w:val="22"/>
              </w:rPr>
              <w:t>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color w:val="000000"/>
                <w:kern w:val="0"/>
                <w:sz w:val="22"/>
              </w:rPr>
            </w:pPr>
            <w:r>
              <w:rPr>
                <w:rFonts w:hint="eastAsia" w:ascii="微软雅黑" w:hAnsi="微软雅黑" w:eastAsia="微软雅黑"/>
                <w:sz w:val="22"/>
              </w:rPr>
              <w:t>触控:</w:t>
            </w:r>
          </w:p>
        </w:tc>
        <w:tc>
          <w:tcPr>
            <w:tcW w:w="3540" w:type="pct"/>
            <w:vAlign w:val="center"/>
          </w:tcPr>
          <w:p>
            <w:pPr>
              <w:jc w:val="left"/>
              <w:rPr>
                <w:rFonts w:ascii="微软雅黑" w:hAnsi="微软雅黑" w:eastAsia="微软雅黑" w:cs="宋体"/>
                <w:color w:val="000000"/>
                <w:kern w:val="0"/>
                <w:sz w:val="22"/>
              </w:rPr>
            </w:pPr>
            <w:r>
              <w:rPr>
                <w:rFonts w:hint="eastAsia" w:ascii="微软雅黑" w:hAnsi="微软雅黑" w:eastAsia="微软雅黑"/>
                <w:sz w:val="22"/>
              </w:rPr>
              <w:t>支持10点触控，湿手和手指套触控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color w:val="000000"/>
                <w:kern w:val="0"/>
                <w:sz w:val="22"/>
              </w:rPr>
            </w:pPr>
            <w:r>
              <w:rPr>
                <w:rFonts w:hint="eastAsia" w:ascii="微软雅黑" w:hAnsi="微软雅黑" w:eastAsia="微软雅黑" w:cs="宋体"/>
                <w:kern w:val="0"/>
                <w:sz w:val="22"/>
              </w:rPr>
              <w:t>▲</w:t>
            </w:r>
            <w:r>
              <w:rPr>
                <w:rFonts w:hint="eastAsia" w:ascii="微软雅黑" w:hAnsi="微软雅黑" w:eastAsia="微软雅黑"/>
                <w:sz w:val="22"/>
              </w:rPr>
              <w:t>玻璃盖板</w:t>
            </w:r>
          </w:p>
        </w:tc>
        <w:tc>
          <w:tcPr>
            <w:tcW w:w="3540" w:type="pct"/>
            <w:vAlign w:val="center"/>
          </w:tcPr>
          <w:p>
            <w:pPr>
              <w:jc w:val="left"/>
              <w:rPr>
                <w:rFonts w:ascii="微软雅黑" w:hAnsi="微软雅黑" w:eastAsia="微软雅黑" w:cs="宋体"/>
                <w:color w:val="000000"/>
                <w:kern w:val="0"/>
                <w:sz w:val="22"/>
              </w:rPr>
            </w:pPr>
            <w:r>
              <w:rPr>
                <w:rFonts w:hint="eastAsia" w:ascii="微软雅黑" w:hAnsi="微软雅黑" w:eastAsia="微软雅黑"/>
                <w:sz w:val="22"/>
              </w:rPr>
              <w:t>表面采用AF工艺（防指纹残留，污染屏幕），有效防止指纹和屏幕刮伤，易于清洁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olor w:val="000000"/>
                <w:sz w:val="22"/>
              </w:rPr>
              <w:t>WiFi</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olor w:val="000000"/>
                <w:sz w:val="22"/>
              </w:rPr>
              <w:t>WiFi频率：2.4GHz &amp; 5GHz；WiFi协议：802.11a/b/g/n/ac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olor w:val="000000"/>
                <w:sz w:val="22"/>
              </w:rPr>
              <w:t>蓝牙</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olor w:val="000000"/>
                <w:sz w:val="22"/>
              </w:rPr>
              <w:t>Bluetooth 5.0或以上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有线网络</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10M/100M/1000M自适应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喇叭</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双喇叭设计，位于壳体背部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Mic</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内置双MIC，降噪防啸叫高清通话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呼叫接听方式</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支持免提接听和手持听筒接听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听筒</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采用分体式手持听筒设计，方便售后维护保养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供电方式</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同时支持POE供电、电源适配器供电、集中电源供电方式。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摄像头</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前置≥1300万像素可隐藏式摄像头。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外设接口</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RJ45*1、DC*1、耳机接口*1；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color w:val="000000"/>
                <w:kern w:val="0"/>
                <w:sz w:val="22"/>
              </w:rPr>
            </w:pPr>
            <w:r>
              <w:rPr>
                <w:rFonts w:hint="eastAsia" w:ascii="微软雅黑" w:hAnsi="微软雅黑" w:eastAsia="微软雅黑"/>
                <w:sz w:val="22"/>
              </w:rPr>
              <w:t>物理按键</w:t>
            </w:r>
          </w:p>
        </w:tc>
        <w:tc>
          <w:tcPr>
            <w:tcW w:w="3540" w:type="pct"/>
            <w:vAlign w:val="center"/>
          </w:tcPr>
          <w:p>
            <w:pPr>
              <w:jc w:val="left"/>
              <w:rPr>
                <w:rFonts w:ascii="微软雅黑" w:hAnsi="微软雅黑" w:eastAsia="微软雅黑" w:cs="宋体"/>
                <w:color w:val="000000"/>
                <w:kern w:val="0"/>
                <w:sz w:val="22"/>
              </w:rPr>
            </w:pPr>
            <w:r>
              <w:rPr>
                <w:rFonts w:hint="eastAsia" w:ascii="微软雅黑" w:hAnsi="微软雅黑" w:eastAsia="微软雅黑"/>
                <w:sz w:val="22"/>
              </w:rPr>
              <w:t>复位按键*1；按压式复位按键，无需借助工具就可以进行复位。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olor w:val="000000"/>
                <w:sz w:val="22"/>
              </w:rPr>
              <w:t>▲操作系统</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olor w:val="000000"/>
                <w:sz w:val="22"/>
              </w:rPr>
              <w:t>安卓11.0或以上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网络安全</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可绑定医院WLAN指定AP，确保设备院内医疗使用。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olor w:val="000000"/>
                <w:sz w:val="22"/>
              </w:rPr>
              <w:t xml:space="preserve">快捷配置 </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olor w:val="000000"/>
                <w:sz w:val="22"/>
              </w:rPr>
              <w:t>支持扫码批量快捷配置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固件升级</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OTA批量系统升级。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时间同步</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内网自动进行时间同步。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sz w:val="22"/>
              </w:rPr>
              <w:t>系统安全</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sz w:val="22"/>
              </w:rPr>
              <w:t>支持实现对系统设置、应用程序管理、USB调试模式开启的权限限制；系统桌面个性化配置，设定管理权限。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▲节能证书</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投标产品通过节能认证，提供证书复印件。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▲辐射安全</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基于人体健康和安全，制造商具有辐射安全许可证。（提供证书复印件加盖公章）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99" w:type="pct"/>
            <w:vAlign w:val="center"/>
          </w:tcPr>
          <w:p>
            <w:pPr>
              <w:numPr>
                <w:ilvl w:val="0"/>
                <w:numId w:val="4"/>
              </w:numPr>
              <w:jc w:val="center"/>
              <w:rPr>
                <w:rFonts w:ascii="微软雅黑" w:hAnsi="微软雅黑" w:eastAsia="微软雅黑"/>
                <w:sz w:val="22"/>
              </w:rPr>
            </w:pPr>
          </w:p>
        </w:tc>
        <w:tc>
          <w:tcPr>
            <w:tcW w:w="1061" w:type="pct"/>
            <w:vAlign w:val="center"/>
          </w:tcPr>
          <w:p>
            <w:pPr>
              <w:jc w:val="center"/>
              <w:rPr>
                <w:rFonts w:ascii="微软雅黑" w:hAnsi="微软雅黑" w:eastAsia="微软雅黑" w:cs="宋体"/>
                <w:kern w:val="0"/>
                <w:sz w:val="22"/>
              </w:rPr>
            </w:pPr>
            <w:r>
              <w:rPr>
                <w:rFonts w:hint="eastAsia" w:ascii="微软雅黑" w:hAnsi="微软雅黑" w:eastAsia="微软雅黑" w:cs="宋体"/>
                <w:kern w:val="0"/>
                <w:sz w:val="22"/>
              </w:rPr>
              <w:t>▲制造商资质</w:t>
            </w:r>
          </w:p>
        </w:tc>
        <w:tc>
          <w:tcPr>
            <w:tcW w:w="3540" w:type="pct"/>
            <w:vAlign w:val="center"/>
          </w:tcPr>
          <w:p>
            <w:pPr>
              <w:jc w:val="left"/>
              <w:rPr>
                <w:rFonts w:ascii="微软雅黑" w:hAnsi="微软雅黑" w:eastAsia="微软雅黑" w:cs="宋体"/>
                <w:kern w:val="0"/>
                <w:sz w:val="22"/>
              </w:rPr>
            </w:pPr>
            <w:r>
              <w:rPr>
                <w:rFonts w:hint="eastAsia" w:ascii="微软雅黑" w:hAnsi="微软雅黑" w:eastAsia="微软雅黑" w:cs="宋体"/>
                <w:kern w:val="0"/>
                <w:sz w:val="22"/>
              </w:rPr>
              <w:t>制造商具有ISO13485、ISO20000、ISO27001管理体系认证，需提供认证证书复印件。</w:t>
            </w:r>
          </w:p>
        </w:tc>
      </w:tr>
    </w:tbl>
    <w:p>
      <w:pPr>
        <w:pStyle w:val="4"/>
        <w:numPr>
          <w:ilvl w:val="0"/>
          <w:numId w:val="5"/>
        </w:numPr>
        <w:spacing w:line="240" w:lineRule="auto"/>
        <w:rPr>
          <w:rFonts w:hint="eastAsia" w:ascii="微软雅黑" w:hAnsi="微软雅黑" w:eastAsia="微软雅黑"/>
          <w:b w:val="0"/>
          <w:bCs w:val="0"/>
          <w:sz w:val="24"/>
          <w:szCs w:val="24"/>
        </w:rPr>
      </w:pPr>
      <w:r>
        <w:rPr>
          <w:rFonts w:hint="eastAsia" w:ascii="微软雅黑" w:hAnsi="微软雅黑" w:eastAsia="微软雅黑"/>
          <w:b w:val="0"/>
          <w:bCs w:val="0"/>
          <w:sz w:val="24"/>
          <w:szCs w:val="24"/>
        </w:rPr>
        <w:t>智慧白板系统</w:t>
      </w:r>
    </w:p>
    <w:p>
      <w:pPr>
        <w:pStyle w:val="5"/>
        <w:rPr>
          <w:rFonts w:ascii="微软雅黑" w:hAnsi="微软雅黑" w:eastAsia="微软雅黑"/>
          <w:b w:val="0"/>
          <w:bCs w:val="0"/>
          <w:sz w:val="24"/>
          <w:szCs w:val="24"/>
        </w:rPr>
      </w:pPr>
      <w:r>
        <w:rPr>
          <w:rFonts w:hint="eastAsia" w:ascii="微软雅黑" w:hAnsi="微软雅黑" w:eastAsia="微软雅黑"/>
          <w:b w:val="0"/>
          <w:bCs w:val="0"/>
          <w:sz w:val="24"/>
          <w:szCs w:val="24"/>
        </w:rPr>
        <w:t>功能要求</w:t>
      </w:r>
    </w:p>
    <w:tbl>
      <w:tblPr>
        <w:tblStyle w:val="9"/>
        <w:tblW w:w="9776" w:type="dxa"/>
        <w:jc w:val="center"/>
        <w:tblLayout w:type="autofit"/>
        <w:tblCellMar>
          <w:top w:w="0" w:type="dxa"/>
          <w:left w:w="108" w:type="dxa"/>
          <w:bottom w:w="0" w:type="dxa"/>
          <w:right w:w="108" w:type="dxa"/>
        </w:tblCellMar>
      </w:tblPr>
      <w:tblGrid>
        <w:gridCol w:w="840"/>
        <w:gridCol w:w="1140"/>
        <w:gridCol w:w="1559"/>
        <w:gridCol w:w="6237"/>
      </w:tblGrid>
      <w:tr>
        <w:tblPrEx>
          <w:tblCellMar>
            <w:top w:w="0" w:type="dxa"/>
            <w:left w:w="108" w:type="dxa"/>
            <w:bottom w:w="0" w:type="dxa"/>
            <w:right w:w="108" w:type="dxa"/>
          </w:tblCellMar>
        </w:tblPrEx>
        <w:trPr>
          <w:trHeight w:val="660" w:hRule="atLeast"/>
          <w:jc w:val="center"/>
        </w:trPr>
        <w:tc>
          <w:tcPr>
            <w:tcW w:w="8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微软雅黑" w:hAnsi="微软雅黑" w:eastAsia="微软雅黑" w:cs="Arial"/>
                <w:b/>
                <w:bCs/>
                <w:kern w:val="0"/>
                <w:sz w:val="22"/>
                <w:szCs w:val="22"/>
              </w:rPr>
            </w:pPr>
            <w:r>
              <w:rPr>
                <w:rFonts w:hint="eastAsia" w:ascii="微软雅黑" w:hAnsi="微软雅黑" w:eastAsia="微软雅黑" w:cs="Arial"/>
                <w:b/>
                <w:bCs/>
                <w:kern w:val="0"/>
                <w:sz w:val="22"/>
                <w:szCs w:val="22"/>
              </w:rPr>
              <w:t>序号</w:t>
            </w:r>
          </w:p>
        </w:tc>
        <w:tc>
          <w:tcPr>
            <w:tcW w:w="1140" w:type="dxa"/>
            <w:tcBorders>
              <w:top w:val="single" w:color="auto" w:sz="4" w:space="0"/>
              <w:left w:val="nil"/>
              <w:bottom w:val="single" w:color="auto" w:sz="4" w:space="0"/>
              <w:right w:val="single" w:color="auto" w:sz="4" w:space="0"/>
            </w:tcBorders>
            <w:vAlign w:val="center"/>
          </w:tcPr>
          <w:p>
            <w:pPr>
              <w:widowControl/>
              <w:jc w:val="center"/>
              <w:rPr>
                <w:rFonts w:ascii="微软雅黑" w:hAnsi="微软雅黑" w:eastAsia="微软雅黑" w:cs="Arial"/>
                <w:b/>
                <w:bCs/>
                <w:kern w:val="0"/>
                <w:sz w:val="22"/>
                <w:szCs w:val="22"/>
              </w:rPr>
            </w:pPr>
            <w:r>
              <w:rPr>
                <w:rFonts w:hint="eastAsia" w:ascii="微软雅黑" w:hAnsi="微软雅黑" w:eastAsia="微软雅黑" w:cs="Arial"/>
                <w:b/>
                <w:bCs/>
                <w:kern w:val="0"/>
                <w:sz w:val="22"/>
                <w:szCs w:val="22"/>
              </w:rPr>
              <w:t>模块</w:t>
            </w:r>
          </w:p>
        </w:tc>
        <w:tc>
          <w:tcPr>
            <w:tcW w:w="1559" w:type="dxa"/>
            <w:tcBorders>
              <w:top w:val="single" w:color="auto" w:sz="4" w:space="0"/>
              <w:left w:val="nil"/>
              <w:bottom w:val="single" w:color="auto" w:sz="4" w:space="0"/>
              <w:right w:val="single" w:color="auto" w:sz="4" w:space="0"/>
            </w:tcBorders>
            <w:vAlign w:val="center"/>
          </w:tcPr>
          <w:p>
            <w:pPr>
              <w:widowControl/>
              <w:jc w:val="center"/>
              <w:rPr>
                <w:rFonts w:ascii="微软雅黑" w:hAnsi="微软雅黑" w:eastAsia="微软雅黑" w:cs="Arial"/>
                <w:b/>
                <w:bCs/>
                <w:kern w:val="0"/>
                <w:sz w:val="22"/>
                <w:szCs w:val="22"/>
              </w:rPr>
            </w:pPr>
            <w:r>
              <w:rPr>
                <w:rFonts w:hint="eastAsia" w:ascii="微软雅黑" w:hAnsi="微软雅黑" w:eastAsia="微软雅黑" w:cs="Arial"/>
                <w:b/>
                <w:bCs/>
                <w:kern w:val="0"/>
                <w:sz w:val="22"/>
                <w:szCs w:val="22"/>
              </w:rPr>
              <w:t>功能名称</w:t>
            </w:r>
          </w:p>
        </w:tc>
        <w:tc>
          <w:tcPr>
            <w:tcW w:w="6237" w:type="dxa"/>
            <w:tcBorders>
              <w:top w:val="single" w:color="auto" w:sz="4" w:space="0"/>
              <w:left w:val="nil"/>
              <w:bottom w:val="single" w:color="auto" w:sz="4" w:space="0"/>
              <w:right w:val="single" w:color="auto" w:sz="4" w:space="0"/>
            </w:tcBorders>
            <w:vAlign w:val="center"/>
          </w:tcPr>
          <w:p>
            <w:pPr>
              <w:widowControl/>
              <w:jc w:val="center"/>
              <w:rPr>
                <w:rFonts w:ascii="微软雅黑" w:hAnsi="微软雅黑" w:eastAsia="微软雅黑" w:cs="Arial"/>
                <w:b/>
                <w:bCs/>
                <w:kern w:val="0"/>
                <w:sz w:val="22"/>
                <w:szCs w:val="22"/>
              </w:rPr>
            </w:pPr>
            <w:r>
              <w:rPr>
                <w:rFonts w:hint="eastAsia" w:ascii="微软雅黑" w:hAnsi="微软雅黑" w:eastAsia="微软雅黑" w:cs="Arial"/>
                <w:b/>
                <w:bCs/>
                <w:kern w:val="0"/>
                <w:sz w:val="22"/>
                <w:szCs w:val="22"/>
              </w:rPr>
              <w:t>功能要求　</w:t>
            </w:r>
          </w:p>
        </w:tc>
      </w:tr>
      <w:tr>
        <w:tblPrEx>
          <w:tblCellMar>
            <w:top w:w="0" w:type="dxa"/>
            <w:left w:w="108" w:type="dxa"/>
            <w:bottom w:w="0" w:type="dxa"/>
            <w:right w:w="108" w:type="dxa"/>
          </w:tblCellMar>
        </w:tblPrEx>
        <w:trPr>
          <w:trHeight w:val="1230"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nil"/>
              <w:left w:val="single" w:color="auto" w:sz="4" w:space="0"/>
              <w:bottom w:val="nil"/>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病区概览</w:t>
            </w:r>
          </w:p>
        </w:tc>
        <w:tc>
          <w:tcPr>
            <w:tcW w:w="1559" w:type="dxa"/>
            <w:tcBorders>
              <w:top w:val="nil"/>
              <w:left w:val="nil"/>
              <w:bottom w:val="nil"/>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病区动态</w:t>
            </w:r>
          </w:p>
        </w:tc>
        <w:tc>
          <w:tcPr>
            <w:tcW w:w="6237" w:type="dxa"/>
            <w:tcBorders>
              <w:top w:val="nil"/>
              <w:left w:val="nil"/>
              <w:bottom w:val="nil"/>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系统根据配置自动提取当前病区的重点关注患者，如：新入院、今日出院、病危、病重、转床、今日手术、预手术、一级护理的患者，转床信息可查看患者从X床转至Y床，今日手术可查看手术名称、手术台号，支持病区根据业务需要，按病区进行配置。</w:t>
            </w:r>
          </w:p>
        </w:tc>
      </w:tr>
      <w:tr>
        <w:tblPrEx>
          <w:tblCellMar>
            <w:top w:w="0" w:type="dxa"/>
            <w:left w:w="108" w:type="dxa"/>
            <w:bottom w:w="0" w:type="dxa"/>
            <w:right w:w="108" w:type="dxa"/>
          </w:tblCellMar>
        </w:tblPrEx>
        <w:trPr>
          <w:trHeight w:val="810"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single" w:color="auto" w:sz="4" w:space="0"/>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患者备注</w:t>
            </w:r>
          </w:p>
        </w:tc>
        <w:tc>
          <w:tcPr>
            <w:tcW w:w="6237" w:type="dxa"/>
            <w:tcBorders>
              <w:top w:val="single" w:color="auto" w:sz="4" w:space="0"/>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对于重点关注患者，护士可进行重要事项或患者情况备注；支持设置到期自动删除备注</w:t>
            </w:r>
          </w:p>
        </w:tc>
      </w:tr>
      <w:tr>
        <w:tblPrEx>
          <w:tblCellMar>
            <w:top w:w="0" w:type="dxa"/>
            <w:left w:w="108" w:type="dxa"/>
            <w:bottom w:w="0" w:type="dxa"/>
            <w:right w:w="108" w:type="dxa"/>
          </w:tblCellMar>
        </w:tblPrEx>
        <w:trPr>
          <w:trHeight w:val="1110"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护理信息</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系统根据配置自动提取病区患者重点护理事项，如测血压、测血糖、导管、吸氧、气切护理、病灶冲洗、引流及各类换药项目，支持病区根据业务需要，按病区进行配置。</w:t>
            </w:r>
          </w:p>
        </w:tc>
      </w:tr>
      <w:tr>
        <w:tblPrEx>
          <w:tblCellMar>
            <w:top w:w="0" w:type="dxa"/>
            <w:left w:w="108" w:type="dxa"/>
            <w:bottom w:w="0" w:type="dxa"/>
            <w:right w:w="108" w:type="dxa"/>
          </w:tblCellMar>
        </w:tblPrEx>
        <w:trPr>
          <w:trHeight w:val="100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检验检查</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支持护士新增、编辑并展示病区患者的检查检验预约相关信息，如检查项目、部位、状态、预约时间、注意事项，可设置按患者列表或按检查项目汇总显示数据，支持对接院内检查预约系统数据</w:t>
            </w:r>
          </w:p>
        </w:tc>
      </w:tr>
      <w:tr>
        <w:tblPrEx>
          <w:tblCellMar>
            <w:top w:w="0" w:type="dxa"/>
            <w:left w:w="108" w:type="dxa"/>
            <w:bottom w:w="0" w:type="dxa"/>
            <w:right w:w="108" w:type="dxa"/>
          </w:tblCellMar>
        </w:tblPrEx>
        <w:trPr>
          <w:trHeight w:val="94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通知公告</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支持护士在大屏端新增、编辑病区并展示重要通知公告或备忘信息，支持设置到期自动删除内容。可查看历史内容。</w:t>
            </w:r>
          </w:p>
        </w:tc>
      </w:tr>
      <w:tr>
        <w:tblPrEx>
          <w:tblCellMar>
            <w:top w:w="0" w:type="dxa"/>
            <w:left w:w="108" w:type="dxa"/>
            <w:bottom w:w="0" w:type="dxa"/>
            <w:right w:w="108" w:type="dxa"/>
          </w:tblCellMar>
        </w:tblPrEx>
        <w:trPr>
          <w:trHeight w:val="70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物品管理</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支持护士在大屏端新增、编辑并展示病区不同类型的物品存放位置，如损坏、送修、使用床号信息</w:t>
            </w:r>
          </w:p>
        </w:tc>
      </w:tr>
      <w:tr>
        <w:tblPrEx>
          <w:tblCellMar>
            <w:top w:w="0" w:type="dxa"/>
            <w:left w:w="108" w:type="dxa"/>
            <w:bottom w:w="0" w:type="dxa"/>
            <w:right w:w="108" w:type="dxa"/>
          </w:tblCellMar>
        </w:tblPrEx>
        <w:trPr>
          <w:trHeight w:val="1080"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借出物管理</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支持护士在大屏端新增、编辑并展示病区中借出去或借来的物品信息，如借出物品、对象、时间信息，可分类查看历史记录</w:t>
            </w:r>
          </w:p>
        </w:tc>
      </w:tr>
      <w:tr>
        <w:tblPrEx>
          <w:tblCellMar>
            <w:top w:w="0" w:type="dxa"/>
            <w:left w:w="108" w:type="dxa"/>
            <w:bottom w:w="0" w:type="dxa"/>
            <w:right w:w="108" w:type="dxa"/>
          </w:tblCellMar>
        </w:tblPrEx>
        <w:trPr>
          <w:trHeight w:val="79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空床管理</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系统自动提取病区的空床信息，以及智能区分男女空床，</w:t>
            </w:r>
          </w:p>
        </w:tc>
      </w:tr>
      <w:tr>
        <w:tblPrEx>
          <w:tblCellMar>
            <w:top w:w="0" w:type="dxa"/>
            <w:left w:w="108" w:type="dxa"/>
            <w:bottom w:w="0" w:type="dxa"/>
            <w:right w:w="108" w:type="dxa"/>
          </w:tblCellMar>
        </w:tblPrEx>
        <w:trPr>
          <w:trHeight w:val="55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通讯录</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支持护士在大屏端新增、编辑并展示病区常用联系人/科室电话，可通过搜索查询联系人电话，支持登录验证</w:t>
            </w:r>
          </w:p>
        </w:tc>
      </w:tr>
      <w:tr>
        <w:tblPrEx>
          <w:tblCellMar>
            <w:top w:w="0" w:type="dxa"/>
            <w:left w:w="108" w:type="dxa"/>
            <w:bottom w:w="0" w:type="dxa"/>
            <w:right w:w="108" w:type="dxa"/>
          </w:tblCellMar>
        </w:tblPrEx>
        <w:trPr>
          <w:trHeight w:val="69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nil"/>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双指下拉</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全局双指下拉，可下拉页面至半屏，方便操作</w:t>
            </w:r>
          </w:p>
        </w:tc>
      </w:tr>
      <w:tr>
        <w:tblPrEx>
          <w:tblCellMar>
            <w:top w:w="0" w:type="dxa"/>
            <w:left w:w="108" w:type="dxa"/>
            <w:bottom w:w="0" w:type="dxa"/>
            <w:right w:w="108" w:type="dxa"/>
          </w:tblCellMar>
        </w:tblPrEx>
        <w:trPr>
          <w:trHeight w:val="96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医护排班</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医护排班</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支持展示当天护士的班次、分组及管床信息；支持展示当天一线、二线、三线值班医生；支持按周显示护士的班次及分组信息，可查看历史的周排班信息</w:t>
            </w:r>
          </w:p>
        </w:tc>
      </w:tr>
      <w:tr>
        <w:tblPrEx>
          <w:tblCellMar>
            <w:top w:w="0" w:type="dxa"/>
            <w:left w:w="108" w:type="dxa"/>
            <w:bottom w:w="0" w:type="dxa"/>
            <w:right w:w="108" w:type="dxa"/>
          </w:tblCellMar>
        </w:tblPrEx>
        <w:trPr>
          <w:trHeight w:val="73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排班数据支持对接院内已有的排班系统</w:t>
            </w:r>
          </w:p>
        </w:tc>
      </w:tr>
      <w:tr>
        <w:tblPrEx>
          <w:tblCellMar>
            <w:top w:w="0" w:type="dxa"/>
            <w:left w:w="108" w:type="dxa"/>
            <w:bottom w:w="0" w:type="dxa"/>
            <w:right w:w="108" w:type="dxa"/>
          </w:tblCellMar>
        </w:tblPrEx>
        <w:trPr>
          <w:trHeight w:val="72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创新交互体验</w:t>
            </w:r>
          </w:p>
        </w:tc>
        <w:tc>
          <w:tcPr>
            <w:tcW w:w="1559"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快捷操作</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病区概览，双指左右滑动可快速切换至床位列表、交班管理</w:t>
            </w:r>
          </w:p>
        </w:tc>
      </w:tr>
      <w:tr>
        <w:tblPrEx>
          <w:tblCellMar>
            <w:top w:w="0" w:type="dxa"/>
            <w:left w:w="108" w:type="dxa"/>
            <w:bottom w:w="0" w:type="dxa"/>
            <w:right w:w="108" w:type="dxa"/>
          </w:tblCellMar>
        </w:tblPrEx>
        <w:trPr>
          <w:trHeight w:val="72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病区概览编辑弹窗可自由拖动，病区概览叩击弹窗，可查看所有护理信息、病区动态内容</w:t>
            </w:r>
          </w:p>
        </w:tc>
      </w:tr>
      <w:tr>
        <w:tblPrEx>
          <w:tblCellMar>
            <w:top w:w="0" w:type="dxa"/>
            <w:left w:w="108" w:type="dxa"/>
            <w:bottom w:w="0" w:type="dxa"/>
            <w:right w:w="108" w:type="dxa"/>
          </w:tblCellMar>
        </w:tblPrEx>
        <w:trPr>
          <w:trHeight w:val="72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单指右下角侧滑，拉起多模块，支持全屏查看多模块信息以及切换模块</w:t>
            </w:r>
          </w:p>
        </w:tc>
      </w:tr>
      <w:tr>
        <w:tblPrEx>
          <w:tblCellMar>
            <w:top w:w="0" w:type="dxa"/>
            <w:left w:w="108" w:type="dxa"/>
            <w:bottom w:w="0" w:type="dxa"/>
            <w:right w:w="108" w:type="dxa"/>
          </w:tblCellMar>
        </w:tblPrEx>
        <w:trPr>
          <w:trHeight w:val="72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nil"/>
              <w:left w:val="single" w:color="auto" w:sz="4" w:space="0"/>
              <w:bottom w:val="nil"/>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支持夜间模式，可设置夜间模式时间，夜间模式自动显示深色背景</w:t>
            </w:r>
          </w:p>
        </w:tc>
      </w:tr>
      <w:tr>
        <w:tblPrEx>
          <w:tblCellMar>
            <w:top w:w="0" w:type="dxa"/>
            <w:left w:w="108" w:type="dxa"/>
            <w:bottom w:w="0" w:type="dxa"/>
            <w:right w:w="108" w:type="dxa"/>
          </w:tblCellMar>
        </w:tblPrEx>
        <w:trPr>
          <w:trHeight w:val="94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床位列表</w:t>
            </w:r>
          </w:p>
        </w:tc>
        <w:tc>
          <w:tcPr>
            <w:tcW w:w="15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床位卡片</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患者卡片，显示当前病区的床位信息以及在院患者信息，并显示患者详细信息，如床号、姓名、住院号、房间号、责任医护、饮食医嘱、过敏史、费用类型、风险标记、入院诊断、入院天数、危重标记；支持按病区配置显示信息</w:t>
            </w:r>
          </w:p>
        </w:tc>
      </w:tr>
      <w:tr>
        <w:tblPrEx>
          <w:tblCellMar>
            <w:top w:w="0" w:type="dxa"/>
            <w:left w:w="108" w:type="dxa"/>
            <w:bottom w:w="0" w:type="dxa"/>
            <w:right w:w="108" w:type="dxa"/>
          </w:tblCellMar>
        </w:tblPrEx>
        <w:trPr>
          <w:trHeight w:val="58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支持分类筛选查询患者，如护理等级、重点关注项目的分类，支持病区根据业务需要，按病区进行配置</w:t>
            </w:r>
          </w:p>
        </w:tc>
      </w:tr>
      <w:tr>
        <w:tblPrEx>
          <w:tblCellMar>
            <w:top w:w="0" w:type="dxa"/>
            <w:left w:w="108" w:type="dxa"/>
            <w:bottom w:w="0" w:type="dxa"/>
            <w:right w:w="108" w:type="dxa"/>
          </w:tblCellMar>
        </w:tblPrEx>
        <w:trPr>
          <w:trHeight w:val="96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对接移动护理系统系统，可显示患者护理风险标记如跌倒、压疮、VTE的风险标记，以及最近一次风险评估信息；支持根据风险等级设置并显示风险标记颜色；支持按护理风险以及等级分类筛选患者</w:t>
            </w:r>
          </w:p>
        </w:tc>
      </w:tr>
      <w:tr>
        <w:tblPrEx>
          <w:tblCellMar>
            <w:top w:w="0" w:type="dxa"/>
            <w:left w:w="108" w:type="dxa"/>
            <w:bottom w:w="0" w:type="dxa"/>
            <w:right w:w="108" w:type="dxa"/>
          </w:tblCellMar>
        </w:tblPrEx>
        <w:trPr>
          <w:trHeight w:val="91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空床设置</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可对病区的空床智能区分并标记男女空床，支持护士对空床预约，如患者姓名、性别、预约医生</w:t>
            </w:r>
          </w:p>
        </w:tc>
      </w:tr>
      <w:tr>
        <w:tblPrEx>
          <w:tblCellMar>
            <w:top w:w="0" w:type="dxa"/>
            <w:left w:w="108" w:type="dxa"/>
            <w:bottom w:w="0" w:type="dxa"/>
            <w:right w:w="108" w:type="dxa"/>
          </w:tblCellMar>
        </w:tblPrEx>
        <w:trPr>
          <w:trHeight w:val="82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nil"/>
              <w:left w:val="nil"/>
              <w:bottom w:val="nil"/>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分组查询</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支持根据患者的科室查询每一个科室患者信息，支持根据患者的责任医生、护士查询每一个医护负责的患者信息</w:t>
            </w:r>
          </w:p>
        </w:tc>
      </w:tr>
      <w:tr>
        <w:tblPrEx>
          <w:tblCellMar>
            <w:top w:w="0" w:type="dxa"/>
            <w:left w:w="108" w:type="dxa"/>
            <w:bottom w:w="0" w:type="dxa"/>
            <w:right w:w="108" w:type="dxa"/>
          </w:tblCellMar>
        </w:tblPrEx>
        <w:trPr>
          <w:trHeight w:val="85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vAlign w:val="center"/>
          </w:tcPr>
          <w:p>
            <w:pPr>
              <w:widowControl/>
              <w:jc w:val="left"/>
              <w:rPr>
                <w:rFonts w:ascii="微软雅黑" w:hAnsi="微软雅黑" w:eastAsia="微软雅黑" w:cs="Arial"/>
                <w:kern w:val="0"/>
                <w:sz w:val="22"/>
                <w:szCs w:val="22"/>
              </w:rPr>
            </w:pPr>
          </w:p>
        </w:tc>
        <w:tc>
          <w:tcPr>
            <w:tcW w:w="1559" w:type="dxa"/>
            <w:tcBorders>
              <w:top w:val="single" w:color="auto" w:sz="4" w:space="0"/>
              <w:left w:val="nil"/>
              <w:bottom w:val="nil"/>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宣教推送</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对接床旁交互系统，护士可给单个患者推送健康宣教内容，患者在床旁接收并查看宣教内容</w:t>
            </w:r>
          </w:p>
        </w:tc>
      </w:tr>
      <w:tr>
        <w:tblPrEx>
          <w:tblCellMar>
            <w:top w:w="0" w:type="dxa"/>
            <w:left w:w="108" w:type="dxa"/>
            <w:bottom w:w="0" w:type="dxa"/>
            <w:right w:w="108" w:type="dxa"/>
          </w:tblCellMar>
        </w:tblPrEx>
        <w:trPr>
          <w:trHeight w:val="55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诊疗计划</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可查看患者的诊疗计划，如今日护理任务（待测体征、待评估风险、待执行医嘱）、手术信息、今日检查安排</w:t>
            </w:r>
          </w:p>
        </w:tc>
      </w:tr>
      <w:tr>
        <w:tblPrEx>
          <w:tblCellMar>
            <w:top w:w="0" w:type="dxa"/>
            <w:left w:w="108" w:type="dxa"/>
            <w:bottom w:w="0" w:type="dxa"/>
            <w:right w:w="108" w:type="dxa"/>
          </w:tblCellMar>
        </w:tblPrEx>
        <w:trPr>
          <w:trHeight w:val="94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手术监控</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手术排期查询</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对接手麻系统，展示近期手术安排列表，如患者床号、姓名、性别、年龄、麻醉方式、手术名称、计划或实际手术时间、手术间、手术台号、手术医生，可修改手术间及手术台号。</w:t>
            </w:r>
          </w:p>
        </w:tc>
      </w:tr>
      <w:tr>
        <w:tblPrEx>
          <w:tblCellMar>
            <w:top w:w="0" w:type="dxa"/>
            <w:left w:w="108" w:type="dxa"/>
            <w:bottom w:w="0" w:type="dxa"/>
            <w:right w:w="108" w:type="dxa"/>
          </w:tblCellMar>
        </w:tblPrEx>
        <w:trPr>
          <w:trHeight w:val="85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手术进程</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对接手麻系统，可查看手术的详细信息，如手术分级、切口类型、手术详细进程（入手术间、麻醉开始、手术开始、手术结束、麻醉结束、出手术间的时间节点）</w:t>
            </w:r>
          </w:p>
        </w:tc>
      </w:tr>
      <w:tr>
        <w:tblPrEx>
          <w:tblCellMar>
            <w:top w:w="0" w:type="dxa"/>
            <w:left w:w="108" w:type="dxa"/>
            <w:bottom w:w="0" w:type="dxa"/>
            <w:right w:w="108" w:type="dxa"/>
          </w:tblCellMar>
        </w:tblPrEx>
        <w:trPr>
          <w:trHeight w:val="64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汇总交班</w:t>
            </w:r>
          </w:p>
        </w:tc>
        <w:tc>
          <w:tcPr>
            <w:tcW w:w="1559" w:type="dxa"/>
            <w:tcBorders>
              <w:top w:val="nil"/>
              <w:left w:val="nil"/>
              <w:bottom w:val="single" w:color="000000" w:sz="4" w:space="0"/>
              <w:right w:val="single" w:color="000000" w:sz="4" w:space="0"/>
            </w:tcBorders>
            <w:shd w:val="clear" w:color="000000" w:fill="FFFFFF"/>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交班模式</w:t>
            </w:r>
          </w:p>
        </w:tc>
        <w:tc>
          <w:tcPr>
            <w:tcW w:w="6237" w:type="dxa"/>
            <w:tcBorders>
              <w:top w:val="nil"/>
              <w:left w:val="nil"/>
              <w:bottom w:val="single" w:color="000000" w:sz="4" w:space="0"/>
              <w:right w:val="single" w:color="000000"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根据病区实际交接班情况，可设置按天进行交班，也可设置按班次（如A、P、N班）进行交班</w:t>
            </w:r>
          </w:p>
        </w:tc>
      </w:tr>
      <w:tr>
        <w:tblPrEx>
          <w:tblCellMar>
            <w:top w:w="0" w:type="dxa"/>
            <w:left w:w="108" w:type="dxa"/>
            <w:bottom w:w="0" w:type="dxa"/>
            <w:right w:w="108" w:type="dxa"/>
          </w:tblCellMar>
        </w:tblPrEx>
        <w:trPr>
          <w:trHeight w:val="84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nil"/>
              <w:right w:val="nil"/>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交班患者统计</w:t>
            </w:r>
          </w:p>
        </w:tc>
        <w:tc>
          <w:tcPr>
            <w:tcW w:w="6237"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按交接周期自动统计重点项目患者数量，如新入院、出院、转入、转出、病危、病重、死亡、手术的患者数量，支持病区根据业务需要，按病区进行配置。</w:t>
            </w:r>
          </w:p>
        </w:tc>
      </w:tr>
      <w:tr>
        <w:tblPrEx>
          <w:tblCellMar>
            <w:top w:w="0" w:type="dxa"/>
            <w:left w:w="108" w:type="dxa"/>
            <w:bottom w:w="0" w:type="dxa"/>
            <w:right w:w="108" w:type="dxa"/>
          </w:tblCellMar>
        </w:tblPrEx>
        <w:trPr>
          <w:trHeight w:val="55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restart"/>
            <w:tcBorders>
              <w:top w:val="single" w:color="auto" w:sz="4" w:space="0"/>
              <w:left w:val="nil"/>
              <w:bottom w:val="single" w:color="auto" w:sz="4" w:space="0"/>
              <w:right w:val="nil"/>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交班患者病情</w:t>
            </w:r>
          </w:p>
        </w:tc>
        <w:tc>
          <w:tcPr>
            <w:tcW w:w="6237"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显示当前病区当天每个患者的交接信息，如患者姓名、性别、分类标记、诊断、既往史过敏史以及护理交接班内容</w:t>
            </w:r>
          </w:p>
        </w:tc>
      </w:tr>
      <w:tr>
        <w:tblPrEx>
          <w:tblCellMar>
            <w:top w:w="0" w:type="dxa"/>
            <w:left w:w="108" w:type="dxa"/>
            <w:bottom w:w="0" w:type="dxa"/>
            <w:right w:w="108" w:type="dxa"/>
          </w:tblCellMar>
        </w:tblPrEx>
        <w:trPr>
          <w:trHeight w:val="58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vMerge w:val="continue"/>
            <w:tcBorders>
              <w:top w:val="single" w:color="auto" w:sz="4" w:space="0"/>
              <w:left w:val="nil"/>
              <w:bottom w:val="single" w:color="auto" w:sz="4" w:space="0"/>
              <w:right w:val="nil"/>
            </w:tcBorders>
            <w:shd w:val="clear" w:color="auto" w:fill="auto"/>
            <w:vAlign w:val="center"/>
          </w:tcPr>
          <w:p>
            <w:pPr>
              <w:widowControl/>
              <w:jc w:val="left"/>
              <w:rPr>
                <w:rFonts w:ascii="微软雅黑" w:hAnsi="微软雅黑" w:eastAsia="微软雅黑" w:cs="Arial"/>
                <w:kern w:val="0"/>
                <w:sz w:val="22"/>
                <w:szCs w:val="22"/>
              </w:rPr>
            </w:pPr>
          </w:p>
        </w:tc>
        <w:tc>
          <w:tcPr>
            <w:tcW w:w="6237"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支持查看当前病区历史的交接记录</w:t>
            </w:r>
          </w:p>
        </w:tc>
      </w:tr>
      <w:tr>
        <w:tblPrEx>
          <w:tblCellMar>
            <w:top w:w="0" w:type="dxa"/>
            <w:left w:w="108" w:type="dxa"/>
            <w:bottom w:w="0" w:type="dxa"/>
            <w:right w:w="108" w:type="dxa"/>
          </w:tblCellMar>
        </w:tblPrEx>
        <w:trPr>
          <w:trHeight w:val="64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nil"/>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交班报告</w:t>
            </w:r>
          </w:p>
        </w:tc>
        <w:tc>
          <w:tcPr>
            <w:tcW w:w="6237" w:type="dxa"/>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支持对接第三方的交接班报告数据并显示</w:t>
            </w:r>
          </w:p>
        </w:tc>
      </w:tr>
      <w:tr>
        <w:tblPrEx>
          <w:tblCellMar>
            <w:top w:w="0" w:type="dxa"/>
            <w:left w:w="108" w:type="dxa"/>
            <w:bottom w:w="0" w:type="dxa"/>
            <w:right w:w="108" w:type="dxa"/>
          </w:tblCellMar>
        </w:tblPrEx>
        <w:trPr>
          <w:trHeight w:val="79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▲呼叫中心</w:t>
            </w: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呼叫提醒</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需对接医院现有床旁交互系统，支持显示患者的呼叫、增援提醒，支持接听/挂断呼叫、增援；支持显示厕所紧急呼叫提醒。</w:t>
            </w:r>
          </w:p>
        </w:tc>
      </w:tr>
      <w:tr>
        <w:tblPrEx>
          <w:tblCellMar>
            <w:top w:w="0" w:type="dxa"/>
            <w:left w:w="108" w:type="dxa"/>
            <w:bottom w:w="0" w:type="dxa"/>
            <w:right w:w="108" w:type="dxa"/>
          </w:tblCellMar>
        </w:tblPrEx>
        <w:trPr>
          <w:trHeight w:val="945" w:hRule="atLeast"/>
          <w:jc w:val="center"/>
        </w:trPr>
        <w:tc>
          <w:tcPr>
            <w:tcW w:w="840" w:type="dxa"/>
            <w:tcBorders>
              <w:top w:val="nil"/>
              <w:left w:val="single" w:color="auto" w:sz="4" w:space="0"/>
              <w:bottom w:val="single" w:color="auto" w:sz="4" w:space="0"/>
              <w:right w:val="single" w:color="auto" w:sz="4" w:space="0"/>
            </w:tcBorders>
            <w:vAlign w:val="center"/>
          </w:tcPr>
          <w:p>
            <w:pPr>
              <w:widowControl/>
              <w:numPr>
                <w:ilvl w:val="0"/>
                <w:numId w:val="6"/>
              </w:numPr>
              <w:jc w:val="center"/>
              <w:rPr>
                <w:rFonts w:ascii="微软雅黑" w:hAnsi="微软雅黑" w:eastAsia="微软雅黑" w:cs="Arial"/>
                <w:kern w:val="0"/>
                <w:sz w:val="22"/>
                <w:szCs w:val="22"/>
              </w:rPr>
            </w:pPr>
          </w:p>
        </w:tc>
        <w:tc>
          <w:tcPr>
            <w:tcW w:w="1140"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▲输液监控</w:t>
            </w:r>
          </w:p>
        </w:tc>
        <w:tc>
          <w:tcPr>
            <w:tcW w:w="15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输液监控</w:t>
            </w:r>
          </w:p>
        </w:tc>
        <w:tc>
          <w:tcPr>
            <w:tcW w:w="6237" w:type="dxa"/>
            <w:tcBorders>
              <w:top w:val="nil"/>
              <w:left w:val="nil"/>
              <w:bottom w:val="single" w:color="auto" w:sz="4" w:space="0"/>
              <w:right w:val="single" w:color="auto" w:sz="4" w:space="0"/>
            </w:tcBorders>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需对接医院现有全闭环输液监控系统，实时显示各床位输液进程，如余量、滴速、剩余输液时间、以及异常信息（输液即将完成、滴速异常），输液即将完成、滴速过快或过慢时，进行语音提醒。</w:t>
            </w:r>
          </w:p>
        </w:tc>
      </w:tr>
      <w:tr>
        <w:tblPrEx>
          <w:tblCellMar>
            <w:top w:w="0" w:type="dxa"/>
            <w:left w:w="108" w:type="dxa"/>
            <w:bottom w:w="0" w:type="dxa"/>
            <w:right w:w="108" w:type="dxa"/>
          </w:tblCellMar>
        </w:tblPrEx>
        <w:trPr>
          <w:trHeight w:val="44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平台设置</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医护排班设置</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支持护士在Web端后台设置当天各班次分组的责任护士，以及一二三线当班医生，并同步显示在大屏端</w:t>
            </w:r>
          </w:p>
        </w:tc>
      </w:tr>
      <w:tr>
        <w:tblPrEx>
          <w:tblCellMar>
            <w:top w:w="0" w:type="dxa"/>
            <w:left w:w="108" w:type="dxa"/>
            <w:bottom w:w="0" w:type="dxa"/>
            <w:right w:w="108" w:type="dxa"/>
          </w:tblCellMar>
        </w:tblPrEx>
        <w:trPr>
          <w:trHeight w:val="315"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通知公告</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支持护士在web端后台新增、编辑最新的通知公告栏信息，并同步显示在大屏端</w:t>
            </w:r>
          </w:p>
        </w:tc>
      </w:tr>
      <w:tr>
        <w:tblPrEx>
          <w:tblCellMar>
            <w:top w:w="0" w:type="dxa"/>
            <w:left w:w="108" w:type="dxa"/>
            <w:bottom w:w="0" w:type="dxa"/>
            <w:right w:w="108" w:type="dxa"/>
          </w:tblCellMar>
        </w:tblPrEx>
        <w:trPr>
          <w:trHeight w:val="440" w:hRule="atLeast"/>
          <w:jc w:val="center"/>
        </w:trPr>
        <w:tc>
          <w:tcPr>
            <w:tcW w:w="840" w:type="dxa"/>
            <w:tcBorders>
              <w:top w:val="nil"/>
              <w:left w:val="single" w:color="auto" w:sz="4" w:space="0"/>
              <w:bottom w:val="single" w:color="auto" w:sz="4" w:space="0"/>
              <w:right w:val="single" w:color="auto" w:sz="4" w:space="0"/>
            </w:tcBorders>
            <w:shd w:val="clear" w:color="auto" w:fill="auto"/>
            <w:vAlign w:val="center"/>
          </w:tcPr>
          <w:p>
            <w:pPr>
              <w:widowControl/>
              <w:numPr>
                <w:ilvl w:val="0"/>
                <w:numId w:val="6"/>
              </w:numPr>
              <w:jc w:val="center"/>
              <w:rPr>
                <w:rFonts w:ascii="微软雅黑" w:hAnsi="微软雅黑" w:eastAsia="微软雅黑" w:cs="Arial"/>
                <w:kern w:val="0"/>
                <w:sz w:val="22"/>
                <w:szCs w:val="22"/>
              </w:rPr>
            </w:pPr>
          </w:p>
        </w:tc>
        <w:tc>
          <w:tcPr>
            <w:tcW w:w="1140" w:type="dxa"/>
            <w:vMerge w:val="continue"/>
            <w:tcBorders>
              <w:top w:val="nil"/>
              <w:left w:val="single" w:color="auto" w:sz="4" w:space="0"/>
              <w:bottom w:val="single" w:color="auto" w:sz="4" w:space="0"/>
              <w:right w:val="single" w:color="auto" w:sz="4" w:space="0"/>
            </w:tcBorders>
            <w:shd w:val="clear" w:color="auto" w:fill="auto"/>
            <w:vAlign w:val="center"/>
          </w:tcPr>
          <w:p>
            <w:pPr>
              <w:widowControl/>
              <w:jc w:val="left"/>
              <w:rPr>
                <w:rFonts w:ascii="微软雅黑" w:hAnsi="微软雅黑" w:eastAsia="微软雅黑" w:cs="Arial"/>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检查安排</w:t>
            </w:r>
          </w:p>
        </w:tc>
        <w:tc>
          <w:tcPr>
            <w:tcW w:w="6237" w:type="dxa"/>
            <w:tcBorders>
              <w:top w:val="nil"/>
              <w:left w:val="nil"/>
              <w:bottom w:val="single" w:color="auto" w:sz="4" w:space="0"/>
              <w:right w:val="single" w:color="auto" w:sz="4" w:space="0"/>
            </w:tcBorders>
            <w:shd w:val="clear" w:color="000000" w:fill="FFFFFF"/>
            <w:vAlign w:val="center"/>
          </w:tcPr>
          <w:p>
            <w:pPr>
              <w:widowControl/>
              <w:jc w:val="left"/>
              <w:rPr>
                <w:rFonts w:ascii="微软雅黑" w:hAnsi="微软雅黑" w:eastAsia="微软雅黑" w:cs="Arial"/>
                <w:kern w:val="0"/>
                <w:sz w:val="22"/>
                <w:szCs w:val="22"/>
              </w:rPr>
            </w:pPr>
            <w:r>
              <w:rPr>
                <w:rFonts w:hint="eastAsia" w:ascii="微软雅黑" w:hAnsi="微软雅黑" w:eastAsia="微软雅黑" w:cs="Arial"/>
                <w:kern w:val="0"/>
                <w:sz w:val="22"/>
                <w:szCs w:val="22"/>
              </w:rPr>
              <w:t xml:space="preserve"> 支持查看以及新增、编辑检查预约信息，并同步显示在大屏端</w:t>
            </w:r>
          </w:p>
        </w:tc>
      </w:tr>
    </w:tbl>
    <w:p>
      <w:pPr>
        <w:pStyle w:val="4"/>
        <w:rPr>
          <w:rFonts w:ascii="微软雅黑" w:hAnsi="微软雅黑" w:eastAsia="微软雅黑"/>
        </w:rPr>
      </w:pPr>
      <w:r>
        <w:rPr>
          <w:rFonts w:hint="eastAsia" w:ascii="微软雅黑" w:hAnsi="微软雅黑" w:eastAsia="微软雅黑"/>
          <w:b w:val="0"/>
          <w:bCs w:val="0"/>
          <w:sz w:val="24"/>
          <w:szCs w:val="24"/>
        </w:rPr>
        <w:t>（6）智慧病房信息交互系统</w:t>
      </w:r>
    </w:p>
    <w:tbl>
      <w:tblPr>
        <w:tblStyle w:val="9"/>
        <w:tblW w:w="9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1567"/>
        <w:gridCol w:w="1559"/>
        <w:gridCol w:w="5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序号</w:t>
            </w:r>
          </w:p>
        </w:tc>
        <w:tc>
          <w:tcPr>
            <w:tcW w:w="1567" w:type="dxa"/>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模块</w:t>
            </w:r>
          </w:p>
        </w:tc>
        <w:tc>
          <w:tcPr>
            <w:tcW w:w="1559" w:type="dxa"/>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功能名称</w:t>
            </w:r>
          </w:p>
        </w:tc>
        <w:tc>
          <w:tcPr>
            <w:tcW w:w="5891" w:type="dxa"/>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功能要求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97" w:type="dxa"/>
            <w:gridSpan w:val="4"/>
            <w:noWrap/>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床头交互终端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信息展示</w:t>
            </w:r>
          </w:p>
        </w:tc>
        <w:tc>
          <w:tcPr>
            <w:tcW w:w="1559" w:type="dxa"/>
            <w:vMerge w:val="restart"/>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显示基本信息</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支持显示患者床号、姓名、性别、年龄、住院号、入院时间等，实时更新。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支持配置腕带二维码在床头卡显示。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显示病情信息</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支持显示患者护理级别、是否病危病重、过敏史、饮食等，实时更新。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显示医护信息</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支持显示主管医生与责任护士姓名，实时更新。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显示护理重点</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对接医嘱或护理文书，支持显示患者相关的护理重点，包括输液港、PICC、CVC、滴速控制、半卧位、绝对卧床、造口护理、记尿量、记出入量、血糖监测、腹腔化疗、测腹围、鼻饲等，实时更新。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显示护理风险</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支持显示护理风险评估结果及等级，包括自理能力、防压疮、防跌倒/坠床、防血栓、防脱管、防误吸、防走失、防自杀等，实时更新。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显示当前科室</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支持显示医院院徽、医院名称、科室名称，实时更新。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消息通知</w:t>
            </w:r>
          </w:p>
        </w:tc>
        <w:tc>
          <w:tcPr>
            <w:tcW w:w="1559"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通知弹窗</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实时推送检查、宣教通知，提醒患者及时去做检查、看宣教，提升患者服务满意度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color w:val="000000"/>
                <w:kern w:val="0"/>
                <w:sz w:val="22"/>
              </w:rPr>
            </w:pP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检查的消息通知根据频次配置进行推送，可推送一次或者推送多次；并消息推送时进行语音播报，语音播报文案可配置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通知列表</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查看所有推送的消息通知，支持未读标记，可一键已读处理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呼叫/通话</w:t>
            </w:r>
          </w:p>
        </w:tc>
        <w:tc>
          <w:tcPr>
            <w:tcW w:w="1559" w:type="dxa"/>
            <w:vMerge w:val="restart"/>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呼叫接听与通话</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支持通过手柄或屏幕按钮对护士站进行呼叫。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支持自动接听来自护士站的呼叫。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支持实时显示通话状态，包括正在呼叫、等待接听、正在通话、忙音、无应答、已挂断。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增援</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全员增援</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支持医护通过硬件按钮及屏幕软件按钮发起增援；所有的设备（门口屏、走廊屏、护士站、医生电话等）预警提醒需要增援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部分增援</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支持医护通过硬件按钮及屏幕软件按钮针对固定的病区护士站主机和医生电话有选择性的发起增援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固定增援</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支持医护通过硬件按钮及屏幕软件按钮针对固定的某个人（如：值班室医生）发起增援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检查报告</w:t>
            </w: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检查列表显示</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支持检查列表显示分为列表和明细两部分，列表显示将按日期从近至远显示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检查单信息</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根据临床业务提供检查列表显示：包括检查类别、检查单号、检查位置、开单医生、检查日期、检查单状态等。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检查报告显示</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根据临床业务提供检查结果明细显示检查参数、检查所见、检查印象的信息。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保护性医嘱</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根据后台保护性医嘱配置，隐藏患者的检查报告信息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检验报告</w:t>
            </w: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检验列表显示</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 xml:space="preserve"> 支持检验列表显示分为列表和明细两部分，列表显示将按日期从近至远显示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检验结果明细显示</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根据临床业务提供检验结果明细显示：包括检验报告项目名称、检验结果、单位、是否异常、报告日期、申请日期、检验标本、参考值等。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检验结果异常显示</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针对检验结果不在正常值范围内的检验项目以高亮提示。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保护性医嘱</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根据后台保护性医嘱配置，隐藏患者的检验报告信息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费用查询</w:t>
            </w:r>
          </w:p>
        </w:tc>
        <w:tc>
          <w:tcPr>
            <w:tcW w:w="1559"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费用信息</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支持根据临床业务提供患者在院期间的费用医保类型、预交金额、费用总计、剩余费用，当欠费时有对应的标记。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color w:val="000000"/>
                <w:kern w:val="0"/>
                <w:sz w:val="22"/>
              </w:rPr>
            </w:pP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支持根据患者在院期间每天的费用清单明细，包含类型、项目明细、规格、数量、单价、金额和当日总金额。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类型查询</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支持从不同类型的维度展示患者住院期间的费用，包含类型及对应的总金额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缴费记录</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展示当前住院期间的缴费记录，包含日期和缴费金额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新生儿费用清单</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针对产科患者，可展示新生儿费用清单，包含类型、项目明细、规格、数量、单价、金额和当日总金额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健康宣教</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自主宣教</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支持文字、图片、图文、音频、视频形式的健康宣教，方便患者自主学习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定向宣教</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支持护士后台定向对患者推送其必须学习的宣教内容，患者自主播放学习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满意度调查</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满意度调查</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支持根据病区需求，支持按全院、病区的模式对接满意度调查二维码（需对接客户提供的满意度调查系统）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吸氧计时</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吸氧计时</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支持护士在床旁给患者设置吸氧计时，吸氧结束后在护士站、</w:t>
            </w:r>
            <w:r>
              <w:rPr>
                <w:rFonts w:hint="eastAsia" w:ascii="微软雅黑" w:hAnsi="微软雅黑" w:eastAsia="微软雅黑" w:cs="宋体"/>
                <w:kern w:val="0"/>
                <w:sz w:val="22"/>
              </w:rPr>
              <w:t>交互大屏、门口屏</w:t>
            </w:r>
            <w:r>
              <w:rPr>
                <w:rFonts w:hint="eastAsia" w:ascii="微软雅黑" w:hAnsi="微软雅黑" w:eastAsia="微软雅黑" w:cs="宋体"/>
                <w:color w:val="000000"/>
                <w:kern w:val="0"/>
                <w:sz w:val="22"/>
              </w:rPr>
              <w:t>有提醒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医嘱信息</w:t>
            </w:r>
          </w:p>
        </w:tc>
        <w:tc>
          <w:tcPr>
            <w:tcW w:w="1559" w:type="dxa"/>
            <w:vMerge w:val="restart"/>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医嘱过滤查询</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支持根据医嘱长期、临时条件的筛选医嘱信息。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支持根据医嘱状态（如：执行、停止）显示医嘱信息。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可提供根据医嘱类型（药物相关、检验检查、手术相关、治疗、其它）显示医嘱信息。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医嘱列表</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支持根据临床业务和HIS系统定义提供医嘱内容显示：包括长︱临、类型、医嘱内容、剂量、用量、执行方式、频率、开立时间、开立医生、停嘱医生、停嘱时间。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呼叫托管</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呼叫托管</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支持护士在病房进行护理时，将护士站接收的呼叫转移到当前护理患者的床头屏上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信息补充</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病床状态</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支持根据用户后台内容库设置（如：检查、手术中、准备出院中等），护士在床旁设置病床状态，展示在床旁终端上，便于查房、巡视等场景下医护知晓患者的去向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显隐诊断</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支持护士针对患者情况显示和隐藏诊断信息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手动饮食</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根据用户后台内容库设置，支持护士根据病情观察调整患者饮食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过敏史</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在无法及时对接院方过敏史信息时，可根据用户后台内容库设置，护士可快速设置过敏史，对应展示在电子床头卡降低医疗事故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风险评估</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在无法及时对接院方风险评估信息时，可根据用户后台内容库设置，护士可快速设置风险评估项目及等级，对应展示在电子床头卡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护嘱</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根据临床需求，针对患者有护理注意事项可根据用户后台内容库设置，护士可快速设置护理嘱托对应展示在电子床头卡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特殊标识</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针对病区特色医疗护理，可根据用户后台内容库设置，一键针对患者展示对应的特殊标识，无纸化办公；相关标识对应展示在电子床头卡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97" w:type="dxa"/>
            <w:gridSpan w:val="4"/>
            <w:noWrap/>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病房交互终端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信息展示</w:t>
            </w:r>
          </w:p>
        </w:tc>
        <w:tc>
          <w:tcPr>
            <w:tcW w:w="1559" w:type="dxa"/>
            <w:noWrap/>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显示病房信息</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支持显示病房房间号、床号范围、床号。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noWrap/>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显示医护信息</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支持显示科室主任、护士长、病房主管医生、责任护士姓名与工作照。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noWrap/>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显示护理级别</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支持显示病房内各个病床患者的护理级别，实时更新。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noWrap/>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显示护理风险</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支持显示病房内各个病床患者的护理风险评估结果及等级，实时更新。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noWrap/>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显示当前科室</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支持显示医院院徽、医院名称、科室名称。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显示当前时间</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支持显示实时日期、星期、时间。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呼叫/通话</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呼叫提醒与挂断</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支持实时显示床头卡对护士站的呼叫、增援提醒，可取消，可接听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未接电话提醒</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实时显示未接来电提醒，并可一键全部处理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门灯预警</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门灯预警</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根据呼叫、增援、紧急呼叫的不同类型的信息，呈现指定的闪烁/常亮方式和颜色。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门口机提示</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门口机提示</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护士根据需要选择提示语类型，显示在指定病房门口机页面，如：紫外线消毒、男士止步、休息中免打扰、深度护理、隔离病房等，并通过颜色做区分展示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护士定位</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护士定位</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护士根据需要在指定病房的门口机页面打开定位提示，消息同步展示在交互大屏及护士站主机上；如：夜间护士值班在某病房提供服务，设置后在护士站有提示避免找不到人，产生投诉。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医嘱信息</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患者列表</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支持护士查看当前病房内所有患者的医嘱信息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restart"/>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医嘱过滤查询</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支持根据医嘱长期、临时条件的筛选医嘱信息。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支持根据医嘱状态（如：执行、停止）显示医嘱信息。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kern w:val="0"/>
                <w:sz w:val="22"/>
              </w:rPr>
            </w:pP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支持根据医嘱类型（药物相关、检验检查、手术相关、治疗、其它）显示医嘱信息。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kern w:val="0"/>
                <w:sz w:val="22"/>
              </w:rPr>
            </w:pPr>
            <w:r>
              <w:rPr>
                <w:rFonts w:hint="eastAsia" w:ascii="微软雅黑" w:hAnsi="微软雅黑" w:eastAsia="微软雅黑" w:cs="宋体"/>
                <w:kern w:val="0"/>
                <w:sz w:val="22"/>
              </w:rPr>
              <w:t>医嘱列表</w:t>
            </w:r>
          </w:p>
        </w:tc>
        <w:tc>
          <w:tcPr>
            <w:tcW w:w="5891" w:type="dxa"/>
            <w:vAlign w:val="center"/>
          </w:tcPr>
          <w:p>
            <w:pPr>
              <w:widowControl/>
              <w:jc w:val="left"/>
              <w:rPr>
                <w:rFonts w:ascii="微软雅黑" w:hAnsi="微软雅黑" w:eastAsia="微软雅黑" w:cs="宋体"/>
                <w:kern w:val="0"/>
                <w:sz w:val="22"/>
              </w:rPr>
            </w:pPr>
            <w:r>
              <w:rPr>
                <w:rFonts w:hint="eastAsia" w:ascii="微软雅黑" w:hAnsi="微软雅黑" w:eastAsia="微软雅黑" w:cs="宋体"/>
                <w:kern w:val="0"/>
                <w:sz w:val="22"/>
              </w:rPr>
              <w:t>支持根据临床业务和HIS系统定义提供医嘱内容显示：包括长︱临、类型、医嘱内容、剂量、用量、执行方式、频率、开立时间、开立医生、停嘱医生、停嘱时间。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巡视记录</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支持护士查看当前病房患者的护士点击巡视的记录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医院介绍</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病区介绍</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根据病区需求，图文展示病区信息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名医介绍</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根据病区需求，展示名医信息，包含图片、姓名、职称、简介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名护介绍</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根据病区需求，展示名护信息，包含图片、姓名、职称、简介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工卡绑定</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工卡绑定</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支持工卡绑定后使用刷工卡登录，实现快速登录使用医护服务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997" w:type="dxa"/>
            <w:gridSpan w:val="4"/>
            <w:noWrap/>
            <w:vAlign w:val="center"/>
          </w:tcPr>
          <w:p>
            <w:pPr>
              <w:widowControl/>
              <w:jc w:val="center"/>
              <w:rPr>
                <w:rFonts w:ascii="微软雅黑" w:hAnsi="微软雅黑" w:eastAsia="微软雅黑" w:cs="宋体"/>
                <w:b/>
                <w:bCs/>
                <w:color w:val="000000"/>
                <w:kern w:val="0"/>
                <w:sz w:val="22"/>
              </w:rPr>
            </w:pPr>
            <w:r>
              <w:rPr>
                <w:rFonts w:hint="eastAsia" w:ascii="微软雅黑" w:hAnsi="微软雅黑" w:eastAsia="微软雅黑" w:cs="宋体"/>
                <w:b/>
                <w:bCs/>
                <w:color w:val="000000"/>
                <w:kern w:val="0"/>
                <w:sz w:val="22"/>
              </w:rPr>
              <w:t>护士站交互终端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床位一览表</w:t>
            </w:r>
          </w:p>
        </w:tc>
        <w:tc>
          <w:tcPr>
            <w:tcW w:w="1559"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床位卡片</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通过对接医院HIS系统等，患者信息一览表，可按床位顺序显示病区在院患者、空床等情况，信息种类包括床号、房间号、住院号、姓名、性别、年龄、入院日期、入院诊断、管床医生、管床护士、饮食类型、过敏信息、护理级别、病危/病重、护理风险（跌倒、压疮、dvt、自杀风险等）及对应风险等级、新入院、出院、预手术、手术、术后1/2/3天、缴费类型、是否欠费、是否预约床、是否有多重耐药等。支持按病区需要配置。各类信息自动抓取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color w:val="000000"/>
                <w:kern w:val="0"/>
                <w:sz w:val="22"/>
              </w:rPr>
            </w:pP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支持快速分类查询床位患者。病危/病重、护理风险（跌倒、压疮、dvt、自杀风险等）及对应风险等级、新入院/新转入、出院/转出、预手术、手术、术后1/2/3天等。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预约查询</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显示预约标记，支持查看床位预约的患者基本情况。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center"/>
              <w:rPr>
                <w:rFonts w:ascii="微软雅黑" w:hAnsi="微软雅黑" w:eastAsia="微软雅黑" w:cs="宋体"/>
                <w:color w:val="000000"/>
                <w:kern w:val="0"/>
                <w:sz w:val="22"/>
              </w:rPr>
            </w:pP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对于特殊疾病患者，可以按床位，单独隐藏患者的诊断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呼叫/通话</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护患通话</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支持通过屏幕按钮对患者端床头屏发起呼叫，并接听患者呼叫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增援通话</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支持接听医护从患者床头屏发起的增援请求。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医护通话</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支持通过屏幕按钮对交互大屏和医生电话发起呼叫及接听。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通话状态</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支持多呼叫并发，可手动选择其一接听，并实时显示通话状态，包括正在呼叫、等待接听、正在通话、无应答、已挂断等。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未接提醒</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实时显示未接来电提醒，可快捷回呼和处理，并可一键全部处理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通话记录</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支持查看已接听、未接听的通话记录，包含发起方、呼叫发起时间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通话录音</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支持护患通话、护患视频通话进行录音录屏，可以查看录音录屏记录，包括床号、姓名、住院号、呼叫类型、大小、创建时间，并且可以播放录音录屏文件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护士定位</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护士定位</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夜间值班护士在门口屏设置了定位并服务的时候，护士站有相应的提示，方便他人知晓护士的去向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吸氧计时</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吸氧计时</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医护在床头屏设置了吸氧计时的时候，完成后护士站会显示吸氧完成，提醒护士去做相应的护理措施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广播</w:t>
            </w:r>
          </w:p>
        </w:tc>
        <w:tc>
          <w:tcPr>
            <w:tcW w:w="1559" w:type="dxa"/>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话筒广播</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在护士站主机上实时对整个病区或某病房、某病床患者发起话筒广播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restart"/>
            <w:vAlign w:val="center"/>
          </w:tcPr>
          <w:p>
            <w:pPr>
              <w:widowControl/>
              <w:jc w:val="center"/>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音频广播</w:t>
            </w: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在护士站主机上管理音频广播播出单，可设置播出单的定时定向播放规则，也可实时播放音频广播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0" w:type="dxa"/>
            <w:noWrap/>
            <w:vAlign w:val="center"/>
          </w:tcPr>
          <w:p>
            <w:pPr>
              <w:pStyle w:val="13"/>
              <w:widowControl/>
              <w:numPr>
                <w:ilvl w:val="0"/>
                <w:numId w:val="7"/>
              </w:numPr>
              <w:ind w:firstLineChars="0"/>
              <w:contextualSpacing/>
              <w:jc w:val="center"/>
              <w:rPr>
                <w:rFonts w:ascii="微软雅黑" w:hAnsi="微软雅黑" w:eastAsia="微软雅黑" w:cs="宋体"/>
                <w:color w:val="000000"/>
                <w:kern w:val="0"/>
              </w:rPr>
            </w:pPr>
          </w:p>
        </w:tc>
        <w:tc>
          <w:tcPr>
            <w:tcW w:w="1567" w:type="dxa"/>
            <w:vMerge w:val="continue"/>
            <w:vAlign w:val="center"/>
          </w:tcPr>
          <w:p>
            <w:pPr>
              <w:widowControl/>
              <w:jc w:val="center"/>
              <w:rPr>
                <w:rFonts w:ascii="微软雅黑" w:hAnsi="微软雅黑" w:eastAsia="微软雅黑" w:cs="宋体"/>
                <w:color w:val="000000"/>
                <w:kern w:val="0"/>
                <w:sz w:val="22"/>
              </w:rPr>
            </w:pPr>
          </w:p>
        </w:tc>
        <w:tc>
          <w:tcPr>
            <w:tcW w:w="1559" w:type="dxa"/>
            <w:vMerge w:val="continue"/>
            <w:vAlign w:val="center"/>
          </w:tcPr>
          <w:p>
            <w:pPr>
              <w:widowControl/>
              <w:jc w:val="left"/>
              <w:rPr>
                <w:rFonts w:ascii="微软雅黑" w:hAnsi="微软雅黑" w:eastAsia="微软雅黑" w:cs="宋体"/>
                <w:color w:val="000000"/>
                <w:kern w:val="0"/>
                <w:sz w:val="22"/>
              </w:rPr>
            </w:pPr>
          </w:p>
        </w:tc>
        <w:tc>
          <w:tcPr>
            <w:tcW w:w="5891" w:type="dxa"/>
            <w:vAlign w:val="center"/>
          </w:tcPr>
          <w:p>
            <w:pPr>
              <w:widowControl/>
              <w:jc w:val="left"/>
              <w:rPr>
                <w:rFonts w:ascii="微软雅黑" w:hAnsi="微软雅黑" w:eastAsia="微软雅黑" w:cs="宋体"/>
                <w:color w:val="000000"/>
                <w:kern w:val="0"/>
                <w:sz w:val="22"/>
              </w:rPr>
            </w:pPr>
            <w:r>
              <w:rPr>
                <w:rFonts w:hint="eastAsia" w:ascii="微软雅黑" w:hAnsi="微软雅黑" w:eastAsia="微软雅黑" w:cs="宋体"/>
                <w:color w:val="000000"/>
                <w:kern w:val="0"/>
                <w:sz w:val="22"/>
              </w:rPr>
              <w:t>支持文字转音频的音频广播播出单</w:t>
            </w:r>
          </w:p>
        </w:tc>
      </w:tr>
    </w:tbl>
    <w:p>
      <w:pPr>
        <w:rPr>
          <w:rFonts w:hint="eastAsia" w:ascii="微软雅黑" w:hAnsi="微软雅黑" w:eastAsia="微软雅黑"/>
          <w:sz w:val="24"/>
        </w:rPr>
      </w:pPr>
    </w:p>
    <w:p>
      <w:pPr>
        <w:rPr>
          <w:rFonts w:hint="eastAsia" w:ascii="微软雅黑" w:hAnsi="微软雅黑" w:eastAsia="微软雅黑"/>
          <w:sz w:val="24"/>
        </w:rPr>
      </w:pPr>
      <w:r>
        <w:rPr>
          <w:rFonts w:hint="eastAsia" w:ascii="微软雅黑" w:hAnsi="微软雅黑" w:eastAsia="微软雅黑"/>
          <w:sz w:val="24"/>
        </w:rPr>
        <w:t>（7）48口交换机</w:t>
      </w:r>
    </w:p>
    <w:tbl>
      <w:tblPr>
        <w:tblStyle w:val="9"/>
        <w:tblW w:w="9942" w:type="dxa"/>
        <w:tblInd w:w="-7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760"/>
        <w:gridCol w:w="81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序号</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功能要求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★交换容量≥672Gbps，转发性能≥207Mpps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▲整机最大路由地址表≥3K，ARP地址表≥2K，MAC地址表≥16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★≥48个10/100/1000Base-T PoE+电口，≥4个万兆SFP+光口。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支持ERPS功能，能够快速阻断环路，链路收敛时间≤50ms。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支持CPU保护功能，能限制非法报文对CPU的攻击，保护交换机在各种环境下稳定。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支持基于端口的VLAN、Voice VLAN、策略VLAN、基于MAC的VLAN。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支持IPv4静态路由、RIP V1/V2、OSPF ；支持IPv6静态路由、RIPng、OSPF v3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8182"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8、▲支持POE+，单端口最大输出功率为30W，整机最大POE输出功率≥770W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支持SNMP V1/V2/V3、RMON、SSHV2 ；支持OAM(802.1AG，802.3AH)以太网运行、维护和管理标准。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760" w:type="dxa"/>
            <w:tcBorders>
              <w:top w:val="single" w:color="000000" w:sz="4" w:space="0"/>
              <w:left w:val="single" w:color="000000" w:sz="4" w:space="0"/>
              <w:bottom w:val="single" w:color="000000" w:sz="4" w:space="0"/>
              <w:right w:val="single" w:color="000000" w:sz="4" w:space="0"/>
            </w:tcBorders>
            <w:shd w:val="clear" w:color="auto" w:fill="auto"/>
            <w:noWrap/>
            <w:tcMar>
              <w:top w:w="8" w:type="dxa"/>
              <w:left w:w="8" w:type="dxa"/>
              <w:right w:w="8"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22"/>
                <w:szCs w:val="22"/>
                <w:u w:val="none"/>
              </w:rPr>
            </w:pPr>
            <w:r>
              <w:rPr>
                <w:rFonts w:hint="eastAsia" w:ascii="微软雅黑" w:hAnsi="微软雅黑" w:eastAsia="微软雅黑" w:cs="微软雅黑"/>
                <w:i w:val="0"/>
                <w:color w:val="000000"/>
                <w:kern w:val="0"/>
                <w:sz w:val="22"/>
                <w:szCs w:val="22"/>
                <w:u w:val="none"/>
                <w:lang w:val="en-US" w:eastAsia="zh-CN" w:bidi="ar"/>
              </w:rPr>
              <w:t>★内置智能图形化管理功能（SmartMC），解决大量分散的网络设备的集中管理问题，实现对网络的统一运维及管理。</w:t>
            </w:r>
          </w:p>
        </w:tc>
      </w:tr>
    </w:tbl>
    <w:p>
      <w:pPr>
        <w:pStyle w:val="2"/>
      </w:pPr>
    </w:p>
    <w:p>
      <w:pPr>
        <w:rPr>
          <w:rFonts w:ascii="微软雅黑" w:hAnsi="微软雅黑" w:eastAsia="微软雅黑"/>
          <w:sz w:val="32"/>
          <w:szCs w:val="32"/>
        </w:rPr>
      </w:pPr>
      <w:r>
        <w:rPr>
          <w:rFonts w:hint="eastAsia" w:ascii="微软雅黑" w:hAnsi="微软雅黑" w:eastAsia="微软雅黑"/>
          <w:sz w:val="32"/>
          <w:szCs w:val="32"/>
        </w:rPr>
        <w:t>三、售后要求</w:t>
      </w:r>
    </w:p>
    <w:p>
      <w:pPr>
        <w:rPr>
          <w:rFonts w:ascii="微软雅黑" w:hAnsi="微软雅黑" w:eastAsia="微软雅黑" w:cs="微软雅黑"/>
          <w:sz w:val="22"/>
          <w:szCs w:val="22"/>
        </w:rPr>
      </w:pPr>
      <w:r>
        <w:rPr>
          <w:rFonts w:hint="eastAsia" w:ascii="微软雅黑" w:hAnsi="微软雅黑" w:eastAsia="微软雅黑" w:cs="微软雅黑"/>
          <w:sz w:val="22"/>
          <w:szCs w:val="22"/>
        </w:rPr>
        <w:t>（1）交付（实施）时间： 合同签订后三个月内</w:t>
      </w:r>
    </w:p>
    <w:p>
      <w:pPr>
        <w:rPr>
          <w:rFonts w:ascii="微软雅黑" w:hAnsi="微软雅黑" w:eastAsia="微软雅黑" w:cs="微软雅黑"/>
          <w:sz w:val="22"/>
          <w:szCs w:val="22"/>
        </w:rPr>
      </w:pPr>
      <w:r>
        <w:rPr>
          <w:rFonts w:hint="eastAsia" w:ascii="微软雅黑" w:hAnsi="微软雅黑" w:eastAsia="微软雅黑" w:cs="微软雅黑"/>
          <w:sz w:val="22"/>
          <w:szCs w:val="22"/>
        </w:rPr>
        <w:t>（2）交付地点： 北京清华长庚医院</w:t>
      </w:r>
    </w:p>
    <w:p>
      <w:pPr>
        <w:rPr>
          <w:rFonts w:ascii="微软雅黑" w:hAnsi="微软雅黑" w:eastAsia="微软雅黑" w:cs="微软雅黑"/>
          <w:sz w:val="22"/>
          <w:szCs w:val="22"/>
        </w:rPr>
      </w:pPr>
      <w:r>
        <w:rPr>
          <w:rFonts w:hint="eastAsia" w:ascii="微软雅黑" w:hAnsi="微软雅黑" w:eastAsia="微软雅黑" w:cs="微软雅黑"/>
          <w:sz w:val="22"/>
          <w:szCs w:val="22"/>
        </w:rPr>
        <w:t>（3）质保期：不少于三年质保</w:t>
      </w:r>
    </w:p>
    <w:p>
      <w:pPr>
        <w:rPr>
          <w:rFonts w:ascii="微软雅黑" w:hAnsi="微软雅黑" w:eastAsia="微软雅黑" w:cs="微软雅黑"/>
          <w:sz w:val="22"/>
          <w:szCs w:val="22"/>
        </w:rPr>
      </w:pPr>
      <w:r>
        <w:rPr>
          <w:rFonts w:hint="eastAsia" w:ascii="微软雅黑" w:hAnsi="微软雅黑" w:eastAsia="微软雅黑" w:cs="微软雅黑"/>
          <w:sz w:val="22"/>
          <w:szCs w:val="22"/>
        </w:rPr>
        <w:t>（4）售后服务要求：</w:t>
      </w:r>
    </w:p>
    <w:p>
      <w:pPr>
        <w:rPr>
          <w:rFonts w:ascii="微软雅黑" w:hAnsi="微软雅黑" w:eastAsia="微软雅黑" w:cs="微软雅黑"/>
          <w:sz w:val="22"/>
          <w:szCs w:val="22"/>
        </w:rPr>
      </w:pPr>
      <w:r>
        <w:rPr>
          <w:rFonts w:hint="eastAsia" w:ascii="微软雅黑" w:hAnsi="微软雅黑" w:eastAsia="微软雅黑" w:cs="微软雅黑"/>
          <w:sz w:val="22"/>
          <w:szCs w:val="22"/>
        </w:rPr>
        <w:t>1.投标人需提供7×24小时售后响应服务，2小时内响应；4小时内解决系统故障。</w:t>
      </w:r>
    </w:p>
    <w:p>
      <w:pPr>
        <w:rPr>
          <w:rFonts w:ascii="微软雅黑" w:hAnsi="微软雅黑" w:eastAsia="微软雅黑" w:cs="微软雅黑"/>
          <w:sz w:val="22"/>
          <w:szCs w:val="22"/>
        </w:rPr>
      </w:pPr>
      <w:r>
        <w:rPr>
          <w:rFonts w:hint="eastAsia" w:ascii="微软雅黑" w:hAnsi="微软雅黑" w:eastAsia="微软雅黑" w:cs="微软雅黑"/>
          <w:sz w:val="22"/>
          <w:szCs w:val="22"/>
        </w:rPr>
        <w:t>2.提供长期技术支持服务。 </w:t>
      </w:r>
    </w:p>
    <w:p>
      <w:pPr>
        <w:pStyle w:val="16"/>
        <w:rPr>
          <w:rFonts w:ascii="微软雅黑" w:hAnsi="微软雅黑" w:eastAsia="微软雅黑" w:cs="微软雅黑"/>
          <w:sz w:val="32"/>
          <w:szCs w:val="32"/>
        </w:rPr>
      </w:pPr>
      <w:r>
        <w:rPr>
          <w:rFonts w:hint="eastAsia" w:ascii="微软雅黑" w:hAnsi="微软雅黑" w:eastAsia="微软雅黑" w:cs="微软雅黑"/>
          <w:sz w:val="32"/>
          <w:szCs w:val="32"/>
        </w:rPr>
        <w:t>四、响应文件格式</w:t>
      </w:r>
    </w:p>
    <w:p>
      <w:pPr>
        <w:pStyle w:val="16"/>
        <w:rPr>
          <w:rFonts w:eastAsia="宋体"/>
          <w:sz w:val="24"/>
          <w:szCs w:val="24"/>
        </w:rPr>
      </w:pPr>
    </w:p>
    <w:p>
      <w:pPr>
        <w:pStyle w:val="16"/>
        <w:rPr>
          <w:rFonts w:ascii="微软雅黑" w:hAnsi="微软雅黑" w:eastAsia="微软雅黑" w:cs="微软雅黑"/>
          <w:sz w:val="22"/>
          <w:szCs w:val="22"/>
        </w:rPr>
      </w:pPr>
      <w:r>
        <w:rPr>
          <w:rFonts w:hint="eastAsia" w:ascii="微软雅黑" w:hAnsi="微软雅黑" w:eastAsia="微软雅黑" w:cs="微软雅黑"/>
          <w:sz w:val="22"/>
          <w:szCs w:val="22"/>
        </w:rPr>
        <w:t>1、报价单要求（可参照下表）：</w:t>
      </w:r>
    </w:p>
    <w:p>
      <w:pPr>
        <w:tabs>
          <w:tab w:val="left" w:pos="1800"/>
          <w:tab w:val="left" w:pos="5580"/>
        </w:tabs>
        <w:spacing w:line="360" w:lineRule="auto"/>
        <w:ind w:firstLine="6240" w:firstLineChars="2600"/>
        <w:jc w:val="left"/>
        <w:rPr>
          <w:color w:val="000000"/>
          <w:sz w:val="24"/>
        </w:rPr>
      </w:pPr>
    </w:p>
    <w:p>
      <w:pPr>
        <w:tabs>
          <w:tab w:val="left" w:pos="1800"/>
          <w:tab w:val="left" w:pos="5580"/>
        </w:tabs>
        <w:spacing w:line="360" w:lineRule="auto"/>
        <w:ind w:firstLine="6240" w:firstLineChars="2600"/>
        <w:jc w:val="left"/>
        <w:rPr>
          <w:color w:val="000000"/>
          <w:sz w:val="24"/>
        </w:rPr>
      </w:pPr>
    </w:p>
    <w:p>
      <w:pPr>
        <w:tabs>
          <w:tab w:val="left" w:pos="1800"/>
          <w:tab w:val="left" w:pos="5580"/>
        </w:tabs>
        <w:spacing w:line="360" w:lineRule="auto"/>
        <w:ind w:firstLine="6240" w:firstLineChars="2600"/>
        <w:jc w:val="left"/>
        <w:rPr>
          <w:rFonts w:ascii="微软雅黑" w:hAnsi="微软雅黑" w:eastAsia="微软雅黑" w:cs="微软雅黑"/>
          <w:color w:val="000000"/>
          <w:sz w:val="24"/>
          <w:u w:val="single"/>
        </w:rPr>
      </w:pPr>
      <w:r>
        <w:rPr>
          <w:rFonts w:hint="eastAsia" w:ascii="微软雅黑" w:hAnsi="微软雅黑" w:eastAsia="微软雅黑" w:cs="微软雅黑"/>
          <w:color w:val="000000"/>
          <w:sz w:val="24"/>
        </w:rPr>
        <w:t>报价单位：人民币元</w:t>
      </w:r>
    </w:p>
    <w:tbl>
      <w:tblPr>
        <w:tblStyle w:val="9"/>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32"/>
        <w:gridCol w:w="3396"/>
        <w:gridCol w:w="1821"/>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pPr>
              <w:tabs>
                <w:tab w:val="left" w:pos="5580"/>
              </w:tabs>
              <w:jc w:val="center"/>
              <w:rPr>
                <w:rFonts w:ascii="微软雅黑" w:hAnsi="微软雅黑" w:eastAsia="微软雅黑" w:cs="微软雅黑"/>
                <w:b/>
                <w:sz w:val="24"/>
              </w:rPr>
            </w:pPr>
            <w:r>
              <w:rPr>
                <w:rFonts w:hint="eastAsia" w:ascii="微软雅黑" w:hAnsi="微软雅黑" w:eastAsia="微软雅黑" w:cs="微软雅黑"/>
                <w:b/>
                <w:sz w:val="24"/>
              </w:rPr>
              <w:t>序号</w:t>
            </w:r>
          </w:p>
        </w:tc>
        <w:tc>
          <w:tcPr>
            <w:tcW w:w="2215" w:type="pct"/>
            <w:vMerge w:val="restart"/>
            <w:vAlign w:val="center"/>
          </w:tcPr>
          <w:p>
            <w:pPr>
              <w:tabs>
                <w:tab w:val="left" w:pos="5580"/>
              </w:tabs>
              <w:jc w:val="center"/>
              <w:rPr>
                <w:rFonts w:ascii="微软雅黑" w:hAnsi="微软雅黑" w:eastAsia="微软雅黑" w:cs="微软雅黑"/>
                <w:b/>
                <w:sz w:val="24"/>
              </w:rPr>
            </w:pPr>
            <w:r>
              <w:rPr>
                <w:rFonts w:hint="eastAsia" w:ascii="微软雅黑" w:hAnsi="微软雅黑" w:eastAsia="微软雅黑" w:cs="微软雅黑"/>
                <w:b/>
                <w:sz w:val="24"/>
              </w:rPr>
              <w:t>投标人名称</w:t>
            </w:r>
          </w:p>
        </w:tc>
        <w:tc>
          <w:tcPr>
            <w:tcW w:w="2373" w:type="pct"/>
            <w:gridSpan w:val="2"/>
            <w:vAlign w:val="center"/>
          </w:tcPr>
          <w:p>
            <w:pPr>
              <w:tabs>
                <w:tab w:val="left" w:pos="5580"/>
              </w:tabs>
              <w:jc w:val="center"/>
              <w:rPr>
                <w:rFonts w:ascii="微软雅黑" w:hAnsi="微软雅黑" w:eastAsia="微软雅黑" w:cs="微软雅黑"/>
                <w:b/>
                <w:sz w:val="24"/>
              </w:rPr>
            </w:pPr>
            <w:r>
              <w:rPr>
                <w:rFonts w:hint="eastAsia" w:ascii="微软雅黑" w:hAnsi="微软雅黑" w:eastAsia="微软雅黑" w:cs="微软雅黑"/>
                <w:b/>
                <w:sz w:val="24"/>
              </w:rPr>
              <w:t>投标报价（元）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pPr>
              <w:tabs>
                <w:tab w:val="left" w:pos="5580"/>
              </w:tabs>
              <w:jc w:val="center"/>
              <w:rPr>
                <w:rFonts w:ascii="微软雅黑" w:hAnsi="微软雅黑" w:eastAsia="微软雅黑" w:cs="微软雅黑"/>
                <w:sz w:val="24"/>
              </w:rPr>
            </w:pPr>
          </w:p>
        </w:tc>
        <w:tc>
          <w:tcPr>
            <w:tcW w:w="2215" w:type="pct"/>
            <w:vMerge w:val="continue"/>
            <w:vAlign w:val="center"/>
          </w:tcPr>
          <w:p>
            <w:pPr>
              <w:tabs>
                <w:tab w:val="left" w:pos="5580"/>
              </w:tabs>
              <w:jc w:val="center"/>
              <w:rPr>
                <w:rFonts w:ascii="微软雅黑" w:hAnsi="微软雅黑" w:eastAsia="微软雅黑" w:cs="微软雅黑"/>
                <w:sz w:val="24"/>
              </w:rPr>
            </w:pPr>
          </w:p>
        </w:tc>
        <w:tc>
          <w:tcPr>
            <w:tcW w:w="1188" w:type="pct"/>
            <w:vAlign w:val="center"/>
          </w:tcPr>
          <w:p>
            <w:pPr>
              <w:tabs>
                <w:tab w:val="left" w:pos="5580"/>
              </w:tabs>
              <w:jc w:val="center"/>
              <w:rPr>
                <w:rFonts w:ascii="微软雅黑" w:hAnsi="微软雅黑" w:eastAsia="微软雅黑" w:cs="微软雅黑"/>
                <w:b/>
                <w:sz w:val="24"/>
              </w:rPr>
            </w:pPr>
            <w:r>
              <w:rPr>
                <w:rFonts w:hint="eastAsia" w:ascii="微软雅黑" w:hAnsi="微软雅黑" w:eastAsia="微软雅黑" w:cs="微软雅黑"/>
                <w:b/>
                <w:sz w:val="24"/>
              </w:rPr>
              <w:t>大写</w:t>
            </w:r>
          </w:p>
        </w:tc>
        <w:tc>
          <w:tcPr>
            <w:tcW w:w="1182" w:type="pct"/>
            <w:vAlign w:val="center"/>
          </w:tcPr>
          <w:p>
            <w:pPr>
              <w:tabs>
                <w:tab w:val="left" w:pos="5580"/>
              </w:tabs>
              <w:jc w:val="center"/>
              <w:rPr>
                <w:rFonts w:ascii="微软雅黑" w:hAnsi="微软雅黑" w:eastAsia="微软雅黑" w:cs="微软雅黑"/>
                <w:b/>
                <w:sz w:val="24"/>
              </w:rPr>
            </w:pPr>
            <w:r>
              <w:rPr>
                <w:rFonts w:hint="eastAsia" w:ascii="微软雅黑" w:hAnsi="微软雅黑" w:eastAsia="微软雅黑" w:cs="微软雅黑"/>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pPr>
              <w:tabs>
                <w:tab w:val="left" w:pos="5580"/>
              </w:tabs>
              <w:jc w:val="center"/>
              <w:rPr>
                <w:rFonts w:ascii="微软雅黑" w:hAnsi="微软雅黑" w:eastAsia="微软雅黑" w:cs="微软雅黑"/>
                <w:sz w:val="24"/>
              </w:rPr>
            </w:pPr>
          </w:p>
        </w:tc>
        <w:tc>
          <w:tcPr>
            <w:tcW w:w="2215" w:type="pct"/>
            <w:vAlign w:val="center"/>
          </w:tcPr>
          <w:p>
            <w:pPr>
              <w:tabs>
                <w:tab w:val="left" w:pos="5580"/>
              </w:tabs>
              <w:jc w:val="center"/>
              <w:rPr>
                <w:rFonts w:ascii="微软雅黑" w:hAnsi="微软雅黑" w:eastAsia="微软雅黑" w:cs="微软雅黑"/>
                <w:sz w:val="24"/>
              </w:rPr>
            </w:pPr>
          </w:p>
        </w:tc>
        <w:tc>
          <w:tcPr>
            <w:tcW w:w="1188" w:type="pct"/>
            <w:vAlign w:val="center"/>
          </w:tcPr>
          <w:p>
            <w:pPr>
              <w:tabs>
                <w:tab w:val="left" w:pos="5580"/>
              </w:tabs>
              <w:jc w:val="center"/>
              <w:rPr>
                <w:rFonts w:ascii="微软雅黑" w:hAnsi="微软雅黑" w:eastAsia="微软雅黑" w:cs="微软雅黑"/>
                <w:sz w:val="24"/>
              </w:rPr>
            </w:pPr>
          </w:p>
        </w:tc>
        <w:tc>
          <w:tcPr>
            <w:tcW w:w="1182" w:type="pct"/>
            <w:vAlign w:val="center"/>
          </w:tcPr>
          <w:p>
            <w:pPr>
              <w:tabs>
                <w:tab w:val="left" w:pos="5580"/>
              </w:tabs>
              <w:jc w:val="center"/>
              <w:rPr>
                <w:rFonts w:ascii="微软雅黑" w:hAnsi="微软雅黑" w:eastAsia="微软雅黑" w:cs="微软雅黑"/>
                <w:sz w:val="24"/>
              </w:rPr>
            </w:pPr>
          </w:p>
        </w:tc>
      </w:tr>
    </w:tbl>
    <w:p>
      <w:pPr>
        <w:autoSpaceDE w:val="0"/>
        <w:autoSpaceDN w:val="0"/>
        <w:adjustRightInd w:val="0"/>
        <w:snapToGrid w:val="0"/>
        <w:spacing w:line="540" w:lineRule="exact"/>
        <w:ind w:firstLine="480" w:firstLineChars="200"/>
        <w:jc w:val="left"/>
        <w:rPr>
          <w:rFonts w:ascii="仿宋" w:hAnsi="仿宋" w:eastAsia="仿宋" w:cs="仿宋_GB2312"/>
          <w:color w:val="000000"/>
          <w:kern w:val="0"/>
          <w:sz w:val="24"/>
        </w:rPr>
      </w:pPr>
    </w:p>
    <w:p>
      <w:pPr>
        <w:autoSpaceDE w:val="0"/>
        <w:autoSpaceDN w:val="0"/>
        <w:adjustRightInd w:val="0"/>
        <w:snapToGrid w:val="0"/>
        <w:spacing w:line="540" w:lineRule="exact"/>
        <w:ind w:firstLine="480" w:firstLineChars="200"/>
        <w:jc w:val="left"/>
        <w:rPr>
          <w:rFonts w:ascii="微软雅黑" w:hAnsi="微软雅黑" w:eastAsia="微软雅黑" w:cs="微软雅黑"/>
          <w:color w:val="000000"/>
          <w:sz w:val="24"/>
        </w:rPr>
      </w:pPr>
      <w:r>
        <w:rPr>
          <w:rFonts w:hint="eastAsia" w:ascii="微软雅黑" w:hAnsi="微软雅黑" w:eastAsia="微软雅黑" w:cs="微软雅黑"/>
          <w:color w:val="000000"/>
          <w:kern w:val="0"/>
          <w:sz w:val="24"/>
        </w:rPr>
        <w:t>注：1</w:t>
      </w:r>
      <w:r>
        <w:rPr>
          <w:rFonts w:hint="eastAsia" w:ascii="微软雅黑" w:hAnsi="微软雅黑" w:eastAsia="微软雅黑" w:cs="微软雅黑"/>
          <w:color w:val="000000"/>
          <w:sz w:val="24"/>
        </w:rPr>
        <w:t>.此表中，每包的投标报价应和《投标分项报价表》中的总价相一致。</w:t>
      </w:r>
    </w:p>
    <w:p>
      <w:pPr>
        <w:autoSpaceDE w:val="0"/>
        <w:autoSpaceDN w:val="0"/>
        <w:adjustRightInd w:val="0"/>
        <w:jc w:val="left"/>
        <w:rPr>
          <w:rFonts w:ascii="微软雅黑" w:hAnsi="微软雅黑" w:eastAsia="微软雅黑" w:cs="微软雅黑"/>
          <w:color w:val="000000"/>
          <w:kern w:val="0"/>
          <w:sz w:val="24"/>
        </w:rPr>
      </w:pPr>
    </w:p>
    <w:p>
      <w:pPr>
        <w:tabs>
          <w:tab w:val="left" w:pos="5580"/>
        </w:tabs>
        <w:ind w:firstLine="480" w:firstLineChars="200"/>
        <w:rPr>
          <w:rFonts w:ascii="微软雅黑" w:hAnsi="微软雅黑" w:eastAsia="微软雅黑" w:cs="微软雅黑"/>
          <w:color w:val="000000"/>
          <w:sz w:val="24"/>
          <w:szCs w:val="20"/>
        </w:rPr>
      </w:pPr>
    </w:p>
    <w:p>
      <w:pPr>
        <w:autoSpaceDE w:val="0"/>
        <w:autoSpaceDN w:val="0"/>
        <w:adjustRightInd w:val="0"/>
        <w:snapToGrid w:val="0"/>
        <w:spacing w:before="25" w:after="25" w:line="360" w:lineRule="auto"/>
        <w:rPr>
          <w:rFonts w:ascii="微软雅黑" w:hAnsi="微软雅黑" w:eastAsia="微软雅黑" w:cs="微软雅黑"/>
          <w:color w:val="000000"/>
          <w:sz w:val="24"/>
          <w:lang w:val="zh-CN"/>
        </w:rPr>
      </w:pPr>
    </w:p>
    <w:p>
      <w:pPr>
        <w:autoSpaceDE w:val="0"/>
        <w:autoSpaceDN w:val="0"/>
        <w:adjustRightInd w:val="0"/>
        <w:snapToGrid w:val="0"/>
        <w:spacing w:before="25" w:after="25" w:line="360" w:lineRule="auto"/>
        <w:rPr>
          <w:rFonts w:ascii="微软雅黑" w:hAnsi="微软雅黑" w:eastAsia="微软雅黑" w:cs="微软雅黑"/>
          <w:color w:val="000000"/>
          <w:sz w:val="24"/>
          <w:lang w:val="zh-CN"/>
        </w:rPr>
      </w:pPr>
      <w:r>
        <w:rPr>
          <w:rFonts w:hint="eastAsia" w:ascii="微软雅黑" w:hAnsi="微软雅黑" w:eastAsia="微软雅黑" w:cs="微软雅黑"/>
          <w:color w:val="000000"/>
          <w:sz w:val="24"/>
          <w:lang w:val="zh-CN"/>
        </w:rPr>
        <w:t xml:space="preserve">                         </w:t>
      </w:r>
    </w:p>
    <w:p>
      <w:pPr>
        <w:autoSpaceDE w:val="0"/>
        <w:autoSpaceDN w:val="0"/>
        <w:adjustRightInd w:val="0"/>
        <w:snapToGrid w:val="0"/>
        <w:spacing w:before="25" w:after="25" w:line="360" w:lineRule="auto"/>
        <w:rPr>
          <w:rFonts w:ascii="微软雅黑" w:hAnsi="微软雅黑" w:eastAsia="微软雅黑" w:cs="微软雅黑"/>
          <w:color w:val="000000"/>
          <w:szCs w:val="21"/>
          <w:lang w:val="zh-CN"/>
        </w:rPr>
      </w:pPr>
      <w:r>
        <w:rPr>
          <w:rFonts w:hint="eastAsia" w:ascii="微软雅黑" w:hAnsi="微软雅黑" w:eastAsia="微软雅黑" w:cs="微软雅黑"/>
          <w:color w:val="000000"/>
          <w:szCs w:val="21"/>
        </w:rPr>
        <w:t>投标人名称（加盖公章）</w:t>
      </w:r>
      <w:r>
        <w:rPr>
          <w:rFonts w:hint="eastAsia" w:ascii="微软雅黑" w:hAnsi="微软雅黑" w:eastAsia="微软雅黑" w:cs="微软雅黑"/>
          <w:color w:val="000000"/>
          <w:szCs w:val="21"/>
          <w:lang w:val="zh-CN"/>
        </w:rPr>
        <w:t>：____________</w:t>
      </w:r>
    </w:p>
    <w:p>
      <w:pPr>
        <w:autoSpaceDE w:val="0"/>
        <w:autoSpaceDN w:val="0"/>
        <w:adjustRightInd w:val="0"/>
        <w:snapToGrid w:val="0"/>
        <w:spacing w:before="25" w:after="25" w:line="360" w:lineRule="auto"/>
        <w:rPr>
          <w:rFonts w:ascii="微软雅黑" w:hAnsi="微软雅黑" w:eastAsia="微软雅黑" w:cs="微软雅黑"/>
          <w:color w:val="000000"/>
          <w:szCs w:val="21"/>
        </w:rPr>
      </w:pPr>
      <w:r>
        <w:rPr>
          <w:rFonts w:hint="eastAsia" w:ascii="微软雅黑" w:hAnsi="微软雅黑" w:eastAsia="微软雅黑" w:cs="微软雅黑"/>
          <w:color w:val="000000"/>
          <w:szCs w:val="21"/>
        </w:rPr>
        <w:t xml:space="preserve">日期：_____年______月______日   </w:t>
      </w:r>
    </w:p>
    <w:p>
      <w:pPr>
        <w:pStyle w:val="16"/>
        <w:rPr>
          <w:rFonts w:ascii="微软雅黑" w:hAnsi="微软雅黑" w:eastAsia="微软雅黑" w:cs="微软雅黑"/>
          <w:color w:val="000000"/>
          <w:sz w:val="24"/>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color w:val="000000"/>
          <w:sz w:val="24"/>
          <w:szCs w:val="20"/>
        </w:rPr>
      </w:pPr>
    </w:p>
    <w:p>
      <w:pPr>
        <w:numPr>
          <w:ilvl w:val="0"/>
          <w:numId w:val="0"/>
        </w:numPr>
        <w:tabs>
          <w:tab w:val="left" w:pos="360"/>
        </w:tabs>
        <w:snapToGrid w:val="0"/>
        <w:spacing w:line="360" w:lineRule="auto"/>
        <w:ind w:leftChars="0"/>
        <w:outlineLvl w:val="1"/>
        <w:rPr>
          <w:rFonts w:hint="eastAsia" w:ascii="微软雅黑" w:hAnsi="微软雅黑" w:eastAsia="微软雅黑" w:cs="微软雅黑"/>
          <w:color w:val="000000"/>
          <w:sz w:val="24"/>
          <w:szCs w:val="20"/>
        </w:rPr>
      </w:pPr>
      <w:r>
        <w:rPr>
          <w:rFonts w:hint="eastAsia" w:ascii="微软雅黑" w:hAnsi="微软雅黑" w:eastAsia="微软雅黑" w:cs="微软雅黑"/>
          <w:color w:val="000000"/>
          <w:sz w:val="24"/>
          <w:szCs w:val="20"/>
        </w:rPr>
        <w:t>投标分项报价表（实质性格式）</w:t>
      </w:r>
    </w:p>
    <w:p>
      <w:pPr>
        <w:spacing w:line="360" w:lineRule="exact"/>
        <w:jc w:val="center"/>
        <w:rPr>
          <w:rFonts w:hint="eastAsia" w:ascii="微软雅黑" w:hAnsi="微软雅黑" w:eastAsia="微软雅黑" w:cs="微软雅黑"/>
          <w:color w:val="000000"/>
          <w:sz w:val="36"/>
          <w:szCs w:val="36"/>
        </w:rPr>
      </w:pPr>
    </w:p>
    <w:p>
      <w:pPr>
        <w:spacing w:line="360" w:lineRule="exact"/>
        <w:jc w:val="center"/>
        <w:rPr>
          <w:rFonts w:hint="eastAsia" w:ascii="微软雅黑" w:hAnsi="微软雅黑" w:eastAsia="微软雅黑" w:cs="微软雅黑"/>
          <w:b/>
          <w:color w:val="000000"/>
          <w:sz w:val="36"/>
          <w:szCs w:val="36"/>
        </w:rPr>
      </w:pPr>
      <w:r>
        <w:rPr>
          <w:rFonts w:hint="eastAsia" w:ascii="微软雅黑" w:hAnsi="微软雅黑" w:eastAsia="微软雅黑" w:cs="微软雅黑"/>
          <w:b/>
          <w:color w:val="000000"/>
          <w:sz w:val="36"/>
          <w:szCs w:val="36"/>
        </w:rPr>
        <w:t>投标分项报价表</w:t>
      </w:r>
    </w:p>
    <w:p>
      <w:pPr>
        <w:tabs>
          <w:tab w:val="left" w:pos="1800"/>
          <w:tab w:val="left" w:pos="5580"/>
        </w:tabs>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 xml:space="preserve">项目名称：__________   </w:t>
      </w:r>
      <w:r>
        <w:rPr>
          <w:rFonts w:hint="eastAsia" w:ascii="微软雅黑" w:hAnsi="微软雅黑" w:eastAsia="微软雅黑" w:cs="微软雅黑"/>
          <w:color w:val="000000"/>
          <w:sz w:val="24"/>
          <w:lang w:val="en-US" w:eastAsia="zh-CN"/>
        </w:rPr>
        <w:t xml:space="preserve">                           </w:t>
      </w:r>
      <w:r>
        <w:rPr>
          <w:rFonts w:hint="eastAsia" w:ascii="微软雅黑" w:hAnsi="微软雅黑" w:eastAsia="微软雅黑" w:cs="微软雅黑"/>
          <w:color w:val="000000"/>
          <w:sz w:val="24"/>
        </w:rPr>
        <w:t xml:space="preserve">  报价单位：人民币元</w:t>
      </w:r>
    </w:p>
    <w:p>
      <w:pPr>
        <w:tabs>
          <w:tab w:val="left" w:pos="1800"/>
          <w:tab w:val="left" w:pos="5580"/>
        </w:tabs>
        <w:rPr>
          <w:rFonts w:hint="eastAsia" w:ascii="微软雅黑" w:hAnsi="微软雅黑" w:eastAsia="微软雅黑" w:cs="微软雅黑"/>
          <w:color w:val="000000"/>
          <w:sz w:val="24"/>
        </w:rPr>
      </w:pPr>
    </w:p>
    <w:tbl>
      <w:tblPr>
        <w:tblStyle w:val="9"/>
        <w:tblW w:w="54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125"/>
        <w:gridCol w:w="1005"/>
        <w:gridCol w:w="761"/>
        <w:gridCol w:w="784"/>
        <w:gridCol w:w="690"/>
        <w:gridCol w:w="482"/>
        <w:gridCol w:w="868"/>
        <w:gridCol w:w="750"/>
        <w:gridCol w:w="795"/>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21" w:type="dxa"/>
            <w:vAlign w:val="center"/>
          </w:tcPr>
          <w:p>
            <w:pPr>
              <w:autoSpaceDE/>
              <w:autoSpaceDN/>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b/>
                <w:color w:val="000000"/>
                <w:sz w:val="24"/>
                <w:lang w:eastAsia="en-US"/>
              </w:rPr>
              <w:t>序号</w:t>
            </w:r>
          </w:p>
        </w:tc>
        <w:tc>
          <w:tcPr>
            <w:tcW w:w="1125" w:type="dxa"/>
            <w:vAlign w:val="center"/>
          </w:tcPr>
          <w:p>
            <w:pPr>
              <w:autoSpaceDE/>
              <w:autoSpaceDN/>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b/>
                <w:color w:val="000000"/>
                <w:sz w:val="24"/>
                <w:lang w:eastAsia="en-US"/>
              </w:rPr>
              <w:t>分项名称</w:t>
            </w:r>
          </w:p>
        </w:tc>
        <w:tc>
          <w:tcPr>
            <w:tcW w:w="1005" w:type="dxa"/>
            <w:vAlign w:val="center"/>
          </w:tcPr>
          <w:p>
            <w:pPr>
              <w:autoSpaceDE/>
              <w:autoSpaceDN/>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b/>
                <w:color w:val="000000"/>
                <w:sz w:val="24"/>
                <w:lang w:eastAsia="en-US"/>
              </w:rPr>
              <w:t>制造商</w:t>
            </w:r>
          </w:p>
        </w:tc>
        <w:tc>
          <w:tcPr>
            <w:tcW w:w="761" w:type="dxa"/>
            <w:vAlign w:val="center"/>
          </w:tcPr>
          <w:p>
            <w:pPr>
              <w:autoSpaceDE/>
              <w:autoSpaceDN/>
              <w:adjustRightInd w:val="0"/>
              <w:snapToGrid w:val="0"/>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lang w:eastAsia="en-US"/>
              </w:rPr>
              <w:t>产地/国 别</w:t>
            </w:r>
          </w:p>
        </w:tc>
        <w:tc>
          <w:tcPr>
            <w:tcW w:w="784" w:type="dxa"/>
            <w:vAlign w:val="center"/>
          </w:tcPr>
          <w:p>
            <w:pPr>
              <w:autoSpaceDE/>
              <w:autoSpaceDN/>
              <w:adjustRightInd w:val="0"/>
              <w:snapToGrid w:val="0"/>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lang w:eastAsia="en-US"/>
              </w:rPr>
              <w:t>制造商统一信用代码</w:t>
            </w:r>
          </w:p>
        </w:tc>
        <w:tc>
          <w:tcPr>
            <w:tcW w:w="690" w:type="dxa"/>
            <w:vAlign w:val="center"/>
          </w:tcPr>
          <w:p>
            <w:pPr>
              <w:autoSpaceDE/>
              <w:autoSpaceDN/>
              <w:adjustRightInd w:val="0"/>
              <w:snapToGrid w:val="0"/>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lang w:eastAsia="en-US"/>
              </w:rPr>
              <w:t>制造商规模</w:t>
            </w:r>
          </w:p>
        </w:tc>
        <w:tc>
          <w:tcPr>
            <w:tcW w:w="482" w:type="dxa"/>
            <w:vAlign w:val="center"/>
          </w:tcPr>
          <w:p>
            <w:pPr>
              <w:autoSpaceDE/>
              <w:autoSpaceDN/>
              <w:adjustRightInd w:val="0"/>
              <w:snapToGrid w:val="0"/>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lang w:eastAsia="en-US"/>
              </w:rPr>
              <w:t>品牌</w:t>
            </w:r>
          </w:p>
        </w:tc>
        <w:tc>
          <w:tcPr>
            <w:tcW w:w="868" w:type="dxa"/>
            <w:vAlign w:val="center"/>
          </w:tcPr>
          <w:p>
            <w:pPr>
              <w:autoSpaceDE/>
              <w:autoSpaceDN/>
              <w:adjustRightInd w:val="0"/>
              <w:snapToGrid w:val="0"/>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lang w:eastAsia="en-US"/>
              </w:rPr>
              <w:t>规格、型号</w:t>
            </w:r>
          </w:p>
        </w:tc>
        <w:tc>
          <w:tcPr>
            <w:tcW w:w="750" w:type="dxa"/>
            <w:vAlign w:val="center"/>
          </w:tcPr>
          <w:p>
            <w:pPr>
              <w:autoSpaceDE/>
              <w:autoSpaceDN/>
              <w:adjustRightInd w:val="0"/>
              <w:snapToGrid w:val="0"/>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lang w:eastAsia="en-US"/>
              </w:rPr>
              <w:t>单价 (元)</w:t>
            </w:r>
          </w:p>
        </w:tc>
        <w:tc>
          <w:tcPr>
            <w:tcW w:w="795" w:type="dxa"/>
            <w:vAlign w:val="center"/>
          </w:tcPr>
          <w:p>
            <w:pPr>
              <w:autoSpaceDE/>
              <w:autoSpaceDN/>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b/>
                <w:color w:val="000000"/>
                <w:sz w:val="24"/>
                <w:lang w:eastAsia="en-US"/>
              </w:rPr>
              <w:t>数量</w:t>
            </w:r>
          </w:p>
        </w:tc>
        <w:tc>
          <w:tcPr>
            <w:tcW w:w="974" w:type="dxa"/>
            <w:vAlign w:val="center"/>
          </w:tcPr>
          <w:p>
            <w:pPr>
              <w:autoSpaceDE/>
              <w:autoSpaceDN/>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b/>
                <w:color w:val="000000"/>
                <w:sz w:val="24"/>
                <w:lang w:eastAsia="en-US"/>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autoSpaceDE/>
              <w:autoSpaceDN/>
              <w:adjustRightInd w:val="0"/>
              <w:snapToGrid w:val="0"/>
              <w:jc w:val="center"/>
              <w:rPr>
                <w:rFonts w:hint="eastAsia" w:ascii="微软雅黑" w:hAnsi="微软雅黑" w:eastAsia="微软雅黑" w:cs="微软雅黑"/>
                <w:sz w:val="24"/>
                <w:lang w:eastAsia="zh-CN"/>
              </w:rPr>
            </w:pPr>
            <w:r>
              <w:rPr>
                <w:rFonts w:hint="eastAsia" w:ascii="微软雅黑" w:hAnsi="微软雅黑" w:eastAsia="微软雅黑" w:cs="微软雅黑"/>
                <w:color w:val="000000"/>
                <w:sz w:val="24"/>
                <w:lang w:val="en-US" w:eastAsia="zh-CN"/>
              </w:rPr>
              <w:t>1</w:t>
            </w:r>
          </w:p>
        </w:tc>
        <w:tc>
          <w:tcPr>
            <w:tcW w:w="1125" w:type="dxa"/>
            <w:vAlign w:val="center"/>
          </w:tcPr>
          <w:p>
            <w:pPr>
              <w:autoSpaceDE/>
              <w:autoSpaceDN/>
              <w:adjustRightInd w:val="0"/>
              <w:snapToGrid w:val="0"/>
              <w:jc w:val="center"/>
              <w:rPr>
                <w:rFonts w:hint="eastAsia" w:ascii="微软雅黑" w:hAnsi="微软雅黑" w:eastAsia="微软雅黑" w:cs="微软雅黑"/>
                <w:sz w:val="24"/>
              </w:rPr>
            </w:pPr>
          </w:p>
        </w:tc>
        <w:tc>
          <w:tcPr>
            <w:tcW w:w="1005" w:type="dxa"/>
            <w:vAlign w:val="center"/>
          </w:tcPr>
          <w:p>
            <w:pPr>
              <w:autoSpaceDE/>
              <w:autoSpaceDN/>
              <w:adjustRightInd w:val="0"/>
              <w:snapToGrid w:val="0"/>
              <w:jc w:val="center"/>
              <w:rPr>
                <w:rFonts w:hint="eastAsia" w:ascii="微软雅黑" w:hAnsi="微软雅黑" w:eastAsia="微软雅黑" w:cs="微软雅黑"/>
                <w:sz w:val="24"/>
              </w:rPr>
            </w:pPr>
          </w:p>
        </w:tc>
        <w:tc>
          <w:tcPr>
            <w:tcW w:w="761" w:type="dxa"/>
            <w:vAlign w:val="center"/>
          </w:tcPr>
          <w:p>
            <w:pPr>
              <w:autoSpaceDE/>
              <w:autoSpaceDN/>
              <w:adjustRightInd w:val="0"/>
              <w:snapToGrid w:val="0"/>
              <w:jc w:val="center"/>
              <w:rPr>
                <w:rFonts w:hint="eastAsia" w:ascii="微软雅黑" w:hAnsi="微软雅黑" w:eastAsia="微软雅黑" w:cs="微软雅黑"/>
                <w:sz w:val="24"/>
              </w:rPr>
            </w:pPr>
          </w:p>
        </w:tc>
        <w:tc>
          <w:tcPr>
            <w:tcW w:w="784" w:type="dxa"/>
            <w:vAlign w:val="center"/>
          </w:tcPr>
          <w:p>
            <w:pPr>
              <w:autoSpaceDE/>
              <w:autoSpaceDN/>
              <w:adjustRightInd w:val="0"/>
              <w:snapToGrid w:val="0"/>
              <w:jc w:val="center"/>
              <w:rPr>
                <w:rFonts w:hint="eastAsia" w:ascii="微软雅黑" w:hAnsi="微软雅黑" w:eastAsia="微软雅黑" w:cs="微软雅黑"/>
                <w:sz w:val="24"/>
              </w:rPr>
            </w:pPr>
          </w:p>
        </w:tc>
        <w:tc>
          <w:tcPr>
            <w:tcW w:w="690" w:type="dxa"/>
            <w:vAlign w:val="center"/>
          </w:tcPr>
          <w:p>
            <w:pPr>
              <w:autoSpaceDE/>
              <w:autoSpaceDN/>
              <w:adjustRightInd w:val="0"/>
              <w:snapToGrid w:val="0"/>
              <w:jc w:val="center"/>
              <w:rPr>
                <w:rFonts w:hint="eastAsia" w:ascii="微软雅黑" w:hAnsi="微软雅黑" w:eastAsia="微软雅黑" w:cs="微软雅黑"/>
                <w:sz w:val="24"/>
              </w:rPr>
            </w:pPr>
          </w:p>
        </w:tc>
        <w:tc>
          <w:tcPr>
            <w:tcW w:w="482" w:type="dxa"/>
            <w:vAlign w:val="center"/>
          </w:tcPr>
          <w:p>
            <w:pPr>
              <w:autoSpaceDE/>
              <w:autoSpaceDN/>
              <w:adjustRightInd w:val="0"/>
              <w:snapToGrid w:val="0"/>
              <w:jc w:val="center"/>
              <w:rPr>
                <w:rFonts w:hint="eastAsia" w:ascii="微软雅黑" w:hAnsi="微软雅黑" w:eastAsia="微软雅黑" w:cs="微软雅黑"/>
                <w:sz w:val="24"/>
              </w:rPr>
            </w:pPr>
          </w:p>
        </w:tc>
        <w:tc>
          <w:tcPr>
            <w:tcW w:w="868" w:type="dxa"/>
            <w:vAlign w:val="center"/>
          </w:tcPr>
          <w:p>
            <w:pPr>
              <w:autoSpaceDE/>
              <w:autoSpaceDN/>
              <w:adjustRightInd w:val="0"/>
              <w:snapToGrid w:val="0"/>
              <w:jc w:val="center"/>
              <w:rPr>
                <w:rFonts w:hint="eastAsia" w:ascii="微软雅黑" w:hAnsi="微软雅黑" w:eastAsia="微软雅黑" w:cs="微软雅黑"/>
                <w:sz w:val="24"/>
              </w:rPr>
            </w:pPr>
          </w:p>
        </w:tc>
        <w:tc>
          <w:tcPr>
            <w:tcW w:w="750" w:type="dxa"/>
            <w:vAlign w:val="center"/>
          </w:tcPr>
          <w:p>
            <w:pPr>
              <w:autoSpaceDE/>
              <w:autoSpaceDN/>
              <w:adjustRightInd w:val="0"/>
              <w:snapToGrid w:val="0"/>
              <w:jc w:val="center"/>
              <w:rPr>
                <w:rFonts w:hint="eastAsia" w:ascii="微软雅黑" w:hAnsi="微软雅黑" w:eastAsia="微软雅黑" w:cs="微软雅黑"/>
                <w:sz w:val="24"/>
              </w:rPr>
            </w:pPr>
          </w:p>
        </w:tc>
        <w:tc>
          <w:tcPr>
            <w:tcW w:w="795" w:type="dxa"/>
            <w:vAlign w:val="center"/>
          </w:tcPr>
          <w:p>
            <w:pPr>
              <w:autoSpaceDE/>
              <w:autoSpaceDN/>
              <w:adjustRightInd w:val="0"/>
              <w:snapToGrid w:val="0"/>
              <w:jc w:val="center"/>
              <w:rPr>
                <w:rFonts w:hint="eastAsia" w:ascii="微软雅黑" w:hAnsi="微软雅黑" w:eastAsia="微软雅黑" w:cs="微软雅黑"/>
                <w:sz w:val="24"/>
              </w:rPr>
            </w:pPr>
          </w:p>
        </w:tc>
        <w:tc>
          <w:tcPr>
            <w:tcW w:w="974" w:type="dxa"/>
            <w:vAlign w:val="center"/>
          </w:tcPr>
          <w:p>
            <w:pPr>
              <w:autoSpaceDE/>
              <w:autoSpaceDN/>
              <w:adjustRightInd w:val="0"/>
              <w:snapToGrid w:val="0"/>
              <w:jc w:val="center"/>
              <w:rPr>
                <w:rFonts w:hint="eastAsia" w:ascii="微软雅黑" w:hAnsi="微软雅黑" w:eastAsia="微软雅黑" w:cs="微软雅黑"/>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21" w:type="dxa"/>
            <w:vAlign w:val="center"/>
          </w:tcPr>
          <w:p>
            <w:pPr>
              <w:autoSpaceDE/>
              <w:autoSpaceDN/>
              <w:adjustRightInd w:val="0"/>
              <w:snapToGrid w:val="0"/>
              <w:jc w:val="center"/>
              <w:rPr>
                <w:rFonts w:hint="eastAsia" w:ascii="微软雅黑" w:hAnsi="微软雅黑" w:eastAsia="微软雅黑" w:cs="微软雅黑"/>
                <w:sz w:val="24"/>
                <w:lang w:eastAsia="zh-CN"/>
              </w:rPr>
            </w:pPr>
            <w:r>
              <w:rPr>
                <w:rFonts w:hint="eastAsia" w:ascii="微软雅黑" w:hAnsi="微软雅黑" w:eastAsia="微软雅黑" w:cs="微软雅黑"/>
                <w:color w:val="000000"/>
                <w:sz w:val="24"/>
                <w:lang w:val="en-US" w:eastAsia="zh-CN"/>
              </w:rPr>
              <w:t>2</w:t>
            </w:r>
          </w:p>
        </w:tc>
        <w:tc>
          <w:tcPr>
            <w:tcW w:w="1125" w:type="dxa"/>
            <w:vAlign w:val="center"/>
          </w:tcPr>
          <w:p>
            <w:pPr>
              <w:autoSpaceDE/>
              <w:autoSpaceDN/>
              <w:adjustRightInd w:val="0"/>
              <w:snapToGrid w:val="0"/>
              <w:jc w:val="center"/>
              <w:rPr>
                <w:rFonts w:hint="eastAsia" w:ascii="微软雅黑" w:hAnsi="微软雅黑" w:eastAsia="微软雅黑" w:cs="微软雅黑"/>
                <w:sz w:val="24"/>
              </w:rPr>
            </w:pPr>
          </w:p>
        </w:tc>
        <w:tc>
          <w:tcPr>
            <w:tcW w:w="1005" w:type="dxa"/>
            <w:vAlign w:val="center"/>
          </w:tcPr>
          <w:p>
            <w:pPr>
              <w:autoSpaceDE/>
              <w:autoSpaceDN/>
              <w:adjustRightInd w:val="0"/>
              <w:snapToGrid w:val="0"/>
              <w:jc w:val="center"/>
              <w:rPr>
                <w:rFonts w:hint="eastAsia" w:ascii="微软雅黑" w:hAnsi="微软雅黑" w:eastAsia="微软雅黑" w:cs="微软雅黑"/>
                <w:sz w:val="24"/>
              </w:rPr>
            </w:pPr>
          </w:p>
        </w:tc>
        <w:tc>
          <w:tcPr>
            <w:tcW w:w="761" w:type="dxa"/>
            <w:vAlign w:val="center"/>
          </w:tcPr>
          <w:p>
            <w:pPr>
              <w:autoSpaceDE/>
              <w:autoSpaceDN/>
              <w:adjustRightInd w:val="0"/>
              <w:snapToGrid w:val="0"/>
              <w:jc w:val="center"/>
              <w:rPr>
                <w:rFonts w:hint="eastAsia" w:ascii="微软雅黑" w:hAnsi="微软雅黑" w:eastAsia="微软雅黑" w:cs="微软雅黑"/>
                <w:sz w:val="24"/>
              </w:rPr>
            </w:pPr>
          </w:p>
        </w:tc>
        <w:tc>
          <w:tcPr>
            <w:tcW w:w="784" w:type="dxa"/>
            <w:vAlign w:val="center"/>
          </w:tcPr>
          <w:p>
            <w:pPr>
              <w:autoSpaceDE/>
              <w:autoSpaceDN/>
              <w:adjustRightInd w:val="0"/>
              <w:snapToGrid w:val="0"/>
              <w:jc w:val="center"/>
              <w:rPr>
                <w:rFonts w:hint="eastAsia" w:ascii="微软雅黑" w:hAnsi="微软雅黑" w:eastAsia="微软雅黑" w:cs="微软雅黑"/>
                <w:sz w:val="24"/>
              </w:rPr>
            </w:pPr>
          </w:p>
        </w:tc>
        <w:tc>
          <w:tcPr>
            <w:tcW w:w="690" w:type="dxa"/>
            <w:vAlign w:val="center"/>
          </w:tcPr>
          <w:p>
            <w:pPr>
              <w:autoSpaceDE/>
              <w:autoSpaceDN/>
              <w:adjustRightInd w:val="0"/>
              <w:snapToGrid w:val="0"/>
              <w:jc w:val="center"/>
              <w:rPr>
                <w:rFonts w:hint="eastAsia" w:ascii="微软雅黑" w:hAnsi="微软雅黑" w:eastAsia="微软雅黑" w:cs="微软雅黑"/>
                <w:sz w:val="24"/>
              </w:rPr>
            </w:pPr>
          </w:p>
        </w:tc>
        <w:tc>
          <w:tcPr>
            <w:tcW w:w="482" w:type="dxa"/>
            <w:vAlign w:val="center"/>
          </w:tcPr>
          <w:p>
            <w:pPr>
              <w:autoSpaceDE/>
              <w:autoSpaceDN/>
              <w:adjustRightInd w:val="0"/>
              <w:snapToGrid w:val="0"/>
              <w:jc w:val="center"/>
              <w:rPr>
                <w:rFonts w:hint="eastAsia" w:ascii="微软雅黑" w:hAnsi="微软雅黑" w:eastAsia="微软雅黑" w:cs="微软雅黑"/>
                <w:sz w:val="24"/>
              </w:rPr>
            </w:pPr>
          </w:p>
        </w:tc>
        <w:tc>
          <w:tcPr>
            <w:tcW w:w="868" w:type="dxa"/>
            <w:vAlign w:val="center"/>
          </w:tcPr>
          <w:p>
            <w:pPr>
              <w:autoSpaceDE/>
              <w:autoSpaceDN/>
              <w:adjustRightInd w:val="0"/>
              <w:snapToGrid w:val="0"/>
              <w:jc w:val="center"/>
              <w:rPr>
                <w:rFonts w:hint="eastAsia" w:ascii="微软雅黑" w:hAnsi="微软雅黑" w:eastAsia="微软雅黑" w:cs="微软雅黑"/>
                <w:sz w:val="24"/>
              </w:rPr>
            </w:pPr>
          </w:p>
        </w:tc>
        <w:tc>
          <w:tcPr>
            <w:tcW w:w="750" w:type="dxa"/>
            <w:vAlign w:val="center"/>
          </w:tcPr>
          <w:p>
            <w:pPr>
              <w:autoSpaceDE/>
              <w:autoSpaceDN/>
              <w:adjustRightInd w:val="0"/>
              <w:snapToGrid w:val="0"/>
              <w:jc w:val="center"/>
              <w:rPr>
                <w:rFonts w:hint="eastAsia" w:ascii="微软雅黑" w:hAnsi="微软雅黑" w:eastAsia="微软雅黑" w:cs="微软雅黑"/>
                <w:sz w:val="24"/>
              </w:rPr>
            </w:pPr>
          </w:p>
        </w:tc>
        <w:tc>
          <w:tcPr>
            <w:tcW w:w="795" w:type="dxa"/>
            <w:vAlign w:val="center"/>
          </w:tcPr>
          <w:p>
            <w:pPr>
              <w:autoSpaceDE/>
              <w:autoSpaceDN/>
              <w:adjustRightInd w:val="0"/>
              <w:snapToGrid w:val="0"/>
              <w:jc w:val="center"/>
              <w:rPr>
                <w:rFonts w:hint="eastAsia" w:ascii="微软雅黑" w:hAnsi="微软雅黑" w:eastAsia="微软雅黑" w:cs="微软雅黑"/>
                <w:sz w:val="24"/>
              </w:rPr>
            </w:pPr>
          </w:p>
        </w:tc>
        <w:tc>
          <w:tcPr>
            <w:tcW w:w="974" w:type="dxa"/>
            <w:vAlign w:val="center"/>
          </w:tcPr>
          <w:p>
            <w:pPr>
              <w:autoSpaceDE/>
              <w:autoSpaceDN/>
              <w:adjustRightInd w:val="0"/>
              <w:snapToGrid w:val="0"/>
              <w:jc w:val="center"/>
              <w:rPr>
                <w:rFonts w:hint="eastAsia" w:ascii="微软雅黑" w:hAnsi="微软雅黑" w:eastAsia="微软雅黑" w:cs="微软雅黑"/>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autoSpaceDE/>
              <w:autoSpaceDN/>
              <w:adjustRightInd w:val="0"/>
              <w:snapToGrid w:val="0"/>
              <w:jc w:val="center"/>
              <w:rPr>
                <w:rFonts w:hint="eastAsia" w:ascii="微软雅黑" w:hAnsi="微软雅黑" w:eastAsia="微软雅黑" w:cs="微软雅黑"/>
                <w:sz w:val="24"/>
              </w:rPr>
            </w:pPr>
            <w:r>
              <w:rPr>
                <w:rFonts w:hint="eastAsia" w:ascii="微软雅黑" w:hAnsi="微软雅黑" w:eastAsia="微软雅黑" w:cs="微软雅黑"/>
                <w:color w:val="000000"/>
                <w:sz w:val="24"/>
                <w:lang w:eastAsia="en-US"/>
              </w:rPr>
              <w:t>3</w:t>
            </w:r>
          </w:p>
        </w:tc>
        <w:tc>
          <w:tcPr>
            <w:tcW w:w="1125" w:type="dxa"/>
            <w:vAlign w:val="center"/>
          </w:tcPr>
          <w:p>
            <w:pPr>
              <w:autoSpaceDE/>
              <w:autoSpaceDN/>
              <w:adjustRightInd w:val="0"/>
              <w:snapToGrid w:val="0"/>
              <w:jc w:val="center"/>
              <w:rPr>
                <w:rFonts w:hint="eastAsia" w:ascii="微软雅黑" w:hAnsi="微软雅黑" w:eastAsia="微软雅黑" w:cs="微软雅黑"/>
                <w:sz w:val="24"/>
              </w:rPr>
            </w:pPr>
          </w:p>
        </w:tc>
        <w:tc>
          <w:tcPr>
            <w:tcW w:w="1005" w:type="dxa"/>
            <w:vAlign w:val="center"/>
          </w:tcPr>
          <w:p>
            <w:pPr>
              <w:autoSpaceDE/>
              <w:autoSpaceDN/>
              <w:adjustRightInd w:val="0"/>
              <w:snapToGrid w:val="0"/>
              <w:jc w:val="center"/>
              <w:rPr>
                <w:rFonts w:hint="eastAsia" w:ascii="微软雅黑" w:hAnsi="微软雅黑" w:eastAsia="微软雅黑" w:cs="微软雅黑"/>
                <w:sz w:val="24"/>
              </w:rPr>
            </w:pPr>
          </w:p>
        </w:tc>
        <w:tc>
          <w:tcPr>
            <w:tcW w:w="761" w:type="dxa"/>
            <w:vAlign w:val="center"/>
          </w:tcPr>
          <w:p>
            <w:pPr>
              <w:autoSpaceDE/>
              <w:autoSpaceDN/>
              <w:adjustRightInd w:val="0"/>
              <w:snapToGrid w:val="0"/>
              <w:jc w:val="center"/>
              <w:rPr>
                <w:rFonts w:hint="eastAsia" w:ascii="微软雅黑" w:hAnsi="微软雅黑" w:eastAsia="微软雅黑" w:cs="微软雅黑"/>
                <w:sz w:val="24"/>
              </w:rPr>
            </w:pPr>
          </w:p>
        </w:tc>
        <w:tc>
          <w:tcPr>
            <w:tcW w:w="784" w:type="dxa"/>
            <w:vAlign w:val="center"/>
          </w:tcPr>
          <w:p>
            <w:pPr>
              <w:autoSpaceDE/>
              <w:autoSpaceDN/>
              <w:adjustRightInd w:val="0"/>
              <w:snapToGrid w:val="0"/>
              <w:jc w:val="center"/>
              <w:rPr>
                <w:rFonts w:hint="eastAsia" w:ascii="微软雅黑" w:hAnsi="微软雅黑" w:eastAsia="微软雅黑" w:cs="微软雅黑"/>
                <w:sz w:val="24"/>
              </w:rPr>
            </w:pPr>
          </w:p>
        </w:tc>
        <w:tc>
          <w:tcPr>
            <w:tcW w:w="690" w:type="dxa"/>
            <w:vAlign w:val="center"/>
          </w:tcPr>
          <w:p>
            <w:pPr>
              <w:autoSpaceDE/>
              <w:autoSpaceDN/>
              <w:adjustRightInd w:val="0"/>
              <w:snapToGrid w:val="0"/>
              <w:jc w:val="center"/>
              <w:rPr>
                <w:rFonts w:hint="eastAsia" w:ascii="微软雅黑" w:hAnsi="微软雅黑" w:eastAsia="微软雅黑" w:cs="微软雅黑"/>
                <w:sz w:val="24"/>
              </w:rPr>
            </w:pPr>
          </w:p>
        </w:tc>
        <w:tc>
          <w:tcPr>
            <w:tcW w:w="482" w:type="dxa"/>
            <w:vAlign w:val="center"/>
          </w:tcPr>
          <w:p>
            <w:pPr>
              <w:autoSpaceDE/>
              <w:autoSpaceDN/>
              <w:adjustRightInd w:val="0"/>
              <w:snapToGrid w:val="0"/>
              <w:jc w:val="center"/>
              <w:rPr>
                <w:rFonts w:hint="eastAsia" w:ascii="微软雅黑" w:hAnsi="微软雅黑" w:eastAsia="微软雅黑" w:cs="微软雅黑"/>
                <w:sz w:val="24"/>
              </w:rPr>
            </w:pPr>
          </w:p>
        </w:tc>
        <w:tc>
          <w:tcPr>
            <w:tcW w:w="868" w:type="dxa"/>
            <w:vAlign w:val="center"/>
          </w:tcPr>
          <w:p>
            <w:pPr>
              <w:autoSpaceDE/>
              <w:autoSpaceDN/>
              <w:adjustRightInd w:val="0"/>
              <w:snapToGrid w:val="0"/>
              <w:jc w:val="center"/>
              <w:rPr>
                <w:rFonts w:hint="eastAsia" w:ascii="微软雅黑" w:hAnsi="微软雅黑" w:eastAsia="微软雅黑" w:cs="微软雅黑"/>
                <w:sz w:val="24"/>
              </w:rPr>
            </w:pPr>
          </w:p>
        </w:tc>
        <w:tc>
          <w:tcPr>
            <w:tcW w:w="750" w:type="dxa"/>
            <w:vAlign w:val="center"/>
          </w:tcPr>
          <w:p>
            <w:pPr>
              <w:autoSpaceDE/>
              <w:autoSpaceDN/>
              <w:adjustRightInd w:val="0"/>
              <w:snapToGrid w:val="0"/>
              <w:jc w:val="center"/>
              <w:rPr>
                <w:rFonts w:hint="eastAsia" w:ascii="微软雅黑" w:hAnsi="微软雅黑" w:eastAsia="微软雅黑" w:cs="微软雅黑"/>
                <w:sz w:val="24"/>
              </w:rPr>
            </w:pPr>
          </w:p>
        </w:tc>
        <w:tc>
          <w:tcPr>
            <w:tcW w:w="795" w:type="dxa"/>
            <w:vAlign w:val="center"/>
          </w:tcPr>
          <w:p>
            <w:pPr>
              <w:autoSpaceDE/>
              <w:autoSpaceDN/>
              <w:adjustRightInd w:val="0"/>
              <w:snapToGrid w:val="0"/>
              <w:jc w:val="center"/>
              <w:rPr>
                <w:rFonts w:hint="eastAsia" w:ascii="微软雅黑" w:hAnsi="微软雅黑" w:eastAsia="微软雅黑" w:cs="微软雅黑"/>
                <w:sz w:val="24"/>
              </w:rPr>
            </w:pPr>
          </w:p>
        </w:tc>
        <w:tc>
          <w:tcPr>
            <w:tcW w:w="974" w:type="dxa"/>
            <w:vAlign w:val="center"/>
          </w:tcPr>
          <w:p>
            <w:pPr>
              <w:autoSpaceDE/>
              <w:autoSpaceDN/>
              <w:adjustRightInd w:val="0"/>
              <w:snapToGrid w:val="0"/>
              <w:jc w:val="center"/>
              <w:rPr>
                <w:rFonts w:hint="eastAsia" w:ascii="微软雅黑" w:hAnsi="微软雅黑" w:eastAsia="微软雅黑" w:cs="微软雅黑"/>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autoSpaceDE/>
              <w:autoSpaceDN/>
              <w:adjustRightInd w:val="0"/>
              <w:snapToGrid w:val="0"/>
              <w:jc w:val="center"/>
              <w:rPr>
                <w:rFonts w:hint="eastAsia" w:ascii="微软雅黑" w:hAnsi="微软雅黑" w:eastAsia="微软雅黑" w:cs="微软雅黑"/>
                <w:sz w:val="24"/>
              </w:rPr>
            </w:pPr>
            <w:r>
              <w:rPr>
                <w:rFonts w:hint="eastAsia" w:ascii="微软雅黑" w:hAnsi="微软雅黑" w:eastAsia="微软雅黑" w:cs="微软雅黑"/>
                <w:color w:val="000000"/>
                <w:sz w:val="24"/>
                <w:lang w:eastAsia="en-US"/>
              </w:rPr>
              <w:t>4</w:t>
            </w:r>
          </w:p>
        </w:tc>
        <w:tc>
          <w:tcPr>
            <w:tcW w:w="1125" w:type="dxa"/>
            <w:vAlign w:val="center"/>
          </w:tcPr>
          <w:p>
            <w:pPr>
              <w:autoSpaceDE/>
              <w:autoSpaceDN/>
              <w:adjustRightInd w:val="0"/>
              <w:snapToGrid w:val="0"/>
              <w:jc w:val="center"/>
              <w:rPr>
                <w:rFonts w:hint="eastAsia" w:ascii="微软雅黑" w:hAnsi="微软雅黑" w:eastAsia="微软雅黑" w:cs="微软雅黑"/>
                <w:sz w:val="24"/>
              </w:rPr>
            </w:pPr>
          </w:p>
        </w:tc>
        <w:tc>
          <w:tcPr>
            <w:tcW w:w="1005" w:type="dxa"/>
            <w:vAlign w:val="center"/>
          </w:tcPr>
          <w:p>
            <w:pPr>
              <w:autoSpaceDE/>
              <w:autoSpaceDN/>
              <w:adjustRightInd w:val="0"/>
              <w:snapToGrid w:val="0"/>
              <w:jc w:val="center"/>
              <w:rPr>
                <w:rFonts w:hint="eastAsia" w:ascii="微软雅黑" w:hAnsi="微软雅黑" w:eastAsia="微软雅黑" w:cs="微软雅黑"/>
                <w:sz w:val="24"/>
              </w:rPr>
            </w:pPr>
          </w:p>
        </w:tc>
        <w:tc>
          <w:tcPr>
            <w:tcW w:w="761" w:type="dxa"/>
            <w:vAlign w:val="center"/>
          </w:tcPr>
          <w:p>
            <w:pPr>
              <w:autoSpaceDE/>
              <w:autoSpaceDN/>
              <w:adjustRightInd w:val="0"/>
              <w:snapToGrid w:val="0"/>
              <w:jc w:val="center"/>
              <w:rPr>
                <w:rFonts w:hint="eastAsia" w:ascii="微软雅黑" w:hAnsi="微软雅黑" w:eastAsia="微软雅黑" w:cs="微软雅黑"/>
                <w:sz w:val="24"/>
              </w:rPr>
            </w:pPr>
          </w:p>
        </w:tc>
        <w:tc>
          <w:tcPr>
            <w:tcW w:w="784" w:type="dxa"/>
            <w:vAlign w:val="center"/>
          </w:tcPr>
          <w:p>
            <w:pPr>
              <w:autoSpaceDE/>
              <w:autoSpaceDN/>
              <w:adjustRightInd w:val="0"/>
              <w:snapToGrid w:val="0"/>
              <w:jc w:val="center"/>
              <w:rPr>
                <w:rFonts w:hint="eastAsia" w:ascii="微软雅黑" w:hAnsi="微软雅黑" w:eastAsia="微软雅黑" w:cs="微软雅黑"/>
                <w:sz w:val="24"/>
              </w:rPr>
            </w:pPr>
          </w:p>
        </w:tc>
        <w:tc>
          <w:tcPr>
            <w:tcW w:w="690" w:type="dxa"/>
            <w:vAlign w:val="center"/>
          </w:tcPr>
          <w:p>
            <w:pPr>
              <w:autoSpaceDE/>
              <w:autoSpaceDN/>
              <w:adjustRightInd w:val="0"/>
              <w:snapToGrid w:val="0"/>
              <w:jc w:val="center"/>
              <w:rPr>
                <w:rFonts w:hint="eastAsia" w:ascii="微软雅黑" w:hAnsi="微软雅黑" w:eastAsia="微软雅黑" w:cs="微软雅黑"/>
                <w:sz w:val="24"/>
              </w:rPr>
            </w:pPr>
          </w:p>
        </w:tc>
        <w:tc>
          <w:tcPr>
            <w:tcW w:w="482" w:type="dxa"/>
            <w:vAlign w:val="center"/>
          </w:tcPr>
          <w:p>
            <w:pPr>
              <w:autoSpaceDE/>
              <w:autoSpaceDN/>
              <w:adjustRightInd w:val="0"/>
              <w:snapToGrid w:val="0"/>
              <w:jc w:val="center"/>
              <w:rPr>
                <w:rFonts w:hint="eastAsia" w:ascii="微软雅黑" w:hAnsi="微软雅黑" w:eastAsia="微软雅黑" w:cs="微软雅黑"/>
                <w:sz w:val="24"/>
              </w:rPr>
            </w:pPr>
          </w:p>
        </w:tc>
        <w:tc>
          <w:tcPr>
            <w:tcW w:w="868" w:type="dxa"/>
            <w:vAlign w:val="center"/>
          </w:tcPr>
          <w:p>
            <w:pPr>
              <w:autoSpaceDE/>
              <w:autoSpaceDN/>
              <w:adjustRightInd w:val="0"/>
              <w:snapToGrid w:val="0"/>
              <w:jc w:val="center"/>
              <w:rPr>
                <w:rFonts w:hint="eastAsia" w:ascii="微软雅黑" w:hAnsi="微软雅黑" w:eastAsia="微软雅黑" w:cs="微软雅黑"/>
                <w:sz w:val="24"/>
              </w:rPr>
            </w:pPr>
          </w:p>
        </w:tc>
        <w:tc>
          <w:tcPr>
            <w:tcW w:w="750" w:type="dxa"/>
            <w:vAlign w:val="center"/>
          </w:tcPr>
          <w:p>
            <w:pPr>
              <w:autoSpaceDE/>
              <w:autoSpaceDN/>
              <w:adjustRightInd w:val="0"/>
              <w:snapToGrid w:val="0"/>
              <w:jc w:val="center"/>
              <w:rPr>
                <w:rFonts w:hint="eastAsia" w:ascii="微软雅黑" w:hAnsi="微软雅黑" w:eastAsia="微软雅黑" w:cs="微软雅黑"/>
                <w:sz w:val="24"/>
              </w:rPr>
            </w:pPr>
          </w:p>
        </w:tc>
        <w:tc>
          <w:tcPr>
            <w:tcW w:w="795" w:type="dxa"/>
            <w:vAlign w:val="center"/>
          </w:tcPr>
          <w:p>
            <w:pPr>
              <w:autoSpaceDE/>
              <w:autoSpaceDN/>
              <w:adjustRightInd w:val="0"/>
              <w:snapToGrid w:val="0"/>
              <w:jc w:val="center"/>
              <w:rPr>
                <w:rFonts w:hint="eastAsia" w:ascii="微软雅黑" w:hAnsi="微软雅黑" w:eastAsia="微软雅黑" w:cs="微软雅黑"/>
                <w:sz w:val="24"/>
              </w:rPr>
            </w:pPr>
          </w:p>
        </w:tc>
        <w:tc>
          <w:tcPr>
            <w:tcW w:w="974" w:type="dxa"/>
            <w:vAlign w:val="center"/>
          </w:tcPr>
          <w:p>
            <w:pPr>
              <w:autoSpaceDE/>
              <w:autoSpaceDN/>
              <w:adjustRightInd w:val="0"/>
              <w:snapToGrid w:val="0"/>
              <w:jc w:val="center"/>
              <w:rPr>
                <w:rFonts w:hint="eastAsia" w:ascii="微软雅黑" w:hAnsi="微软雅黑" w:eastAsia="微软雅黑" w:cs="微软雅黑"/>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autoSpaceDE/>
              <w:autoSpaceDN/>
              <w:adjustRightInd w:val="0"/>
              <w:snapToGrid w:val="0"/>
              <w:jc w:val="center"/>
              <w:rPr>
                <w:rFonts w:hint="eastAsia" w:ascii="微软雅黑" w:hAnsi="微软雅黑" w:eastAsia="微软雅黑" w:cs="微软雅黑"/>
                <w:sz w:val="24"/>
              </w:rPr>
            </w:pPr>
            <w:r>
              <w:rPr>
                <w:rFonts w:hint="eastAsia" w:ascii="微软雅黑" w:hAnsi="微软雅黑" w:eastAsia="微软雅黑" w:cs="微软雅黑"/>
                <w:color w:val="000000"/>
                <w:sz w:val="24"/>
                <w:lang w:eastAsia="en-US"/>
              </w:rPr>
              <w:t>5</w:t>
            </w:r>
          </w:p>
        </w:tc>
        <w:tc>
          <w:tcPr>
            <w:tcW w:w="1125" w:type="dxa"/>
            <w:vAlign w:val="center"/>
          </w:tcPr>
          <w:p>
            <w:pPr>
              <w:autoSpaceDE/>
              <w:autoSpaceDN/>
              <w:adjustRightInd w:val="0"/>
              <w:snapToGrid w:val="0"/>
              <w:jc w:val="center"/>
              <w:rPr>
                <w:rFonts w:hint="eastAsia" w:ascii="微软雅黑" w:hAnsi="微软雅黑" w:eastAsia="微软雅黑" w:cs="微软雅黑"/>
                <w:sz w:val="24"/>
              </w:rPr>
            </w:pPr>
          </w:p>
        </w:tc>
        <w:tc>
          <w:tcPr>
            <w:tcW w:w="1005" w:type="dxa"/>
            <w:vAlign w:val="center"/>
          </w:tcPr>
          <w:p>
            <w:pPr>
              <w:autoSpaceDE/>
              <w:autoSpaceDN/>
              <w:adjustRightInd w:val="0"/>
              <w:snapToGrid w:val="0"/>
              <w:jc w:val="center"/>
              <w:rPr>
                <w:rFonts w:hint="eastAsia" w:ascii="微软雅黑" w:hAnsi="微软雅黑" w:eastAsia="微软雅黑" w:cs="微软雅黑"/>
                <w:sz w:val="24"/>
              </w:rPr>
            </w:pPr>
          </w:p>
        </w:tc>
        <w:tc>
          <w:tcPr>
            <w:tcW w:w="761" w:type="dxa"/>
            <w:vAlign w:val="center"/>
          </w:tcPr>
          <w:p>
            <w:pPr>
              <w:autoSpaceDE/>
              <w:autoSpaceDN/>
              <w:adjustRightInd w:val="0"/>
              <w:snapToGrid w:val="0"/>
              <w:jc w:val="center"/>
              <w:rPr>
                <w:rFonts w:hint="eastAsia" w:ascii="微软雅黑" w:hAnsi="微软雅黑" w:eastAsia="微软雅黑" w:cs="微软雅黑"/>
                <w:sz w:val="24"/>
              </w:rPr>
            </w:pPr>
          </w:p>
        </w:tc>
        <w:tc>
          <w:tcPr>
            <w:tcW w:w="784" w:type="dxa"/>
            <w:vAlign w:val="center"/>
          </w:tcPr>
          <w:p>
            <w:pPr>
              <w:autoSpaceDE/>
              <w:autoSpaceDN/>
              <w:adjustRightInd w:val="0"/>
              <w:snapToGrid w:val="0"/>
              <w:jc w:val="center"/>
              <w:rPr>
                <w:rFonts w:hint="eastAsia" w:ascii="微软雅黑" w:hAnsi="微软雅黑" w:eastAsia="微软雅黑" w:cs="微软雅黑"/>
                <w:sz w:val="24"/>
              </w:rPr>
            </w:pPr>
          </w:p>
        </w:tc>
        <w:tc>
          <w:tcPr>
            <w:tcW w:w="690" w:type="dxa"/>
            <w:vAlign w:val="center"/>
          </w:tcPr>
          <w:p>
            <w:pPr>
              <w:autoSpaceDE/>
              <w:autoSpaceDN/>
              <w:adjustRightInd w:val="0"/>
              <w:snapToGrid w:val="0"/>
              <w:jc w:val="center"/>
              <w:rPr>
                <w:rFonts w:hint="eastAsia" w:ascii="微软雅黑" w:hAnsi="微软雅黑" w:eastAsia="微软雅黑" w:cs="微软雅黑"/>
                <w:sz w:val="24"/>
              </w:rPr>
            </w:pPr>
          </w:p>
        </w:tc>
        <w:tc>
          <w:tcPr>
            <w:tcW w:w="482" w:type="dxa"/>
            <w:vAlign w:val="center"/>
          </w:tcPr>
          <w:p>
            <w:pPr>
              <w:autoSpaceDE/>
              <w:autoSpaceDN/>
              <w:adjustRightInd w:val="0"/>
              <w:snapToGrid w:val="0"/>
              <w:jc w:val="center"/>
              <w:rPr>
                <w:rFonts w:hint="eastAsia" w:ascii="微软雅黑" w:hAnsi="微软雅黑" w:eastAsia="微软雅黑" w:cs="微软雅黑"/>
                <w:sz w:val="24"/>
              </w:rPr>
            </w:pPr>
          </w:p>
        </w:tc>
        <w:tc>
          <w:tcPr>
            <w:tcW w:w="868" w:type="dxa"/>
            <w:vAlign w:val="center"/>
          </w:tcPr>
          <w:p>
            <w:pPr>
              <w:autoSpaceDE/>
              <w:autoSpaceDN/>
              <w:adjustRightInd w:val="0"/>
              <w:snapToGrid w:val="0"/>
              <w:jc w:val="center"/>
              <w:rPr>
                <w:rFonts w:hint="eastAsia" w:ascii="微软雅黑" w:hAnsi="微软雅黑" w:eastAsia="微软雅黑" w:cs="微软雅黑"/>
                <w:sz w:val="24"/>
              </w:rPr>
            </w:pPr>
          </w:p>
        </w:tc>
        <w:tc>
          <w:tcPr>
            <w:tcW w:w="750" w:type="dxa"/>
            <w:vAlign w:val="center"/>
          </w:tcPr>
          <w:p>
            <w:pPr>
              <w:autoSpaceDE/>
              <w:autoSpaceDN/>
              <w:adjustRightInd w:val="0"/>
              <w:snapToGrid w:val="0"/>
              <w:jc w:val="center"/>
              <w:rPr>
                <w:rFonts w:hint="eastAsia" w:ascii="微软雅黑" w:hAnsi="微软雅黑" w:eastAsia="微软雅黑" w:cs="微软雅黑"/>
                <w:sz w:val="24"/>
              </w:rPr>
            </w:pPr>
          </w:p>
        </w:tc>
        <w:tc>
          <w:tcPr>
            <w:tcW w:w="795" w:type="dxa"/>
            <w:vAlign w:val="center"/>
          </w:tcPr>
          <w:p>
            <w:pPr>
              <w:autoSpaceDE/>
              <w:autoSpaceDN/>
              <w:adjustRightInd w:val="0"/>
              <w:snapToGrid w:val="0"/>
              <w:jc w:val="center"/>
              <w:rPr>
                <w:rFonts w:hint="eastAsia" w:ascii="微软雅黑" w:hAnsi="微软雅黑" w:eastAsia="微软雅黑" w:cs="微软雅黑"/>
                <w:sz w:val="24"/>
              </w:rPr>
            </w:pPr>
          </w:p>
        </w:tc>
        <w:tc>
          <w:tcPr>
            <w:tcW w:w="974" w:type="dxa"/>
            <w:vAlign w:val="center"/>
          </w:tcPr>
          <w:p>
            <w:pPr>
              <w:autoSpaceDE/>
              <w:autoSpaceDN/>
              <w:adjustRightInd w:val="0"/>
              <w:snapToGrid w:val="0"/>
              <w:jc w:val="center"/>
              <w:rPr>
                <w:rFonts w:hint="eastAsia" w:ascii="微软雅黑" w:hAnsi="微软雅黑" w:eastAsia="微软雅黑" w:cs="微软雅黑"/>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vAlign w:val="center"/>
          </w:tcPr>
          <w:p>
            <w:pPr>
              <w:autoSpaceDE/>
              <w:autoSpaceDN/>
              <w:adjustRightInd w:val="0"/>
              <w:snapToGrid w:val="0"/>
              <w:jc w:val="center"/>
              <w:rPr>
                <w:rFonts w:hint="eastAsia" w:ascii="微软雅黑" w:hAnsi="微软雅黑" w:eastAsia="微软雅黑" w:cs="微软雅黑"/>
                <w:b/>
                <w:sz w:val="24"/>
              </w:rPr>
            </w:pPr>
            <w:r>
              <w:rPr>
                <w:rFonts w:hint="eastAsia" w:ascii="微软雅黑" w:hAnsi="微软雅黑" w:eastAsia="微软雅黑" w:cs="微软雅黑"/>
                <w:color w:val="000000"/>
                <w:sz w:val="24"/>
                <w:lang w:eastAsia="en-US"/>
              </w:rPr>
              <w:t>…</w:t>
            </w:r>
          </w:p>
        </w:tc>
        <w:tc>
          <w:tcPr>
            <w:tcW w:w="1125" w:type="dxa"/>
            <w:vAlign w:val="center"/>
          </w:tcPr>
          <w:p>
            <w:pPr>
              <w:autoSpaceDE/>
              <w:autoSpaceDN/>
              <w:adjustRightInd w:val="0"/>
              <w:snapToGrid w:val="0"/>
              <w:jc w:val="center"/>
              <w:rPr>
                <w:rFonts w:hint="eastAsia" w:ascii="微软雅黑" w:hAnsi="微软雅黑" w:eastAsia="微软雅黑" w:cs="微软雅黑"/>
              </w:rPr>
            </w:pPr>
          </w:p>
        </w:tc>
        <w:tc>
          <w:tcPr>
            <w:tcW w:w="1005" w:type="dxa"/>
            <w:vAlign w:val="center"/>
          </w:tcPr>
          <w:p>
            <w:pPr>
              <w:autoSpaceDE/>
              <w:autoSpaceDN/>
              <w:adjustRightInd w:val="0"/>
              <w:snapToGrid w:val="0"/>
              <w:jc w:val="center"/>
              <w:rPr>
                <w:rFonts w:hint="eastAsia" w:ascii="微软雅黑" w:hAnsi="微软雅黑" w:eastAsia="微软雅黑" w:cs="微软雅黑"/>
              </w:rPr>
            </w:pPr>
          </w:p>
        </w:tc>
        <w:tc>
          <w:tcPr>
            <w:tcW w:w="761" w:type="dxa"/>
            <w:vAlign w:val="center"/>
          </w:tcPr>
          <w:p>
            <w:pPr>
              <w:autoSpaceDE/>
              <w:autoSpaceDN/>
              <w:adjustRightInd w:val="0"/>
              <w:snapToGrid w:val="0"/>
              <w:jc w:val="center"/>
              <w:rPr>
                <w:rFonts w:hint="eastAsia" w:ascii="微软雅黑" w:hAnsi="微软雅黑" w:eastAsia="微软雅黑" w:cs="微软雅黑"/>
              </w:rPr>
            </w:pPr>
          </w:p>
        </w:tc>
        <w:tc>
          <w:tcPr>
            <w:tcW w:w="784" w:type="dxa"/>
            <w:vAlign w:val="center"/>
          </w:tcPr>
          <w:p>
            <w:pPr>
              <w:autoSpaceDE/>
              <w:autoSpaceDN/>
              <w:adjustRightInd w:val="0"/>
              <w:snapToGrid w:val="0"/>
              <w:jc w:val="center"/>
              <w:rPr>
                <w:rFonts w:hint="eastAsia" w:ascii="微软雅黑" w:hAnsi="微软雅黑" w:eastAsia="微软雅黑" w:cs="微软雅黑"/>
              </w:rPr>
            </w:pPr>
          </w:p>
        </w:tc>
        <w:tc>
          <w:tcPr>
            <w:tcW w:w="690" w:type="dxa"/>
            <w:vAlign w:val="center"/>
          </w:tcPr>
          <w:p>
            <w:pPr>
              <w:autoSpaceDE/>
              <w:autoSpaceDN/>
              <w:adjustRightInd w:val="0"/>
              <w:snapToGrid w:val="0"/>
              <w:jc w:val="center"/>
              <w:rPr>
                <w:rFonts w:hint="eastAsia" w:ascii="微软雅黑" w:hAnsi="微软雅黑" w:eastAsia="微软雅黑" w:cs="微软雅黑"/>
              </w:rPr>
            </w:pPr>
          </w:p>
        </w:tc>
        <w:tc>
          <w:tcPr>
            <w:tcW w:w="482" w:type="dxa"/>
            <w:vAlign w:val="center"/>
          </w:tcPr>
          <w:p>
            <w:pPr>
              <w:autoSpaceDE/>
              <w:autoSpaceDN/>
              <w:adjustRightInd w:val="0"/>
              <w:snapToGrid w:val="0"/>
              <w:jc w:val="center"/>
              <w:rPr>
                <w:rFonts w:hint="eastAsia" w:ascii="微软雅黑" w:hAnsi="微软雅黑" w:eastAsia="微软雅黑" w:cs="微软雅黑"/>
              </w:rPr>
            </w:pPr>
          </w:p>
        </w:tc>
        <w:tc>
          <w:tcPr>
            <w:tcW w:w="868" w:type="dxa"/>
            <w:vAlign w:val="center"/>
          </w:tcPr>
          <w:p>
            <w:pPr>
              <w:autoSpaceDE/>
              <w:autoSpaceDN/>
              <w:adjustRightInd w:val="0"/>
              <w:snapToGrid w:val="0"/>
              <w:jc w:val="center"/>
              <w:rPr>
                <w:rFonts w:hint="eastAsia" w:ascii="微软雅黑" w:hAnsi="微软雅黑" w:eastAsia="微软雅黑" w:cs="微软雅黑"/>
              </w:rPr>
            </w:pPr>
          </w:p>
        </w:tc>
        <w:tc>
          <w:tcPr>
            <w:tcW w:w="750" w:type="dxa"/>
            <w:vAlign w:val="center"/>
          </w:tcPr>
          <w:p>
            <w:pPr>
              <w:autoSpaceDE/>
              <w:autoSpaceDN/>
              <w:adjustRightInd w:val="0"/>
              <w:snapToGrid w:val="0"/>
              <w:jc w:val="center"/>
              <w:rPr>
                <w:rFonts w:hint="eastAsia" w:ascii="微软雅黑" w:hAnsi="微软雅黑" w:eastAsia="微软雅黑" w:cs="微软雅黑"/>
              </w:rPr>
            </w:pPr>
          </w:p>
        </w:tc>
        <w:tc>
          <w:tcPr>
            <w:tcW w:w="795" w:type="dxa"/>
            <w:vAlign w:val="center"/>
          </w:tcPr>
          <w:p>
            <w:pPr>
              <w:autoSpaceDE/>
              <w:autoSpaceDN/>
              <w:adjustRightInd w:val="0"/>
              <w:snapToGrid w:val="0"/>
              <w:jc w:val="center"/>
              <w:rPr>
                <w:rFonts w:hint="eastAsia" w:ascii="微软雅黑" w:hAnsi="微软雅黑" w:eastAsia="微软雅黑" w:cs="微软雅黑"/>
              </w:rPr>
            </w:pPr>
          </w:p>
        </w:tc>
        <w:tc>
          <w:tcPr>
            <w:tcW w:w="974" w:type="dxa"/>
            <w:vAlign w:val="center"/>
          </w:tcPr>
          <w:p>
            <w:pPr>
              <w:autoSpaceDE/>
              <w:autoSpaceDN/>
              <w:adjustRightInd w:val="0"/>
              <w:snapToGrid w:val="0"/>
              <w:jc w:val="center"/>
              <w:rPr>
                <w:rFonts w:hint="eastAsia" w:ascii="微软雅黑" w:hAnsi="微软雅黑" w:eastAsia="微软雅黑" w:cs="微软雅黑"/>
              </w:rPr>
            </w:pPr>
          </w:p>
        </w:tc>
      </w:tr>
    </w:tbl>
    <w:p>
      <w:pPr>
        <w:pStyle w:val="16"/>
        <w:rPr>
          <w:rFonts w:hint="eastAsia" w:ascii="微软雅黑" w:hAnsi="微软雅黑" w:eastAsia="微软雅黑" w:cs="微软雅黑"/>
          <w:color w:val="000000"/>
          <w:sz w:val="24"/>
        </w:rPr>
      </w:pPr>
    </w:p>
    <w:p>
      <w:pPr>
        <w:autoSpaceDE w:val="0"/>
        <w:autoSpaceDN w:val="0"/>
        <w:adjustRightInd w:val="0"/>
        <w:snapToGrid w:val="0"/>
        <w:spacing w:line="540" w:lineRule="exact"/>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投标人名称（加盖公章）：____________</w:t>
      </w:r>
    </w:p>
    <w:p>
      <w:pPr>
        <w:autoSpaceDE w:val="0"/>
        <w:autoSpaceDN w:val="0"/>
        <w:adjustRightInd w:val="0"/>
        <w:snapToGrid w:val="0"/>
        <w:spacing w:line="540" w:lineRule="exact"/>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 xml:space="preserve">日期：_____年______月______日   </w:t>
      </w:r>
    </w:p>
    <w:p>
      <w:pPr>
        <w:pStyle w:val="16"/>
        <w:rPr>
          <w:rFonts w:hint="eastAsia" w:ascii="微软雅黑" w:hAnsi="微软雅黑" w:eastAsia="微软雅黑" w:cs="微软雅黑"/>
          <w:color w:val="000000"/>
          <w:sz w:val="24"/>
        </w:rPr>
      </w:pPr>
    </w:p>
    <w:p>
      <w:pPr>
        <w:pStyle w:val="17"/>
        <w:tabs>
          <w:tab w:val="left" w:pos="7980"/>
        </w:tabs>
        <w:snapToGrid/>
        <w:spacing w:before="156" w:beforeLines="50" w:line="360" w:lineRule="auto"/>
        <w:ind w:firstLine="0"/>
        <w:rPr>
          <w:rFonts w:hint="eastAsia" w:ascii="微软雅黑" w:hAnsi="微软雅黑" w:eastAsia="微软雅黑" w:cs="微软雅黑"/>
          <w:b/>
        </w:rPr>
      </w:pPr>
      <w:r>
        <w:rPr>
          <w:rFonts w:hint="eastAsia" w:ascii="微软雅黑" w:hAnsi="微软雅黑" w:eastAsia="微软雅黑" w:cs="微软雅黑"/>
          <w:b/>
        </w:rPr>
        <w:t>2、资质要求：</w:t>
      </w:r>
    </w:p>
    <w:p>
      <w:pPr>
        <w:pStyle w:val="17"/>
        <w:tabs>
          <w:tab w:val="left" w:pos="7980"/>
        </w:tabs>
        <w:snapToGrid/>
        <w:spacing w:before="156" w:beforeLines="50" w:line="360" w:lineRule="auto"/>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参照需求内容提供相关资质复印件，并加盖公章。</w:t>
      </w:r>
    </w:p>
    <w:p>
      <w:pPr>
        <w:pStyle w:val="17"/>
        <w:numPr>
          <w:ilvl w:val="0"/>
          <w:numId w:val="8"/>
        </w:numPr>
        <w:tabs>
          <w:tab w:val="left" w:pos="7980"/>
        </w:tabs>
        <w:snapToGrid/>
        <w:spacing w:before="156" w:beforeLines="50" w:line="360" w:lineRule="auto"/>
        <w:ind w:left="0" w:leftChars="0" w:firstLine="0" w:firstLineChars="0"/>
        <w:rPr>
          <w:rFonts w:hint="eastAsia" w:ascii="微软雅黑" w:hAnsi="微软雅黑" w:eastAsia="微软雅黑" w:cs="微软雅黑"/>
          <w:b/>
        </w:rPr>
      </w:pPr>
      <w:r>
        <w:rPr>
          <w:rFonts w:hint="eastAsia" w:ascii="微软雅黑" w:hAnsi="微软雅黑" w:eastAsia="微软雅黑" w:cs="微软雅黑"/>
          <w:b/>
          <w:lang w:eastAsia="zh-CN"/>
        </w:rPr>
        <w:t>采购偏离表</w:t>
      </w:r>
      <w:r>
        <w:rPr>
          <w:rFonts w:hint="eastAsia" w:ascii="微软雅黑" w:hAnsi="微软雅黑" w:eastAsia="微软雅黑" w:cs="微软雅黑"/>
          <w:b/>
        </w:rPr>
        <w:t>：</w:t>
      </w:r>
    </w:p>
    <w:p>
      <w:pPr>
        <w:autoSpaceDE w:val="0"/>
        <w:autoSpaceDN w:val="0"/>
        <w:adjustRightInd w:val="0"/>
        <w:snapToGrid w:val="0"/>
        <w:spacing w:line="540" w:lineRule="exact"/>
        <w:jc w:val="center"/>
        <w:rPr>
          <w:rFonts w:hint="eastAsia" w:ascii="微软雅黑" w:hAnsi="微软雅黑" w:eastAsia="微软雅黑" w:cs="微软雅黑"/>
          <w:b/>
          <w:color w:val="000000"/>
          <w:sz w:val="24"/>
        </w:rPr>
      </w:pPr>
    </w:p>
    <w:p>
      <w:pPr>
        <w:autoSpaceDE w:val="0"/>
        <w:autoSpaceDN w:val="0"/>
        <w:adjustRightInd w:val="0"/>
        <w:snapToGrid w:val="0"/>
        <w:spacing w:line="540" w:lineRule="exact"/>
        <w:jc w:val="center"/>
        <w:rPr>
          <w:rFonts w:hint="eastAsia" w:ascii="微软雅黑" w:hAnsi="微软雅黑" w:eastAsia="微软雅黑" w:cs="微软雅黑"/>
          <w:b/>
          <w:color w:val="000000"/>
          <w:sz w:val="24"/>
        </w:rPr>
      </w:pPr>
    </w:p>
    <w:p>
      <w:pPr>
        <w:autoSpaceDE w:val="0"/>
        <w:autoSpaceDN w:val="0"/>
        <w:adjustRightInd w:val="0"/>
        <w:snapToGrid w:val="0"/>
        <w:spacing w:line="540" w:lineRule="exact"/>
        <w:jc w:val="center"/>
        <w:rPr>
          <w:rFonts w:hint="eastAsia" w:ascii="微软雅黑" w:hAnsi="微软雅黑" w:eastAsia="微软雅黑" w:cs="微软雅黑"/>
          <w:b/>
          <w:color w:val="000000"/>
          <w:sz w:val="24"/>
        </w:rPr>
      </w:pPr>
    </w:p>
    <w:p>
      <w:pPr>
        <w:autoSpaceDE w:val="0"/>
        <w:autoSpaceDN w:val="0"/>
        <w:adjustRightInd w:val="0"/>
        <w:snapToGrid w:val="0"/>
        <w:spacing w:line="540" w:lineRule="exact"/>
        <w:jc w:val="center"/>
        <w:rPr>
          <w:rFonts w:hint="eastAsia" w:ascii="微软雅黑" w:hAnsi="微软雅黑" w:eastAsia="微软雅黑" w:cs="微软雅黑"/>
          <w:b/>
          <w:color w:val="000000"/>
          <w:sz w:val="24"/>
        </w:rPr>
      </w:pPr>
      <w:r>
        <w:rPr>
          <w:rFonts w:hint="eastAsia" w:ascii="微软雅黑" w:hAnsi="微软雅黑" w:eastAsia="微软雅黑" w:cs="微软雅黑"/>
          <w:b/>
          <w:color w:val="000000"/>
          <w:sz w:val="24"/>
        </w:rPr>
        <w:t>采购需求偏离表</w:t>
      </w:r>
    </w:p>
    <w:p>
      <w:pPr>
        <w:autoSpaceDE w:val="0"/>
        <w:autoSpaceDN w:val="0"/>
        <w:adjustRightInd w:val="0"/>
        <w:snapToGrid w:val="0"/>
        <w:spacing w:line="540" w:lineRule="exact"/>
        <w:jc w:val="both"/>
        <w:rPr>
          <w:rFonts w:hint="eastAsia" w:ascii="微软雅黑" w:hAnsi="微软雅黑" w:eastAsia="微软雅黑" w:cs="微软雅黑"/>
          <w:color w:val="000000"/>
          <w:sz w:val="24"/>
          <w:u w:val="single"/>
        </w:rPr>
      </w:pPr>
      <w:r>
        <w:rPr>
          <w:rFonts w:hint="eastAsia" w:ascii="微软雅黑" w:hAnsi="微软雅黑" w:eastAsia="微软雅黑" w:cs="微软雅黑"/>
          <w:color w:val="000000"/>
          <w:sz w:val="24"/>
        </w:rPr>
        <w:t xml:space="preserve">  项目名称：____________</w:t>
      </w:r>
    </w:p>
    <w:tbl>
      <w:tblPr>
        <w:tblStyle w:val="9"/>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740"/>
        <w:gridCol w:w="1900"/>
        <w:gridCol w:w="2046"/>
        <w:gridCol w:w="1805"/>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26" w:type="dxa"/>
            <w:vAlign w:val="center"/>
          </w:tcPr>
          <w:p>
            <w:pPr>
              <w:adjustRightInd w:val="0"/>
              <w:snapToGrid w:val="0"/>
              <w:jc w:val="center"/>
              <w:rPr>
                <w:rFonts w:ascii="仿宋" w:hAnsi="仿宋" w:eastAsia="仿宋" w:cs="仿宋_GB2312"/>
                <w:color w:val="000000"/>
                <w:sz w:val="24"/>
              </w:rPr>
            </w:pPr>
            <w:r>
              <w:rPr>
                <w:rFonts w:hint="eastAsia" w:ascii="仿宋" w:hAnsi="仿宋" w:eastAsia="仿宋" w:cs="仿宋_GB2312"/>
                <w:color w:val="000000"/>
                <w:sz w:val="24"/>
              </w:rPr>
              <w:t>序号</w:t>
            </w:r>
          </w:p>
        </w:tc>
        <w:tc>
          <w:tcPr>
            <w:tcW w:w="1740" w:type="dxa"/>
            <w:vAlign w:val="center"/>
          </w:tcPr>
          <w:p>
            <w:pPr>
              <w:adjustRightInd w:val="0"/>
              <w:snapToGrid w:val="0"/>
              <w:jc w:val="center"/>
              <w:rPr>
                <w:rFonts w:ascii="仿宋" w:hAnsi="仿宋" w:eastAsia="仿宋" w:cs="仿宋_GB2312"/>
                <w:color w:val="000000"/>
                <w:sz w:val="24"/>
              </w:rPr>
            </w:pPr>
            <w:r>
              <w:rPr>
                <w:rFonts w:hint="eastAsia" w:ascii="仿宋" w:hAnsi="仿宋" w:eastAsia="仿宋" w:cs="仿宋_GB2312"/>
                <w:color w:val="000000"/>
                <w:sz w:val="24"/>
              </w:rPr>
              <w:t>招标文件条目号(页码)</w:t>
            </w:r>
          </w:p>
        </w:tc>
        <w:tc>
          <w:tcPr>
            <w:tcW w:w="1900" w:type="dxa"/>
            <w:vAlign w:val="center"/>
          </w:tcPr>
          <w:p>
            <w:pPr>
              <w:adjustRightInd w:val="0"/>
              <w:snapToGrid w:val="0"/>
              <w:jc w:val="center"/>
              <w:rPr>
                <w:rFonts w:ascii="仿宋" w:hAnsi="仿宋" w:eastAsia="仿宋" w:cs="仿宋_GB2312"/>
                <w:color w:val="000000"/>
                <w:sz w:val="24"/>
              </w:rPr>
            </w:pPr>
            <w:r>
              <w:rPr>
                <w:rFonts w:hint="eastAsia" w:ascii="仿宋" w:hAnsi="仿宋" w:eastAsia="仿宋" w:cs="仿宋_GB2312"/>
                <w:color w:val="000000"/>
                <w:sz w:val="24"/>
              </w:rPr>
              <w:t>招标文件要求</w:t>
            </w:r>
          </w:p>
        </w:tc>
        <w:tc>
          <w:tcPr>
            <w:tcW w:w="2046" w:type="dxa"/>
            <w:vAlign w:val="center"/>
          </w:tcPr>
          <w:p>
            <w:pPr>
              <w:adjustRightInd w:val="0"/>
              <w:snapToGrid w:val="0"/>
              <w:jc w:val="center"/>
              <w:rPr>
                <w:rFonts w:ascii="仿宋" w:hAnsi="仿宋" w:eastAsia="仿宋" w:cs="仿宋_GB2312"/>
                <w:color w:val="000000"/>
                <w:sz w:val="24"/>
              </w:rPr>
            </w:pPr>
            <w:r>
              <w:rPr>
                <w:rFonts w:hint="eastAsia" w:ascii="仿宋" w:hAnsi="仿宋" w:eastAsia="仿宋" w:cs="仿宋_GB2312"/>
                <w:color w:val="000000"/>
                <w:sz w:val="24"/>
              </w:rPr>
              <w:t>投标响应内容</w:t>
            </w:r>
          </w:p>
        </w:tc>
        <w:tc>
          <w:tcPr>
            <w:tcW w:w="1805" w:type="dxa"/>
            <w:vAlign w:val="center"/>
          </w:tcPr>
          <w:p>
            <w:pPr>
              <w:adjustRightInd w:val="0"/>
              <w:snapToGrid w:val="0"/>
              <w:jc w:val="center"/>
              <w:rPr>
                <w:rFonts w:ascii="仿宋" w:hAnsi="仿宋" w:eastAsia="仿宋" w:cs="仿宋_GB2312"/>
                <w:color w:val="000000"/>
                <w:sz w:val="24"/>
              </w:rPr>
            </w:pPr>
            <w:r>
              <w:rPr>
                <w:rFonts w:hint="eastAsia" w:ascii="仿宋" w:hAnsi="仿宋" w:eastAsia="仿宋" w:cs="仿宋_GB2312"/>
                <w:color w:val="000000"/>
                <w:sz w:val="24"/>
              </w:rPr>
              <w:t>偏离情况</w:t>
            </w:r>
          </w:p>
        </w:tc>
        <w:tc>
          <w:tcPr>
            <w:tcW w:w="971" w:type="dxa"/>
            <w:vAlign w:val="center"/>
          </w:tcPr>
          <w:p>
            <w:pPr>
              <w:adjustRightInd w:val="0"/>
              <w:snapToGrid w:val="0"/>
              <w:jc w:val="center"/>
              <w:rPr>
                <w:rFonts w:ascii="仿宋" w:hAnsi="仿宋" w:eastAsia="仿宋" w:cs="仿宋_GB2312"/>
                <w:color w:val="000000"/>
                <w:sz w:val="24"/>
              </w:rPr>
            </w:pPr>
            <w:r>
              <w:rPr>
                <w:rFonts w:hint="eastAsia" w:ascii="仿宋" w:hAnsi="仿宋" w:eastAsia="仿宋" w:cs="仿宋_GB2312"/>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vAlign w:val="center"/>
          </w:tcPr>
          <w:p>
            <w:pPr>
              <w:adjustRightInd w:val="0"/>
              <w:snapToGrid w:val="0"/>
              <w:spacing w:line="540" w:lineRule="exact"/>
              <w:jc w:val="center"/>
              <w:rPr>
                <w:rFonts w:ascii="仿宋" w:hAnsi="仿宋" w:eastAsia="仿宋" w:cs="仿宋_GB2312"/>
                <w:color w:val="000000"/>
                <w:sz w:val="24"/>
              </w:rPr>
            </w:pPr>
          </w:p>
        </w:tc>
        <w:tc>
          <w:tcPr>
            <w:tcW w:w="1740" w:type="dxa"/>
            <w:vAlign w:val="center"/>
          </w:tcPr>
          <w:p>
            <w:pPr>
              <w:adjustRightInd w:val="0"/>
              <w:snapToGrid w:val="0"/>
              <w:spacing w:line="540" w:lineRule="exact"/>
              <w:jc w:val="center"/>
              <w:rPr>
                <w:rFonts w:ascii="仿宋" w:hAnsi="仿宋" w:eastAsia="仿宋" w:cs="仿宋_GB2312"/>
                <w:color w:val="000000"/>
                <w:sz w:val="24"/>
              </w:rPr>
            </w:pPr>
          </w:p>
        </w:tc>
        <w:tc>
          <w:tcPr>
            <w:tcW w:w="1900" w:type="dxa"/>
            <w:vAlign w:val="center"/>
          </w:tcPr>
          <w:p>
            <w:pPr>
              <w:adjustRightInd w:val="0"/>
              <w:snapToGrid w:val="0"/>
              <w:spacing w:line="540" w:lineRule="exact"/>
              <w:jc w:val="center"/>
              <w:rPr>
                <w:rFonts w:ascii="仿宋" w:hAnsi="仿宋" w:eastAsia="仿宋" w:cs="仿宋_GB2312"/>
                <w:color w:val="000000"/>
                <w:sz w:val="24"/>
              </w:rPr>
            </w:pPr>
          </w:p>
        </w:tc>
        <w:tc>
          <w:tcPr>
            <w:tcW w:w="2046" w:type="dxa"/>
            <w:vAlign w:val="center"/>
          </w:tcPr>
          <w:p>
            <w:pPr>
              <w:adjustRightInd w:val="0"/>
              <w:snapToGrid w:val="0"/>
              <w:spacing w:line="540" w:lineRule="exact"/>
              <w:jc w:val="center"/>
              <w:rPr>
                <w:rFonts w:ascii="仿宋" w:hAnsi="仿宋" w:eastAsia="仿宋" w:cs="仿宋_GB2312"/>
                <w:color w:val="000000"/>
                <w:sz w:val="24"/>
              </w:rPr>
            </w:pPr>
          </w:p>
        </w:tc>
        <w:tc>
          <w:tcPr>
            <w:tcW w:w="1805" w:type="dxa"/>
            <w:vAlign w:val="center"/>
          </w:tcPr>
          <w:p>
            <w:pPr>
              <w:adjustRightInd w:val="0"/>
              <w:snapToGrid w:val="0"/>
              <w:spacing w:line="540" w:lineRule="exact"/>
              <w:jc w:val="center"/>
              <w:rPr>
                <w:rFonts w:ascii="仿宋" w:hAnsi="仿宋" w:eastAsia="仿宋" w:cs="仿宋_GB2312"/>
                <w:color w:val="000000"/>
                <w:sz w:val="24"/>
              </w:rPr>
            </w:pPr>
          </w:p>
        </w:tc>
        <w:tc>
          <w:tcPr>
            <w:tcW w:w="971" w:type="dxa"/>
            <w:vAlign w:val="center"/>
          </w:tcPr>
          <w:p>
            <w:pPr>
              <w:adjustRightInd w:val="0"/>
              <w:snapToGrid w:val="0"/>
              <w:spacing w:line="540" w:lineRule="exact"/>
              <w:jc w:val="center"/>
              <w:rPr>
                <w:rFonts w:ascii="仿宋" w:hAnsi="仿宋" w:eastAsia="仿宋"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vAlign w:val="center"/>
          </w:tcPr>
          <w:p>
            <w:pPr>
              <w:adjustRightInd w:val="0"/>
              <w:snapToGrid w:val="0"/>
              <w:spacing w:line="540" w:lineRule="exact"/>
              <w:jc w:val="center"/>
              <w:rPr>
                <w:rFonts w:ascii="仿宋" w:hAnsi="仿宋" w:eastAsia="仿宋" w:cs="仿宋_GB2312"/>
                <w:color w:val="000000"/>
                <w:sz w:val="24"/>
              </w:rPr>
            </w:pPr>
          </w:p>
        </w:tc>
        <w:tc>
          <w:tcPr>
            <w:tcW w:w="1740" w:type="dxa"/>
            <w:vAlign w:val="center"/>
          </w:tcPr>
          <w:p>
            <w:pPr>
              <w:adjustRightInd w:val="0"/>
              <w:snapToGrid w:val="0"/>
              <w:spacing w:line="540" w:lineRule="exact"/>
              <w:jc w:val="center"/>
              <w:rPr>
                <w:rFonts w:ascii="仿宋" w:hAnsi="仿宋" w:eastAsia="仿宋" w:cs="仿宋_GB2312"/>
                <w:color w:val="000000"/>
                <w:sz w:val="24"/>
              </w:rPr>
            </w:pPr>
          </w:p>
        </w:tc>
        <w:tc>
          <w:tcPr>
            <w:tcW w:w="1900" w:type="dxa"/>
            <w:vAlign w:val="center"/>
          </w:tcPr>
          <w:p>
            <w:pPr>
              <w:adjustRightInd w:val="0"/>
              <w:snapToGrid w:val="0"/>
              <w:spacing w:line="540" w:lineRule="exact"/>
              <w:jc w:val="center"/>
              <w:rPr>
                <w:rFonts w:ascii="仿宋" w:hAnsi="仿宋" w:eastAsia="仿宋" w:cs="仿宋_GB2312"/>
                <w:color w:val="000000"/>
                <w:sz w:val="24"/>
              </w:rPr>
            </w:pPr>
          </w:p>
        </w:tc>
        <w:tc>
          <w:tcPr>
            <w:tcW w:w="2046" w:type="dxa"/>
            <w:vAlign w:val="center"/>
          </w:tcPr>
          <w:p>
            <w:pPr>
              <w:adjustRightInd w:val="0"/>
              <w:snapToGrid w:val="0"/>
              <w:spacing w:line="540" w:lineRule="exact"/>
              <w:jc w:val="center"/>
              <w:rPr>
                <w:rFonts w:ascii="仿宋" w:hAnsi="仿宋" w:eastAsia="仿宋" w:cs="仿宋_GB2312"/>
                <w:color w:val="000000"/>
                <w:sz w:val="24"/>
              </w:rPr>
            </w:pPr>
          </w:p>
        </w:tc>
        <w:tc>
          <w:tcPr>
            <w:tcW w:w="1805" w:type="dxa"/>
            <w:vAlign w:val="center"/>
          </w:tcPr>
          <w:p>
            <w:pPr>
              <w:adjustRightInd w:val="0"/>
              <w:snapToGrid w:val="0"/>
              <w:spacing w:line="540" w:lineRule="exact"/>
              <w:jc w:val="center"/>
              <w:rPr>
                <w:rFonts w:ascii="仿宋" w:hAnsi="仿宋" w:eastAsia="仿宋" w:cs="仿宋_GB2312"/>
                <w:color w:val="000000"/>
                <w:sz w:val="24"/>
              </w:rPr>
            </w:pPr>
          </w:p>
        </w:tc>
        <w:tc>
          <w:tcPr>
            <w:tcW w:w="971" w:type="dxa"/>
            <w:vAlign w:val="center"/>
          </w:tcPr>
          <w:p>
            <w:pPr>
              <w:adjustRightInd w:val="0"/>
              <w:snapToGrid w:val="0"/>
              <w:spacing w:line="540" w:lineRule="exact"/>
              <w:jc w:val="center"/>
              <w:rPr>
                <w:rFonts w:ascii="仿宋" w:hAnsi="仿宋" w:eastAsia="仿宋" w:cs="仿宋_GB2312"/>
                <w:color w:val="000000"/>
                <w:sz w:val="24"/>
              </w:rPr>
            </w:pPr>
          </w:p>
        </w:tc>
      </w:tr>
    </w:tbl>
    <w:p>
      <w:pPr>
        <w:tabs>
          <w:tab w:val="left" w:pos="1800"/>
          <w:tab w:val="left" w:pos="5580"/>
        </w:tabs>
        <w:snapToGrid w:val="0"/>
        <w:spacing w:line="540" w:lineRule="exact"/>
        <w:ind w:firstLine="360" w:firstLineChars="150"/>
        <w:jc w:val="left"/>
        <w:rPr>
          <w:rFonts w:ascii="仿宋" w:hAnsi="仿宋" w:eastAsia="仿宋" w:cs="仿宋_GB2312"/>
          <w:color w:val="000000"/>
          <w:sz w:val="24"/>
          <w:u w:val="single"/>
        </w:rPr>
      </w:pPr>
    </w:p>
    <w:p>
      <w:pPr>
        <w:tabs>
          <w:tab w:val="left" w:pos="1800"/>
          <w:tab w:val="left" w:pos="5580"/>
        </w:tabs>
        <w:snapToGrid w:val="0"/>
        <w:spacing w:line="540" w:lineRule="exact"/>
        <w:jc w:val="left"/>
        <w:rPr>
          <w:rFonts w:ascii="仿宋" w:hAnsi="仿宋" w:eastAsia="仿宋" w:cs="仿宋_GB2312"/>
          <w:color w:val="000000"/>
          <w:sz w:val="24"/>
        </w:rPr>
      </w:pPr>
      <w:r>
        <w:rPr>
          <w:rFonts w:hint="eastAsia" w:ascii="仿宋" w:hAnsi="仿宋" w:eastAsia="仿宋" w:cs="仿宋_GB2312"/>
          <w:color w:val="000000"/>
          <w:sz w:val="24"/>
        </w:rPr>
        <w:t>注：</w:t>
      </w:r>
    </w:p>
    <w:p>
      <w:pPr>
        <w:tabs>
          <w:tab w:val="left" w:pos="1800"/>
          <w:tab w:val="left" w:pos="5580"/>
        </w:tabs>
        <w:snapToGrid w:val="0"/>
        <w:spacing w:line="540" w:lineRule="exact"/>
        <w:jc w:val="left"/>
        <w:rPr>
          <w:rFonts w:ascii="仿宋" w:hAnsi="仿宋" w:eastAsia="仿宋" w:cs="仿宋_GB2312"/>
          <w:sz w:val="24"/>
        </w:rPr>
      </w:pPr>
      <w:r>
        <w:rPr>
          <w:rFonts w:hint="eastAsia" w:ascii="仿宋" w:hAnsi="仿宋" w:eastAsia="仿宋" w:cs="仿宋_GB2312"/>
          <w:sz w:val="24"/>
        </w:rPr>
        <w:t>1. 投标人应对招标文件第</w:t>
      </w:r>
      <w:r>
        <w:rPr>
          <w:rFonts w:hint="eastAsia" w:ascii="仿宋" w:hAnsi="仿宋" w:eastAsia="仿宋" w:cs="仿宋_GB2312"/>
          <w:sz w:val="24"/>
          <w:lang w:eastAsia="zh-CN"/>
        </w:rPr>
        <w:t>二</w:t>
      </w:r>
      <w:r>
        <w:rPr>
          <w:rFonts w:hint="eastAsia" w:ascii="仿宋" w:hAnsi="仿宋" w:eastAsia="仿宋" w:cs="仿宋_GB2312"/>
          <w:sz w:val="24"/>
        </w:rPr>
        <w:t>章采购需求的内容给予逐条响应，以投标产品和服务所能达到的内容予以填写，而不应复印招标的技术要求作为响应内容，有具体参数的应填写具体参数。</w:t>
      </w:r>
    </w:p>
    <w:p>
      <w:pPr>
        <w:tabs>
          <w:tab w:val="left" w:pos="1800"/>
          <w:tab w:val="left" w:pos="5580"/>
        </w:tabs>
        <w:snapToGrid w:val="0"/>
        <w:spacing w:line="540" w:lineRule="exact"/>
        <w:jc w:val="left"/>
        <w:rPr>
          <w:rFonts w:ascii="仿宋" w:hAnsi="仿宋" w:eastAsia="仿宋" w:cs="仿宋_GB2312"/>
          <w:sz w:val="24"/>
        </w:rPr>
      </w:pPr>
      <w:r>
        <w:rPr>
          <w:rFonts w:hint="eastAsia" w:ascii="仿宋" w:hAnsi="仿宋" w:eastAsia="仿宋" w:cs="仿宋_GB2312"/>
          <w:sz w:val="24"/>
        </w:rPr>
        <w:t>2. 在本表中未对招标文件第</w:t>
      </w:r>
      <w:r>
        <w:rPr>
          <w:rFonts w:hint="eastAsia" w:ascii="仿宋" w:hAnsi="仿宋" w:eastAsia="仿宋" w:cs="仿宋_GB2312"/>
          <w:sz w:val="24"/>
          <w:lang w:eastAsia="zh-CN"/>
        </w:rPr>
        <w:t>二</w:t>
      </w:r>
      <w:r>
        <w:rPr>
          <w:rFonts w:hint="eastAsia" w:ascii="仿宋" w:hAnsi="仿宋" w:eastAsia="仿宋" w:cs="仿宋_GB2312"/>
          <w:sz w:val="24"/>
        </w:rPr>
        <w:t>章采购需求的内容给予逐条响应的视为没有</w:t>
      </w:r>
      <w:r>
        <w:rPr>
          <w:rFonts w:hint="eastAsia" w:ascii="仿宋" w:hAnsi="仿宋" w:eastAsia="仿宋" w:cs="仿宋_GB2312"/>
          <w:kern w:val="0"/>
          <w:sz w:val="24"/>
        </w:rPr>
        <w:t>实质上响应招标文件的要求，</w:t>
      </w:r>
      <w:r>
        <w:rPr>
          <w:rFonts w:hint="eastAsia" w:ascii="仿宋" w:hAnsi="仿宋" w:eastAsia="仿宋" w:cs="仿宋_GB2312"/>
          <w:b/>
          <w:kern w:val="0"/>
          <w:sz w:val="24"/>
        </w:rPr>
        <w:t>投标无效。</w:t>
      </w:r>
    </w:p>
    <w:p>
      <w:pPr>
        <w:tabs>
          <w:tab w:val="left" w:pos="1800"/>
          <w:tab w:val="left" w:pos="5580"/>
        </w:tabs>
        <w:snapToGrid w:val="0"/>
        <w:spacing w:line="540" w:lineRule="exact"/>
        <w:jc w:val="left"/>
        <w:rPr>
          <w:rFonts w:ascii="仿宋" w:hAnsi="仿宋" w:eastAsia="仿宋" w:cs="仿宋_GB2312"/>
          <w:sz w:val="24"/>
        </w:rPr>
      </w:pPr>
      <w:r>
        <w:rPr>
          <w:rFonts w:hint="eastAsia" w:ascii="仿宋" w:hAnsi="仿宋" w:eastAsia="仿宋" w:cs="仿宋_GB2312"/>
          <w:sz w:val="24"/>
        </w:rPr>
        <w:t>3. 投标人应按照招标文件第</w:t>
      </w:r>
      <w:r>
        <w:rPr>
          <w:rFonts w:hint="eastAsia" w:ascii="仿宋" w:hAnsi="仿宋" w:eastAsia="仿宋" w:cs="仿宋_GB2312"/>
          <w:sz w:val="24"/>
          <w:lang w:eastAsia="zh-CN"/>
        </w:rPr>
        <w:t>二</w:t>
      </w:r>
      <w:r>
        <w:rPr>
          <w:rFonts w:hint="eastAsia" w:ascii="仿宋" w:hAnsi="仿宋" w:eastAsia="仿宋" w:cs="仿宋_GB2312"/>
          <w:sz w:val="24"/>
        </w:rPr>
        <w:t>章采购需求中要求提供投标产品技术支持资料（或证明材料），并在采购需求响应及偏离表中给予文件名称、所处投标文件页码或位置等必要说明。</w:t>
      </w:r>
    </w:p>
    <w:p>
      <w:pPr>
        <w:tabs>
          <w:tab w:val="left" w:pos="1800"/>
          <w:tab w:val="left" w:pos="5580"/>
        </w:tabs>
        <w:snapToGrid w:val="0"/>
        <w:spacing w:line="540" w:lineRule="exact"/>
        <w:jc w:val="left"/>
        <w:rPr>
          <w:rFonts w:ascii="仿宋" w:hAnsi="仿宋" w:eastAsia="仿宋" w:cs="仿宋_GB2312"/>
          <w:color w:val="000000"/>
          <w:sz w:val="24"/>
        </w:rPr>
      </w:pPr>
      <w:r>
        <w:rPr>
          <w:rFonts w:hint="eastAsia" w:ascii="仿宋" w:hAnsi="仿宋" w:eastAsia="仿宋" w:cs="仿宋_GB2312"/>
          <w:sz w:val="24"/>
        </w:rPr>
        <w:t>4.“偏离情况”列应</w:t>
      </w:r>
      <w:r>
        <w:rPr>
          <w:rFonts w:hint="eastAsia" w:ascii="仿宋" w:hAnsi="仿宋" w:eastAsia="仿宋" w:cs="仿宋_GB2312"/>
          <w:color w:val="000000"/>
          <w:sz w:val="24"/>
        </w:rPr>
        <w:t>据实</w:t>
      </w:r>
      <w:r>
        <w:rPr>
          <w:rFonts w:hint="eastAsia" w:ascii="仿宋" w:hAnsi="仿宋" w:eastAsia="仿宋" w:cs="仿宋_GB2312"/>
          <w:sz w:val="24"/>
        </w:rPr>
        <w:t>填写“正偏离”、“无偏离”或“负偏离”。</w:t>
      </w:r>
    </w:p>
    <w:p>
      <w:pPr>
        <w:autoSpaceDE w:val="0"/>
        <w:autoSpaceDN w:val="0"/>
        <w:adjustRightInd w:val="0"/>
        <w:snapToGrid w:val="0"/>
        <w:spacing w:line="540" w:lineRule="exact"/>
        <w:rPr>
          <w:rFonts w:ascii="仿宋" w:hAnsi="仿宋" w:eastAsia="仿宋" w:cs="仿宋_GB2312"/>
          <w:color w:val="000000"/>
          <w:sz w:val="24"/>
          <w:lang w:val="zh-CN"/>
        </w:rPr>
      </w:pPr>
      <w:r>
        <w:rPr>
          <w:rFonts w:hint="eastAsia" w:ascii="仿宋" w:hAnsi="仿宋" w:eastAsia="仿宋" w:cs="仿宋_GB2312"/>
          <w:color w:val="000000"/>
          <w:sz w:val="24"/>
          <w:lang w:val="zh-CN"/>
        </w:rPr>
        <w:t xml:space="preserve">               </w:t>
      </w:r>
    </w:p>
    <w:p>
      <w:pPr>
        <w:autoSpaceDE w:val="0"/>
        <w:autoSpaceDN w:val="0"/>
        <w:adjustRightInd w:val="0"/>
        <w:snapToGrid w:val="0"/>
        <w:spacing w:line="540" w:lineRule="exact"/>
        <w:rPr>
          <w:rFonts w:ascii="仿宋" w:hAnsi="仿宋" w:eastAsia="仿宋" w:cs="仿宋_GB2312"/>
          <w:color w:val="000000"/>
          <w:sz w:val="24"/>
          <w:lang w:val="zh-CN"/>
        </w:rPr>
      </w:pPr>
      <w:r>
        <w:rPr>
          <w:rFonts w:hint="eastAsia" w:ascii="仿宋" w:hAnsi="仿宋" w:eastAsia="仿宋" w:cs="仿宋_GB2312"/>
          <w:color w:val="000000"/>
          <w:sz w:val="24"/>
        </w:rPr>
        <w:t>投标人名称（加盖公章）</w:t>
      </w:r>
      <w:r>
        <w:rPr>
          <w:rFonts w:hint="eastAsia" w:ascii="仿宋" w:hAnsi="仿宋" w:eastAsia="仿宋" w:cs="仿宋_GB2312"/>
          <w:color w:val="000000"/>
          <w:sz w:val="24"/>
          <w:lang w:val="zh-CN"/>
        </w:rPr>
        <w:t>：    ____________</w:t>
      </w:r>
    </w:p>
    <w:p>
      <w:pPr>
        <w:autoSpaceDE w:val="0"/>
        <w:autoSpaceDN w:val="0"/>
        <w:adjustRightInd w:val="0"/>
        <w:snapToGrid w:val="0"/>
        <w:spacing w:line="540" w:lineRule="exact"/>
        <w:rPr>
          <w:rFonts w:ascii="仿宋" w:hAnsi="仿宋" w:eastAsia="仿宋" w:cs="仿宋_GB2312"/>
          <w:color w:val="000000"/>
          <w:sz w:val="24"/>
        </w:rPr>
      </w:pPr>
    </w:p>
    <w:p>
      <w:pPr>
        <w:autoSpaceDE w:val="0"/>
        <w:autoSpaceDN w:val="0"/>
        <w:adjustRightInd w:val="0"/>
        <w:snapToGrid w:val="0"/>
        <w:spacing w:line="540" w:lineRule="exact"/>
        <w:rPr>
          <w:rFonts w:ascii="仿宋" w:hAnsi="仿宋" w:eastAsia="仿宋" w:cs="仿宋_GB2312"/>
          <w:color w:val="000000"/>
          <w:sz w:val="24"/>
          <w:lang w:val="zh-CN"/>
        </w:rPr>
      </w:pPr>
      <w:r>
        <w:rPr>
          <w:rFonts w:hint="eastAsia" w:ascii="仿宋" w:hAnsi="仿宋" w:eastAsia="仿宋" w:cs="仿宋_GB2312"/>
          <w:color w:val="000000"/>
          <w:sz w:val="24"/>
        </w:rPr>
        <w:t xml:space="preserve">日期：_____年______月______日   </w:t>
      </w:r>
    </w:p>
    <w:p>
      <w:pPr>
        <w:pStyle w:val="17"/>
        <w:numPr>
          <w:ilvl w:val="0"/>
          <w:numId w:val="0"/>
        </w:numPr>
        <w:tabs>
          <w:tab w:val="left" w:pos="7980"/>
        </w:tabs>
        <w:snapToGrid/>
        <w:spacing w:before="156" w:beforeLines="50" w:line="360" w:lineRule="auto"/>
        <w:ind w:leftChars="0"/>
        <w:rPr>
          <w:rFonts w:hint="eastAsia" w:ascii="微软雅黑" w:hAnsi="微软雅黑" w:eastAsia="微软雅黑" w:cs="微软雅黑"/>
          <w:b/>
        </w:rPr>
      </w:pPr>
      <w:r>
        <w:rPr>
          <w:rFonts w:hint="eastAsia" w:ascii="仿宋" w:hAnsi="仿宋" w:eastAsia="仿宋" w:cs="仿宋_GB2312"/>
          <w:color w:val="000000"/>
          <w:sz w:val="28"/>
          <w:szCs w:val="28"/>
        </w:rPr>
        <w:br w:type="page"/>
      </w:r>
    </w:p>
    <w:p>
      <w:pPr>
        <w:pStyle w:val="17"/>
        <w:tabs>
          <w:tab w:val="left" w:pos="7980"/>
        </w:tabs>
        <w:snapToGrid/>
        <w:spacing w:before="156" w:beforeLines="50" w:line="360" w:lineRule="auto"/>
        <w:ind w:left="0" w:leftChars="0" w:firstLine="0" w:firstLineChars="0"/>
        <w:rPr>
          <w:rFonts w:hint="default" w:ascii="微软雅黑" w:hAnsi="微软雅黑" w:eastAsia="微软雅黑" w:cs="微软雅黑"/>
          <w:sz w:val="21"/>
          <w:szCs w:val="21"/>
          <w:lang w:val="en-US" w:eastAsia="zh-CN"/>
        </w:rPr>
      </w:pPr>
    </w:p>
    <w:p>
      <w:pPr>
        <w:pStyle w:val="17"/>
        <w:tabs>
          <w:tab w:val="left" w:pos="7980"/>
        </w:tabs>
        <w:snapToGrid/>
        <w:spacing w:before="156" w:beforeLines="50" w:line="360" w:lineRule="auto"/>
        <w:ind w:firstLine="0"/>
        <w:rPr>
          <w:rFonts w:ascii="微软雅黑" w:hAnsi="微软雅黑" w:eastAsia="微软雅黑" w:cs="微软雅黑"/>
          <w:b/>
        </w:rPr>
      </w:pPr>
      <w:r>
        <w:rPr>
          <w:rFonts w:hint="eastAsia" w:ascii="微软雅黑" w:hAnsi="微软雅黑" w:eastAsia="微软雅黑" w:cs="微软雅黑"/>
          <w:b/>
          <w:lang w:val="en-US" w:eastAsia="zh-CN"/>
        </w:rPr>
        <w:t>4</w:t>
      </w:r>
      <w:r>
        <w:rPr>
          <w:rFonts w:hint="eastAsia" w:ascii="微软雅黑" w:hAnsi="微软雅黑" w:eastAsia="微软雅黑" w:cs="微软雅黑"/>
          <w:b/>
        </w:rPr>
        <w:t>、其他：</w:t>
      </w:r>
    </w:p>
    <w:p>
      <w:pPr>
        <w:pStyle w:val="17"/>
        <w:tabs>
          <w:tab w:val="left" w:pos="7980"/>
        </w:tabs>
        <w:snapToGrid/>
        <w:spacing w:before="156" w:beforeLines="50" w:line="360" w:lineRule="auto"/>
        <w:ind w:firstLine="420" w:firstLineChars="200"/>
        <w:rPr>
          <w:rFonts w:ascii="微软雅黑" w:hAnsi="微软雅黑" w:eastAsia="微软雅黑" w:cs="微软雅黑"/>
          <w:sz w:val="21"/>
          <w:szCs w:val="21"/>
        </w:rPr>
      </w:pPr>
      <w:r>
        <w:rPr>
          <w:rFonts w:hint="eastAsia" w:ascii="微软雅黑" w:hAnsi="微软雅黑" w:eastAsia="微软雅黑" w:cs="微软雅黑"/>
          <w:sz w:val="21"/>
          <w:szCs w:val="21"/>
        </w:rPr>
        <w:t>其他可体现产品竞争力的文件。</w:t>
      </w:r>
    </w:p>
    <w:p>
      <w:pPr>
        <w:pStyle w:val="17"/>
        <w:tabs>
          <w:tab w:val="left" w:pos="7980"/>
        </w:tabs>
        <w:snapToGrid/>
        <w:spacing w:before="156" w:beforeLines="50" w:line="360" w:lineRule="auto"/>
        <w:ind w:firstLine="0"/>
        <w:rPr>
          <w:rFonts w:ascii="微软雅黑" w:hAnsi="微软雅黑" w:eastAsia="微软雅黑" w:cs="微软雅黑"/>
          <w:b/>
        </w:rPr>
      </w:pPr>
      <w:r>
        <w:rPr>
          <w:rFonts w:hint="eastAsia" w:ascii="微软雅黑" w:hAnsi="微软雅黑" w:eastAsia="微软雅黑" w:cs="微软雅黑"/>
          <w:b/>
          <w:lang w:val="en-US" w:eastAsia="zh-CN"/>
        </w:rPr>
        <w:t>5</w:t>
      </w:r>
      <w:r>
        <w:rPr>
          <w:rFonts w:hint="eastAsia" w:ascii="微软雅黑" w:hAnsi="微软雅黑" w:eastAsia="微软雅黑" w:cs="微软雅黑"/>
          <w:b/>
        </w:rPr>
        <w:t>、遴选文件数量：</w:t>
      </w:r>
    </w:p>
    <w:p>
      <w:pPr>
        <w:pStyle w:val="17"/>
        <w:tabs>
          <w:tab w:val="right" w:pos="9072"/>
        </w:tabs>
        <w:snapToGrid/>
        <w:spacing w:before="156" w:beforeLines="50" w:line="360" w:lineRule="auto"/>
        <w:ind w:firstLine="0"/>
        <w:rPr>
          <w:rFonts w:ascii="微软雅黑" w:hAnsi="微软雅黑" w:eastAsia="微软雅黑" w:cs="微软雅黑"/>
          <w:sz w:val="21"/>
          <w:szCs w:val="21"/>
        </w:rPr>
      </w:pPr>
      <w:r>
        <w:rPr>
          <w:rFonts w:hint="eastAsia" w:ascii="微软雅黑" w:hAnsi="微软雅黑" w:eastAsia="微软雅黑" w:cs="微软雅黑"/>
          <w:sz w:val="21"/>
          <w:szCs w:val="21"/>
        </w:rPr>
        <w:t>参与遴选文件一式四份，1份正本3份副本。同步提供扫描件以U盘形式提供。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A7DC22"/>
    <w:multiLevelType w:val="singleLevel"/>
    <w:tmpl w:val="A9A7DC22"/>
    <w:lvl w:ilvl="0" w:tentative="0">
      <w:start w:val="5"/>
      <w:numFmt w:val="decimal"/>
      <w:suff w:val="nothing"/>
      <w:lvlText w:val="（%1）"/>
      <w:lvlJc w:val="left"/>
    </w:lvl>
  </w:abstractNum>
  <w:abstractNum w:abstractNumId="1">
    <w:nsid w:val="14547E95"/>
    <w:multiLevelType w:val="multilevel"/>
    <w:tmpl w:val="14547E95"/>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6DC7419"/>
    <w:multiLevelType w:val="singleLevel"/>
    <w:tmpl w:val="16DC7419"/>
    <w:lvl w:ilvl="0" w:tentative="0">
      <w:start w:val="3"/>
      <w:numFmt w:val="decimal"/>
      <w:suff w:val="nothing"/>
      <w:lvlText w:val="%1、"/>
      <w:lvlJc w:val="left"/>
    </w:lvl>
  </w:abstractNum>
  <w:abstractNum w:abstractNumId="3">
    <w:nsid w:val="1732202D"/>
    <w:multiLevelType w:val="multilevel"/>
    <w:tmpl w:val="1732202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9C35087"/>
    <w:multiLevelType w:val="multilevel"/>
    <w:tmpl w:val="29C35087"/>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50D12246"/>
    <w:multiLevelType w:val="multilevel"/>
    <w:tmpl w:val="50D12246"/>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836668D"/>
    <w:multiLevelType w:val="multilevel"/>
    <w:tmpl w:val="5836668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9655887"/>
    <w:multiLevelType w:val="multilevel"/>
    <w:tmpl w:val="7965588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7"/>
  </w:num>
  <w:num w:numId="3">
    <w:abstractNumId w:val="5"/>
  </w:num>
  <w:num w:numId="4">
    <w:abstractNumId w:val="3"/>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6C7E61"/>
    <w:rsid w:val="0025734D"/>
    <w:rsid w:val="00581D1A"/>
    <w:rsid w:val="00641030"/>
    <w:rsid w:val="006A67BD"/>
    <w:rsid w:val="006B06E6"/>
    <w:rsid w:val="007917E1"/>
    <w:rsid w:val="00824354"/>
    <w:rsid w:val="00836C75"/>
    <w:rsid w:val="00A34398"/>
    <w:rsid w:val="00BC2147"/>
    <w:rsid w:val="00E34175"/>
    <w:rsid w:val="00F5091F"/>
    <w:rsid w:val="019E3125"/>
    <w:rsid w:val="01B16AD4"/>
    <w:rsid w:val="01FC7E4D"/>
    <w:rsid w:val="0222008D"/>
    <w:rsid w:val="02543D5F"/>
    <w:rsid w:val="02BF340E"/>
    <w:rsid w:val="02C62D99"/>
    <w:rsid w:val="031E1229"/>
    <w:rsid w:val="035D4591"/>
    <w:rsid w:val="039B4076"/>
    <w:rsid w:val="03B84CAB"/>
    <w:rsid w:val="03BB5C30"/>
    <w:rsid w:val="0457222B"/>
    <w:rsid w:val="053A3B22"/>
    <w:rsid w:val="05972BB7"/>
    <w:rsid w:val="05FE70E3"/>
    <w:rsid w:val="068B7FCC"/>
    <w:rsid w:val="06B47B0B"/>
    <w:rsid w:val="06C47DA6"/>
    <w:rsid w:val="06C55827"/>
    <w:rsid w:val="07115CA7"/>
    <w:rsid w:val="077211C3"/>
    <w:rsid w:val="078A686A"/>
    <w:rsid w:val="07975B80"/>
    <w:rsid w:val="07AD5B25"/>
    <w:rsid w:val="07F7141C"/>
    <w:rsid w:val="084E78AD"/>
    <w:rsid w:val="089A1F2A"/>
    <w:rsid w:val="08AF0BCB"/>
    <w:rsid w:val="08D40E0B"/>
    <w:rsid w:val="09750994"/>
    <w:rsid w:val="098E3ABC"/>
    <w:rsid w:val="098F5CBA"/>
    <w:rsid w:val="09EA50CF"/>
    <w:rsid w:val="09EE1557"/>
    <w:rsid w:val="0A1C6BA3"/>
    <w:rsid w:val="0A2729B6"/>
    <w:rsid w:val="0AC32834"/>
    <w:rsid w:val="0AEE6EFC"/>
    <w:rsid w:val="0B1A3243"/>
    <w:rsid w:val="0B285DDC"/>
    <w:rsid w:val="0B3A7A6C"/>
    <w:rsid w:val="0B8C227D"/>
    <w:rsid w:val="0B8F6A85"/>
    <w:rsid w:val="0BB856CB"/>
    <w:rsid w:val="0BDA7DFE"/>
    <w:rsid w:val="0C1237DB"/>
    <w:rsid w:val="0C1B40EA"/>
    <w:rsid w:val="0C6D0671"/>
    <w:rsid w:val="0C9927BA"/>
    <w:rsid w:val="0D040924"/>
    <w:rsid w:val="0DA32C6D"/>
    <w:rsid w:val="0DA770F4"/>
    <w:rsid w:val="0DCD0160"/>
    <w:rsid w:val="0E3521DC"/>
    <w:rsid w:val="0E4E4E1E"/>
    <w:rsid w:val="0E9A7981"/>
    <w:rsid w:val="0F27086A"/>
    <w:rsid w:val="0F370B05"/>
    <w:rsid w:val="0F491DCF"/>
    <w:rsid w:val="10196EF9"/>
    <w:rsid w:val="101B23FC"/>
    <w:rsid w:val="10D33DA9"/>
    <w:rsid w:val="111C7A20"/>
    <w:rsid w:val="112812B5"/>
    <w:rsid w:val="11EC0FF2"/>
    <w:rsid w:val="11F34201"/>
    <w:rsid w:val="123A6B73"/>
    <w:rsid w:val="12781EDB"/>
    <w:rsid w:val="12892176"/>
    <w:rsid w:val="12BB03C6"/>
    <w:rsid w:val="13267A75"/>
    <w:rsid w:val="137C0484"/>
    <w:rsid w:val="13887B1A"/>
    <w:rsid w:val="13EF07C3"/>
    <w:rsid w:val="140219E2"/>
    <w:rsid w:val="14135500"/>
    <w:rsid w:val="142F5D29"/>
    <w:rsid w:val="1469268B"/>
    <w:rsid w:val="148B0641"/>
    <w:rsid w:val="14B20501"/>
    <w:rsid w:val="15200B35"/>
    <w:rsid w:val="15460D75"/>
    <w:rsid w:val="154F3C02"/>
    <w:rsid w:val="15517106"/>
    <w:rsid w:val="15AC3F9C"/>
    <w:rsid w:val="162D3E06"/>
    <w:rsid w:val="169D4BA9"/>
    <w:rsid w:val="16B02545"/>
    <w:rsid w:val="16F861BD"/>
    <w:rsid w:val="16FF13CB"/>
    <w:rsid w:val="17753588"/>
    <w:rsid w:val="182D2D36"/>
    <w:rsid w:val="18B57797"/>
    <w:rsid w:val="18BA3C1F"/>
    <w:rsid w:val="18E67F66"/>
    <w:rsid w:val="190A6EA1"/>
    <w:rsid w:val="1942287E"/>
    <w:rsid w:val="196562B6"/>
    <w:rsid w:val="19CC27E2"/>
    <w:rsid w:val="1AB52760"/>
    <w:rsid w:val="1AD10DB0"/>
    <w:rsid w:val="1B003AD9"/>
    <w:rsid w:val="1B1A4683"/>
    <w:rsid w:val="1B485552"/>
    <w:rsid w:val="1B996256"/>
    <w:rsid w:val="1BA445E7"/>
    <w:rsid w:val="1BA67AEA"/>
    <w:rsid w:val="1C9D47FF"/>
    <w:rsid w:val="1CEE3304"/>
    <w:rsid w:val="1D2B3169"/>
    <w:rsid w:val="1DA62AB3"/>
    <w:rsid w:val="1DAB6F3A"/>
    <w:rsid w:val="1E5F2261"/>
    <w:rsid w:val="1F3025BA"/>
    <w:rsid w:val="204565E4"/>
    <w:rsid w:val="20525F14"/>
    <w:rsid w:val="208E24F6"/>
    <w:rsid w:val="20B46EB2"/>
    <w:rsid w:val="217B0E7A"/>
    <w:rsid w:val="21E7182E"/>
    <w:rsid w:val="22BF3A8F"/>
    <w:rsid w:val="233911DB"/>
    <w:rsid w:val="238E2E63"/>
    <w:rsid w:val="23F22B88"/>
    <w:rsid w:val="245E7CB8"/>
    <w:rsid w:val="24821172"/>
    <w:rsid w:val="24C663E3"/>
    <w:rsid w:val="24D86AA6"/>
    <w:rsid w:val="25525FC7"/>
    <w:rsid w:val="25DD5BAB"/>
    <w:rsid w:val="261A5A10"/>
    <w:rsid w:val="26C01A21"/>
    <w:rsid w:val="273E5B72"/>
    <w:rsid w:val="277549C7"/>
    <w:rsid w:val="2826006E"/>
    <w:rsid w:val="28696559"/>
    <w:rsid w:val="286A785E"/>
    <w:rsid w:val="288A2311"/>
    <w:rsid w:val="29703508"/>
    <w:rsid w:val="297C731B"/>
    <w:rsid w:val="29986C4B"/>
    <w:rsid w:val="2A105610"/>
    <w:rsid w:val="2A2158AB"/>
    <w:rsid w:val="2A847B4D"/>
    <w:rsid w:val="2B575927"/>
    <w:rsid w:val="2B660140"/>
    <w:rsid w:val="2C3B141D"/>
    <w:rsid w:val="2C5B7754"/>
    <w:rsid w:val="2CBB2FF0"/>
    <w:rsid w:val="2CC203FD"/>
    <w:rsid w:val="2D2626A0"/>
    <w:rsid w:val="2D9716DA"/>
    <w:rsid w:val="2DC434A2"/>
    <w:rsid w:val="2E1F28B7"/>
    <w:rsid w:val="2F575E37"/>
    <w:rsid w:val="3056100C"/>
    <w:rsid w:val="30665FF5"/>
    <w:rsid w:val="3076628F"/>
    <w:rsid w:val="30BD6A03"/>
    <w:rsid w:val="30F46B5D"/>
    <w:rsid w:val="310A0D01"/>
    <w:rsid w:val="310E5509"/>
    <w:rsid w:val="317B5B3D"/>
    <w:rsid w:val="31AC410D"/>
    <w:rsid w:val="31D461CB"/>
    <w:rsid w:val="31F36A80"/>
    <w:rsid w:val="337323F4"/>
    <w:rsid w:val="3380750C"/>
    <w:rsid w:val="33851415"/>
    <w:rsid w:val="33AB5DD1"/>
    <w:rsid w:val="340267E0"/>
    <w:rsid w:val="343D3142"/>
    <w:rsid w:val="345C55CD"/>
    <w:rsid w:val="35037688"/>
    <w:rsid w:val="3553070C"/>
    <w:rsid w:val="35AE1D1F"/>
    <w:rsid w:val="35FC56A1"/>
    <w:rsid w:val="36732D61"/>
    <w:rsid w:val="36FD2CC6"/>
    <w:rsid w:val="3720417F"/>
    <w:rsid w:val="37822F1F"/>
    <w:rsid w:val="37903995"/>
    <w:rsid w:val="39100CEA"/>
    <w:rsid w:val="392C0D5C"/>
    <w:rsid w:val="39703A03"/>
    <w:rsid w:val="39A828A4"/>
    <w:rsid w:val="39E5018A"/>
    <w:rsid w:val="39F913A9"/>
    <w:rsid w:val="3A1C2863"/>
    <w:rsid w:val="3B82342F"/>
    <w:rsid w:val="3C3A2BDD"/>
    <w:rsid w:val="3C712D37"/>
    <w:rsid w:val="3CFC4E99"/>
    <w:rsid w:val="3DCC1CEF"/>
    <w:rsid w:val="3DFE7834"/>
    <w:rsid w:val="3E1768EB"/>
    <w:rsid w:val="3E4C1343"/>
    <w:rsid w:val="3E4E4846"/>
    <w:rsid w:val="3E800899"/>
    <w:rsid w:val="3E856F1F"/>
    <w:rsid w:val="3EDB1EAC"/>
    <w:rsid w:val="3F14330B"/>
    <w:rsid w:val="3F3C0C4C"/>
    <w:rsid w:val="3F78302F"/>
    <w:rsid w:val="3F9D1F6A"/>
    <w:rsid w:val="3FA00970"/>
    <w:rsid w:val="40050695"/>
    <w:rsid w:val="40612FAD"/>
    <w:rsid w:val="40C0464B"/>
    <w:rsid w:val="40CD467D"/>
    <w:rsid w:val="40D24565"/>
    <w:rsid w:val="40F94425"/>
    <w:rsid w:val="41181309"/>
    <w:rsid w:val="418F3A1F"/>
    <w:rsid w:val="41A0173B"/>
    <w:rsid w:val="423676B0"/>
    <w:rsid w:val="425A0B69"/>
    <w:rsid w:val="430424A3"/>
    <w:rsid w:val="432263B4"/>
    <w:rsid w:val="434929F0"/>
    <w:rsid w:val="438318D0"/>
    <w:rsid w:val="439F33FF"/>
    <w:rsid w:val="44AB2637"/>
    <w:rsid w:val="44BF70D9"/>
    <w:rsid w:val="44C125DD"/>
    <w:rsid w:val="44CD05ED"/>
    <w:rsid w:val="44F94935"/>
    <w:rsid w:val="450C3955"/>
    <w:rsid w:val="455E20DB"/>
    <w:rsid w:val="456705FE"/>
    <w:rsid w:val="468269BA"/>
    <w:rsid w:val="46BC111E"/>
    <w:rsid w:val="46F224F1"/>
    <w:rsid w:val="46F76979"/>
    <w:rsid w:val="47105324"/>
    <w:rsid w:val="47234345"/>
    <w:rsid w:val="47596A1D"/>
    <w:rsid w:val="47AA1CA0"/>
    <w:rsid w:val="47D927EF"/>
    <w:rsid w:val="482F1EF9"/>
    <w:rsid w:val="48F07DB8"/>
    <w:rsid w:val="49480447"/>
    <w:rsid w:val="49543519"/>
    <w:rsid w:val="498737AF"/>
    <w:rsid w:val="49E22BC4"/>
    <w:rsid w:val="49F46361"/>
    <w:rsid w:val="4A013479"/>
    <w:rsid w:val="4A225BAC"/>
    <w:rsid w:val="4A8C77D9"/>
    <w:rsid w:val="4AD81E57"/>
    <w:rsid w:val="4ADC40E1"/>
    <w:rsid w:val="4B547222"/>
    <w:rsid w:val="4C0B0F4F"/>
    <w:rsid w:val="4C791785"/>
    <w:rsid w:val="4C831E93"/>
    <w:rsid w:val="4C950EB3"/>
    <w:rsid w:val="4CBA7DEE"/>
    <w:rsid w:val="4D4579D2"/>
    <w:rsid w:val="4D6A2190"/>
    <w:rsid w:val="4D73501E"/>
    <w:rsid w:val="4DC515A5"/>
    <w:rsid w:val="4DD672C1"/>
    <w:rsid w:val="4DE465D7"/>
    <w:rsid w:val="4E2260BC"/>
    <w:rsid w:val="4E2A6D4B"/>
    <w:rsid w:val="4EBE17BD"/>
    <w:rsid w:val="4F0963B9"/>
    <w:rsid w:val="4F0D4DC0"/>
    <w:rsid w:val="4F1B40D5"/>
    <w:rsid w:val="4F311AFC"/>
    <w:rsid w:val="502A1D14"/>
    <w:rsid w:val="51160A18"/>
    <w:rsid w:val="51DD715C"/>
    <w:rsid w:val="52F34726"/>
    <w:rsid w:val="531639E1"/>
    <w:rsid w:val="5332420A"/>
    <w:rsid w:val="5347092C"/>
    <w:rsid w:val="5352473F"/>
    <w:rsid w:val="535321C1"/>
    <w:rsid w:val="5357444A"/>
    <w:rsid w:val="53B27FDC"/>
    <w:rsid w:val="53D26312"/>
    <w:rsid w:val="53D8021B"/>
    <w:rsid w:val="53F6524D"/>
    <w:rsid w:val="548947BC"/>
    <w:rsid w:val="548D6A45"/>
    <w:rsid w:val="54D95840"/>
    <w:rsid w:val="55147C23"/>
    <w:rsid w:val="553D5564"/>
    <w:rsid w:val="55B619AB"/>
    <w:rsid w:val="565E0EBF"/>
    <w:rsid w:val="56C4796A"/>
    <w:rsid w:val="56E77B1E"/>
    <w:rsid w:val="57276389"/>
    <w:rsid w:val="57DC32D5"/>
    <w:rsid w:val="581D341E"/>
    <w:rsid w:val="583120BF"/>
    <w:rsid w:val="583D5ED1"/>
    <w:rsid w:val="58982D68"/>
    <w:rsid w:val="5A687760"/>
    <w:rsid w:val="5A6951E1"/>
    <w:rsid w:val="5AAA72D0"/>
    <w:rsid w:val="5AE470AA"/>
    <w:rsid w:val="5B0D3AF1"/>
    <w:rsid w:val="5B925F49"/>
    <w:rsid w:val="5BA261E3"/>
    <w:rsid w:val="5BFD55F8"/>
    <w:rsid w:val="5C056287"/>
    <w:rsid w:val="5C152C9F"/>
    <w:rsid w:val="5C9522F3"/>
    <w:rsid w:val="5CD340E9"/>
    <w:rsid w:val="5CEE2982"/>
    <w:rsid w:val="5DCD7DF2"/>
    <w:rsid w:val="5E1B7B71"/>
    <w:rsid w:val="5E3C3929"/>
    <w:rsid w:val="5FC559AE"/>
    <w:rsid w:val="6027474E"/>
    <w:rsid w:val="603F1DF4"/>
    <w:rsid w:val="605E26A9"/>
    <w:rsid w:val="60A54010"/>
    <w:rsid w:val="60E173FF"/>
    <w:rsid w:val="61343606"/>
    <w:rsid w:val="61497D28"/>
    <w:rsid w:val="615A3846"/>
    <w:rsid w:val="61915F1E"/>
    <w:rsid w:val="61EC2DB5"/>
    <w:rsid w:val="623D76BC"/>
    <w:rsid w:val="62572464"/>
    <w:rsid w:val="628C4EBC"/>
    <w:rsid w:val="62E358CB"/>
    <w:rsid w:val="634877EE"/>
    <w:rsid w:val="63716434"/>
    <w:rsid w:val="63AF0497"/>
    <w:rsid w:val="642A5BE2"/>
    <w:rsid w:val="64875F7C"/>
    <w:rsid w:val="64931D8E"/>
    <w:rsid w:val="64A010A4"/>
    <w:rsid w:val="65285B05"/>
    <w:rsid w:val="66310536"/>
    <w:rsid w:val="66B97195"/>
    <w:rsid w:val="66F205F4"/>
    <w:rsid w:val="67203C1E"/>
    <w:rsid w:val="672B61CF"/>
    <w:rsid w:val="679E2C8B"/>
    <w:rsid w:val="67A96A9E"/>
    <w:rsid w:val="67AE67A9"/>
    <w:rsid w:val="681419D0"/>
    <w:rsid w:val="6827516E"/>
    <w:rsid w:val="68415D17"/>
    <w:rsid w:val="68B66FDB"/>
    <w:rsid w:val="68BA215E"/>
    <w:rsid w:val="691D4401"/>
    <w:rsid w:val="69270594"/>
    <w:rsid w:val="699C7D1F"/>
    <w:rsid w:val="6A35744C"/>
    <w:rsid w:val="6A5D0610"/>
    <w:rsid w:val="6A6F052B"/>
    <w:rsid w:val="6AF44007"/>
    <w:rsid w:val="6B5478A4"/>
    <w:rsid w:val="6C940230"/>
    <w:rsid w:val="6D1E2392"/>
    <w:rsid w:val="6D561607"/>
    <w:rsid w:val="6D8803B5"/>
    <w:rsid w:val="6DD204FB"/>
    <w:rsid w:val="6E262BC5"/>
    <w:rsid w:val="6F5B773E"/>
    <w:rsid w:val="6F8C598F"/>
    <w:rsid w:val="70077857"/>
    <w:rsid w:val="70703A03"/>
    <w:rsid w:val="709E2354"/>
    <w:rsid w:val="70AF364B"/>
    <w:rsid w:val="71342848"/>
    <w:rsid w:val="716C7E61"/>
    <w:rsid w:val="717C2C3C"/>
    <w:rsid w:val="71CD1741"/>
    <w:rsid w:val="71D33AC1"/>
    <w:rsid w:val="72324637"/>
    <w:rsid w:val="7252741C"/>
    <w:rsid w:val="72935C87"/>
    <w:rsid w:val="729B16D5"/>
    <w:rsid w:val="730B6BCA"/>
    <w:rsid w:val="73403821"/>
    <w:rsid w:val="736D33EC"/>
    <w:rsid w:val="74447BCC"/>
    <w:rsid w:val="7458686C"/>
    <w:rsid w:val="74FC737A"/>
    <w:rsid w:val="75861371"/>
    <w:rsid w:val="76435113"/>
    <w:rsid w:val="767B0AF0"/>
    <w:rsid w:val="76993924"/>
    <w:rsid w:val="76FB0145"/>
    <w:rsid w:val="77116A65"/>
    <w:rsid w:val="7775678A"/>
    <w:rsid w:val="77A45FD4"/>
    <w:rsid w:val="77DB3F30"/>
    <w:rsid w:val="77FE2FC7"/>
    <w:rsid w:val="789449E3"/>
    <w:rsid w:val="79283BD2"/>
    <w:rsid w:val="79C31852"/>
    <w:rsid w:val="7A1173D2"/>
    <w:rsid w:val="7A294A79"/>
    <w:rsid w:val="7A68455E"/>
    <w:rsid w:val="7A691FDF"/>
    <w:rsid w:val="7AB57EE0"/>
    <w:rsid w:val="7AB855E2"/>
    <w:rsid w:val="7ACF5207"/>
    <w:rsid w:val="7BD67FB8"/>
    <w:rsid w:val="7BFC23F6"/>
    <w:rsid w:val="7C26103C"/>
    <w:rsid w:val="7C281F5C"/>
    <w:rsid w:val="7C800451"/>
    <w:rsid w:val="7CA80310"/>
    <w:rsid w:val="7CE03CED"/>
    <w:rsid w:val="7D5E7E3F"/>
    <w:rsid w:val="7D6C1353"/>
    <w:rsid w:val="7D72325C"/>
    <w:rsid w:val="7E720C01"/>
    <w:rsid w:val="7F0823F9"/>
    <w:rsid w:val="7F307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link w:val="15"/>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sz w:val="24"/>
      <w:szCs w:val="22"/>
      <w:lang w:val="zh-CN"/>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paragraph" w:styleId="13">
    <w:name w:val="List Paragraph"/>
    <w:basedOn w:val="1"/>
    <w:qFormat/>
    <w:uiPriority w:val="34"/>
    <w:pPr>
      <w:ind w:firstLine="420" w:firstLineChars="200"/>
    </w:pPr>
  </w:style>
  <w:style w:type="character" w:customStyle="1" w:styleId="14">
    <w:name w:val="标题 1 字符"/>
    <w:basedOn w:val="11"/>
    <w:link w:val="3"/>
    <w:qFormat/>
    <w:uiPriority w:val="0"/>
    <w:rPr>
      <w:rFonts w:ascii="Times New Roman" w:hAnsi="Times New Roman" w:eastAsia="宋体" w:cs="Times New Roman"/>
      <w:b/>
      <w:bCs/>
      <w:kern w:val="44"/>
      <w:sz w:val="44"/>
      <w:szCs w:val="44"/>
    </w:rPr>
  </w:style>
  <w:style w:type="character" w:customStyle="1" w:styleId="15">
    <w:name w:val="标题 4 字符"/>
    <w:basedOn w:val="11"/>
    <w:link w:val="6"/>
    <w:qFormat/>
    <w:uiPriority w:val="0"/>
    <w:rPr>
      <w:rFonts w:asciiTheme="majorHAnsi" w:hAnsiTheme="majorHAnsi" w:eastAsiaTheme="majorEastAsia" w:cstheme="majorBidi"/>
      <w:b/>
      <w:bCs/>
      <w:kern w:val="2"/>
      <w:sz w:val="28"/>
      <w:szCs w:val="28"/>
    </w:rPr>
  </w:style>
  <w:style w:type="paragraph" w:customStyle="1" w:styleId="1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7">
    <w:name w:val="SOW正文"/>
    <w:basedOn w:val="1"/>
    <w:qFormat/>
    <w:uiPriority w:val="0"/>
    <w:pPr>
      <w:snapToGrid w:val="0"/>
      <w:spacing w:before="120" w:line="400" w:lineRule="exact"/>
      <w:ind w:firstLine="425"/>
    </w:pPr>
    <w:rPr>
      <w:sz w:val="24"/>
    </w:rPr>
  </w:style>
  <w:style w:type="table" w:customStyle="1" w:styleId="18">
    <w:name w:val="Table Normal"/>
    <w:unhideWhenUsed/>
    <w:qFormat/>
    <w:uiPriority w:val="0"/>
    <w:pPr>
      <w:widowControl w:val="0"/>
      <w:autoSpaceDE w:val="0"/>
      <w:autoSpaceDN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1655</Words>
  <Characters>9440</Characters>
  <Lines>78</Lines>
  <Paragraphs>22</Paragraphs>
  <TotalTime>9</TotalTime>
  <ScaleCrop>false</ScaleCrop>
  <LinksUpToDate>false</LinksUpToDate>
  <CharactersWithSpaces>11073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2026-01-09T03:07:00Z</dcterms:created>
  <dc:creator>liu</dc:creator>
  <cp:lastModifiedBy>sxc</cp:lastModifiedBy>
  <dcterms:modified xsi:type="dcterms:W3CDTF">2026-01-15T06:04:06Z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3A5F71DF6FDC44629DDEC7A11353E80E</vt:lpwstr>
  </property>
</Properties>
</file>