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 w:ascii="宋体"/>
          <w:b/>
          <w:bCs/>
          <w:sz w:val="36"/>
          <w:szCs w:val="36"/>
        </w:rPr>
        <w:t>货物需求一览表及技术规格</w:t>
      </w:r>
    </w:p>
    <w:p>
      <w:pPr>
        <w:ind w:left="424" w:leftChars="202"/>
        <w:rPr>
          <w:rFonts w:hint="default" w:ascii="仿宋_GB2312" w:hAnsi="华文细黑" w:eastAsia="仿宋_GB2312"/>
          <w:b/>
          <w:sz w:val="24"/>
          <w:lang w:val="en-US"/>
        </w:rPr>
      </w:pPr>
      <w:r>
        <w:rPr>
          <w:rFonts w:hint="eastAsia" w:ascii="仿宋_GB2312" w:hAnsi="华文细黑" w:eastAsia="仿宋_GB2312"/>
          <w:b/>
          <w:sz w:val="24"/>
        </w:rPr>
        <w:t>数量：</w:t>
      </w:r>
    </w:p>
    <w:p>
      <w:pPr>
        <w:ind w:left="424" w:leftChars="202"/>
        <w:rPr>
          <w:rFonts w:ascii="仿宋_GB2312" w:hAnsi="华文细黑" w:eastAsia="仿宋_GB2312"/>
          <w:b/>
          <w:sz w:val="24"/>
        </w:rPr>
      </w:pPr>
      <w:r>
        <w:rPr>
          <w:rFonts w:hint="eastAsia" w:ascii="仿宋_GB2312" w:hAnsi="华文细黑" w:eastAsia="仿宋_GB2312"/>
          <w:b/>
          <w:sz w:val="24"/>
        </w:rPr>
        <w:t>交货期：签订合同后三个月内</w:t>
      </w:r>
    </w:p>
    <w:p>
      <w:pPr>
        <w:ind w:left="424" w:leftChars="202"/>
        <w:rPr>
          <w:rFonts w:ascii="仿宋_GB2312" w:hAnsi="华文细黑" w:eastAsia="仿宋_GB2312"/>
          <w:b/>
          <w:sz w:val="24"/>
        </w:rPr>
      </w:pPr>
      <w:r>
        <w:rPr>
          <w:rFonts w:hint="eastAsia" w:ascii="仿宋_GB2312" w:hAnsi="华文细黑" w:eastAsia="仿宋_GB2312"/>
          <w:b/>
          <w:sz w:val="24"/>
        </w:rPr>
        <w:t>交货地点：北京清华长庚医院</w:t>
      </w:r>
    </w:p>
    <w:tbl>
      <w:tblPr>
        <w:tblStyle w:val="24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6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招标要求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条目号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招标规格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一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设备名称：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医用吊塔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二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数量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三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用途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hd w:val="clear" w:color="auto" w:fill="FFFFFF"/>
              <w:rPr>
                <w:rFonts w:cs="宋体" w:asciiTheme="majorEastAsia" w:hAnsiTheme="majorEastAsia" w:eastAsiaTheme="majorEastAsi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用于内镜中心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四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主要组成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顶部固定系统、悬臂组件、集成气体终端、承载平台、辅助配件、内部管线与控制系统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eastAsia="zh-CN"/>
              </w:rPr>
              <w:t>五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技术规格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top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1</w:t>
            </w:r>
          </w:p>
        </w:tc>
        <w:tc>
          <w:tcPr>
            <w:tcW w:w="6840" w:type="dxa"/>
          </w:tcPr>
          <w:p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吊塔主体材料为高强度铝合金型材，圆弧形设计，美观大方，整体型材采用6063材质，悬臂采用6005A材质，承载性能更好；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top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2</w:t>
            </w:r>
          </w:p>
        </w:tc>
        <w:tc>
          <w:tcPr>
            <w:tcW w:w="684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吊塔主体表面采用优质环保抗菌涂层静电喷涂，具有抑制细菌再生的作用，耐擦易清洁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800" w:type="dxa"/>
            <w:vAlign w:val="top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3</w:t>
            </w:r>
          </w:p>
        </w:tc>
        <w:tc>
          <w:tcPr>
            <w:tcW w:w="684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配置机械刹车，所有转动轴均采用瑞典进口SKF轴承，转动顺畅可靠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4</w:t>
            </w:r>
          </w:p>
        </w:tc>
        <w:tc>
          <w:tcPr>
            <w:tcW w:w="6840" w:type="dxa"/>
          </w:tcPr>
          <w:p>
            <w:pPr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吊塔转轴可在300 kg负载下可连续旋转10万次，保证吊塔长久平稳运行；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5</w:t>
            </w:r>
          </w:p>
        </w:tc>
        <w:tc>
          <w:tcPr>
            <w:tcW w:w="6840" w:type="dxa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吊塔预埋支架垂直载荷≥1800kg，扭矩≥9200N.m，保证吊塔使用时不会出现倾斜偏移现象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6</w:t>
            </w:r>
          </w:p>
        </w:tc>
        <w:tc>
          <w:tcPr>
            <w:tcW w:w="684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悬臂四腔体一体压铸成型，悬臂臂厚≥8mm；（提供截面样品）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hint="default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7</w:t>
            </w:r>
          </w:p>
        </w:tc>
        <w:tc>
          <w:tcPr>
            <w:tcW w:w="684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悬臂最大承载不小于220kg，符合四倍安全承载系数；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hint="default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8</w:t>
            </w:r>
          </w:p>
        </w:tc>
        <w:tc>
          <w:tcPr>
            <w:tcW w:w="6840" w:type="dxa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功能柱半包围结构设计，托盘内嵌式安装，背板安装操作检修门，可轻松打开进行操作，整体性更佳；（提供实物图片）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hint="default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9</w:t>
            </w:r>
          </w:p>
        </w:tc>
        <w:tc>
          <w:tcPr>
            <w:tcW w:w="6840" w:type="dxa"/>
          </w:tcPr>
          <w:p>
            <w:pPr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气体管路为欧美原装进口医疗专用橡胶软管，符合ISO5359-2014标准；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hint="default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10</w:t>
            </w:r>
          </w:p>
        </w:tc>
        <w:tc>
          <w:tcPr>
            <w:tcW w:w="6840" w:type="dxa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托盘为铝合金6063材质，六腔式结构一体压铸成型，无拼接缝隙，具有高承载性能，最大承载≥80kg，符合四倍承载安全系数；托盘整体厚度≥28mm，壁厚≥3mm，托盘中间凹陷设计，防止物体滑落；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hint="default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11</w:t>
            </w:r>
          </w:p>
        </w:tc>
        <w:tc>
          <w:tcPr>
            <w:tcW w:w="6840" w:type="dxa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医用吊塔配置有四层托盘，第一层为专门的操作台板，加长加宽设计，放置医用辅料；其他三层放置设备的托盘尺寸完全匹配内镜设备，有防脱落及防撞设计；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hint="default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12</w:t>
            </w:r>
          </w:p>
        </w:tc>
        <w:tc>
          <w:tcPr>
            <w:tcW w:w="6840" w:type="dxa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功能柱外置一体成型标准滑轨（10*25），避免积灰和细菌滋生，易清洁；方便托盘调节、方便扩展其它附件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hint="default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13</w:t>
            </w:r>
          </w:p>
        </w:tc>
        <w:tc>
          <w:tcPr>
            <w:tcW w:w="6840" w:type="dxa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双关节阻尼可调输液臂定位简单可靠，输液臂无任何调节旋钮；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hint="default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14</w:t>
            </w:r>
          </w:p>
        </w:tc>
        <w:tc>
          <w:tcPr>
            <w:tcW w:w="6840" w:type="dxa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气体终端、电源插座等均可完全隐藏在吊塔箱体内部，有线缆管理模块，辅助医护人员梳理线路，避免线缆凌乱；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hint="default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15</w:t>
            </w:r>
          </w:p>
        </w:tc>
        <w:tc>
          <w:tcPr>
            <w:tcW w:w="6840" w:type="dxa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配置德国进口ITD内镜挂架，可悬挂2条软镜，挂架可拆下进行清洗、消毒；配置阻尼式关节转动臂，可轻松定位调节位置；配置有光源接头放置模块；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hint="default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16</w:t>
            </w:r>
          </w:p>
        </w:tc>
        <w:tc>
          <w:tcPr>
            <w:tcW w:w="6840" w:type="dxa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监视器悬挂系统采用Ondal平衡臂，稳定可靠；上下调节角度-45°~+45°，可升降调节高度≥1000mm；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hint="default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17</w:t>
            </w:r>
          </w:p>
        </w:tc>
        <w:tc>
          <w:tcPr>
            <w:tcW w:w="6840" w:type="dxa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配置有专业的光源接头卡托，硅胶材质，对镜子起到良好的保护作用，可同时放置两条软镜；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hint="default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18</w:t>
            </w:r>
          </w:p>
        </w:tc>
        <w:tc>
          <w:tcPr>
            <w:tcW w:w="6840" w:type="dxa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监视器挂架系统与吊塔同基座安装，5关节万向联动，阻尼可轻松调节，定位精准无漂移，旋转角度≥340°，有限位装置，并获得实用新型专利；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hint="default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19</w:t>
            </w:r>
          </w:p>
        </w:tc>
        <w:tc>
          <w:tcPr>
            <w:tcW w:w="6840" w:type="dxa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监视器调节灵活，可调节到操作人员最舒适的位置，减轻医护人员工作负担；监视器挂架四周带有防撞边框，保护监视器；监视器挂架下方带有可拆卸、可高温消毒的调节手柄；（提供监视器挂架实物图片）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hint="default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20</w:t>
            </w:r>
          </w:p>
        </w:tc>
        <w:tc>
          <w:tcPr>
            <w:tcW w:w="6840" w:type="dxa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脚踏抽屉为钢制抽屉，禁止使用PVC及塑料材质，保证经久耐用，采用自吸式标准导轨，抽屉自动吸合，方便收纳脚踏等附件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hint="default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21</w:t>
            </w:r>
          </w:p>
        </w:tc>
        <w:tc>
          <w:tcPr>
            <w:tcW w:w="6840" w:type="dxa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键盘抽屉采用自吸式标准导轨，自动吸合，方便收纳键盘；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hint="default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22</w:t>
            </w:r>
          </w:p>
        </w:tc>
        <w:tc>
          <w:tcPr>
            <w:tcW w:w="6840" w:type="dxa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独立的弱电视讯模块，预留设备数据接口（BNC、Y/C）及网络接口，且线缆可隐藏产品内部，安装时轻松便捷，安装完成后整洁美观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hint="default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23</w:t>
            </w:r>
          </w:p>
        </w:tc>
        <w:tc>
          <w:tcPr>
            <w:tcW w:w="6840" w:type="dxa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气源电源内置，可选择预留电刀专用电源；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hint="default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24</w:t>
            </w:r>
          </w:p>
        </w:tc>
        <w:tc>
          <w:tcPr>
            <w:tcW w:w="6840" w:type="dxa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医用吊塔外壳防火等级≥UL94-V0级，以保证使用安全；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hint="default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25</w:t>
            </w:r>
          </w:p>
        </w:tc>
        <w:tc>
          <w:tcPr>
            <w:tcW w:w="6840" w:type="dxa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丰富的附件：可选配箱体监视器挂架，吸引瓶挂架，患者监护仪支架等。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hint="default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26</w:t>
            </w:r>
          </w:p>
        </w:tc>
        <w:tc>
          <w:tcPr>
            <w:tcW w:w="6840" w:type="dxa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生产企业通过ISO9001、ISO13485、ISO14001、ISO45001认证，并提供相关认证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六、</w:t>
            </w: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功能及技术先进性要求</w:t>
            </w:r>
          </w:p>
        </w:tc>
        <w:tc>
          <w:tcPr>
            <w:tcW w:w="6840" w:type="dxa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</w:pPr>
          </w:p>
        </w:tc>
        <w:tc>
          <w:tcPr>
            <w:tcW w:w="6840" w:type="dxa"/>
          </w:tcPr>
          <w:p>
            <w:pPr>
              <w:ind w:firstLine="400" w:firstLineChars="20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功能柱箱体采用半包围式结构设计，气、电功能箱对称式分布，中间形成有效理线空间，设计有带检修操作门的背板；</w:t>
            </w:r>
          </w:p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</w:pPr>
          </w:p>
        </w:tc>
        <w:tc>
          <w:tcPr>
            <w:tcW w:w="6840" w:type="dxa"/>
          </w:tcPr>
          <w:p>
            <w:pPr>
              <w:ind w:firstLine="200" w:firstLineChars="10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各终端接口均可内置隐藏式安装，所有线缆管路均在内部理线空间内连接到托盘上的内镜设备；</w:t>
            </w:r>
          </w:p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</w:pPr>
          </w:p>
        </w:tc>
        <w:tc>
          <w:tcPr>
            <w:tcW w:w="6840" w:type="dxa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悬臂四腔体结构设计，采用高强度铝合金型材厚度不小于8mm，确保高承重性，长时间使用不易变形；悬臂长度可根据现场情况定制，确保各类环境使用；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</w:pPr>
          </w:p>
        </w:tc>
        <w:tc>
          <w:tcPr>
            <w:tcW w:w="6840" w:type="dxa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托盘一体挤压成型高度可调,且配有国际标准的不锈钢边轨，以方便固定小型的医疗仪器设备；圆角防撞设计；无拼装，无缝隙，符合净化清洁标准，符合整体承载强度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</w:pPr>
          </w:p>
        </w:tc>
        <w:tc>
          <w:tcPr>
            <w:tcW w:w="6840" w:type="dxa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采用进口FITT品牌气体管路，医用级别耐高压设计，不同气体用不同颜色表示，确保使用安全，取得医用资质证明（ISO5359-2014）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</w:pPr>
          </w:p>
        </w:tc>
        <w:tc>
          <w:tcPr>
            <w:tcW w:w="6840" w:type="dxa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所有转动轴均采用优质重载推力滚针轴承，转动顺畅可靠，定位稳定，长时间转动不易产生漂移，确保设备使用安全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</w:pPr>
          </w:p>
        </w:tc>
        <w:tc>
          <w:tcPr>
            <w:tcW w:w="6840" w:type="dxa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配置有专业的光源接头卡托，硅胶材质，对镜子起到良好的保护作用，可同时放置两条软镜；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</w:pPr>
          </w:p>
        </w:tc>
        <w:tc>
          <w:tcPr>
            <w:tcW w:w="6840" w:type="dxa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配置有四层托盘，第一层为专门的操作台板，加长加宽设计，放置医用辅料。其他三层放置设备的托盘尺寸完全匹配内镜设备，有防脱落及防撞设计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</w:pPr>
          </w:p>
        </w:tc>
        <w:tc>
          <w:tcPr>
            <w:tcW w:w="6840" w:type="dxa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功能柱兼有外置一体导轨与内嵌式导轨：外置一体成型标准滑轨，方便托盘位置调节；内置导轨，方便扩展其它附件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</w:pPr>
          </w:p>
        </w:tc>
        <w:tc>
          <w:tcPr>
            <w:tcW w:w="6840" w:type="dxa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监视器悬挂系统采用Ondal平衡臂，稳定可靠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</w:pPr>
          </w:p>
        </w:tc>
        <w:tc>
          <w:tcPr>
            <w:tcW w:w="6840" w:type="dxa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键盘抽屉：采用自吸式标准导轨，自动吸合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</w:pPr>
          </w:p>
        </w:tc>
        <w:tc>
          <w:tcPr>
            <w:tcW w:w="6840" w:type="dxa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脚踏抽屉：采用自吸式标准导轨，抽屉自动吸合，方便收纳脚踏等附件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七、</w:t>
            </w: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质量要求</w:t>
            </w:r>
          </w:p>
        </w:tc>
        <w:tc>
          <w:tcPr>
            <w:tcW w:w="6840" w:type="dxa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产品取得四倍安全系数承重检测报告（悬臂、托盘、输液臂、抽屉）、吊塔材质（6063、6005A）检测报告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</w:pPr>
          </w:p>
        </w:tc>
        <w:tc>
          <w:tcPr>
            <w:tcW w:w="6840" w:type="dxa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取得ROHS检测报告、表面涂层抗菌检测报告、气体终端相关检测报告、气体管路相关检测报告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</w:pPr>
          </w:p>
        </w:tc>
        <w:tc>
          <w:tcPr>
            <w:tcW w:w="6840" w:type="dxa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取得EN ISO 11197和EN 60601-1报告、CE认证、CB认证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</w:pPr>
          </w:p>
        </w:tc>
        <w:tc>
          <w:tcPr>
            <w:tcW w:w="6840" w:type="dxa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生产企业通过ISO9001、ISO13485、ISO14001、ISO45001认证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</w:pPr>
          </w:p>
        </w:tc>
        <w:tc>
          <w:tcPr>
            <w:tcW w:w="6840" w:type="dxa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企业具备压力管道设计和施工资质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八、</w:t>
            </w: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多种配置可选</w:t>
            </w:r>
          </w:p>
        </w:tc>
        <w:tc>
          <w:tcPr>
            <w:tcW w:w="6840" w:type="dxa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</w:pPr>
          </w:p>
        </w:tc>
        <w:tc>
          <w:tcPr>
            <w:tcW w:w="6840" w:type="dxa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上转轴、中转轴可配置气动刹车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</w:pPr>
          </w:p>
        </w:tc>
        <w:tc>
          <w:tcPr>
            <w:tcW w:w="6840" w:type="dxa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悬臂长度可根据用户需求定制；（单悬臂：600—1200mm、双悬臂：600+600mm、600+500mm等多种形式组合）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</w:pPr>
          </w:p>
        </w:tc>
        <w:tc>
          <w:tcPr>
            <w:tcW w:w="6840" w:type="dxa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气体终端制式和品牌可根据用户需求定制；（制式：德标、中标、美标、英标等；品牌：GCE、HEYER(艾尔)等品牌）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</w:pPr>
          </w:p>
        </w:tc>
        <w:tc>
          <w:tcPr>
            <w:tcW w:w="6840" w:type="dxa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电源插座、网络接口、气体终端、托盘、网篮等数量可根据用户需求增减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</w:pPr>
          </w:p>
        </w:tc>
        <w:tc>
          <w:tcPr>
            <w:tcW w:w="6840" w:type="dxa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功能柱箱体底部、抽屉内部均可安装照明灯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</w:pPr>
          </w:p>
        </w:tc>
        <w:tc>
          <w:tcPr>
            <w:tcW w:w="6840" w:type="dxa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可配置显示器支臂、监护仪支架、一体机支架、负压吸引瓶挂架、气体插头、湿化瓶、负压吸引装置等各种附件；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</w:pPr>
          </w:p>
        </w:tc>
        <w:tc>
          <w:tcPr>
            <w:tcW w:w="6840" w:type="dxa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显示器挂架尺寸可定制。（16—32寸）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九</w:t>
            </w: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、配置清单</w:t>
            </w:r>
          </w:p>
        </w:tc>
        <w:tc>
          <w:tcPr>
            <w:tcW w:w="684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N2内镜塔配置清单</w:t>
            </w:r>
          </w:p>
          <w:tbl>
            <w:tblPr>
              <w:tblStyle w:val="25"/>
              <w:tblpPr w:leftFromText="180" w:rightFromText="180" w:vertAnchor="text" w:horzAnchor="page" w:tblpX="75" w:tblpY="13"/>
              <w:tblOverlap w:val="never"/>
              <w:tblW w:w="665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6"/>
              <w:gridCol w:w="2768"/>
              <w:gridCol w:w="315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7" w:hRule="atLeast"/>
              </w:trPr>
              <w:tc>
                <w:tcPr>
                  <w:tcW w:w="736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b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 w:val="20"/>
                      <w:szCs w:val="20"/>
                    </w:rPr>
                    <w:t>序号</w:t>
                  </w:r>
                </w:p>
              </w:tc>
              <w:tc>
                <w:tcPr>
                  <w:tcW w:w="2768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b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 w:val="20"/>
                      <w:szCs w:val="20"/>
                    </w:rPr>
                    <w:t>名称</w:t>
                  </w:r>
                </w:p>
              </w:tc>
              <w:tc>
                <w:tcPr>
                  <w:tcW w:w="3150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b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 w:val="20"/>
                      <w:szCs w:val="20"/>
                    </w:rPr>
                    <w:t>数量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6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68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进口气体终端</w:t>
                  </w:r>
                </w:p>
              </w:tc>
              <w:tc>
                <w:tcPr>
                  <w:tcW w:w="3150" w:type="dxa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2氧气、2负压、1空气、1二氧化碳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6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68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电源插座</w:t>
                  </w:r>
                </w:p>
              </w:tc>
              <w:tc>
                <w:tcPr>
                  <w:tcW w:w="3150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8个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6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68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网口</w:t>
                  </w:r>
                </w:p>
              </w:tc>
              <w:tc>
                <w:tcPr>
                  <w:tcW w:w="3150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2个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6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68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视频接口</w:t>
                  </w:r>
                </w:p>
              </w:tc>
              <w:tc>
                <w:tcPr>
                  <w:tcW w:w="3150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2个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6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768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接地端子</w:t>
                  </w:r>
                </w:p>
              </w:tc>
              <w:tc>
                <w:tcPr>
                  <w:tcW w:w="3150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2个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6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768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气体管路</w:t>
                  </w:r>
                </w:p>
              </w:tc>
              <w:tc>
                <w:tcPr>
                  <w:tcW w:w="3150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氧气5m、负压5m、空气5m、二氧化碳5m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6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768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平面推力轴承（AXK155）</w:t>
                  </w:r>
                </w:p>
              </w:tc>
              <w:tc>
                <w:tcPr>
                  <w:tcW w:w="3150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4套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6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768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平面推力轴承（AXK145）</w:t>
                  </w:r>
                </w:p>
              </w:tc>
              <w:tc>
                <w:tcPr>
                  <w:tcW w:w="3150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2套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6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768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托盘</w:t>
                  </w:r>
                </w:p>
              </w:tc>
              <w:tc>
                <w:tcPr>
                  <w:tcW w:w="3150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4层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6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768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双悬臂</w:t>
                  </w:r>
                </w:p>
              </w:tc>
              <w:tc>
                <w:tcPr>
                  <w:tcW w:w="3150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1套（600+600mm）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6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768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自吸式抽屉</w:t>
                  </w:r>
                </w:p>
              </w:tc>
              <w:tc>
                <w:tcPr>
                  <w:tcW w:w="3150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1套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6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768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双关节延展臂</w:t>
                  </w:r>
                </w:p>
              </w:tc>
              <w:tc>
                <w:tcPr>
                  <w:tcW w:w="3150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1套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6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768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进口内窥镜支架</w:t>
                  </w:r>
                </w:p>
              </w:tc>
              <w:tc>
                <w:tcPr>
                  <w:tcW w:w="3150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1套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6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768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不锈钢网篮</w:t>
                  </w:r>
                </w:p>
              </w:tc>
              <w:tc>
                <w:tcPr>
                  <w:tcW w:w="3150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1个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6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768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光源接头托架</w:t>
                  </w:r>
                </w:p>
              </w:tc>
              <w:tc>
                <w:tcPr>
                  <w:tcW w:w="3150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1套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6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768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单臂旋转体</w:t>
                  </w:r>
                </w:p>
              </w:tc>
              <w:tc>
                <w:tcPr>
                  <w:tcW w:w="3150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1套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6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768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平衡臂</w:t>
                  </w:r>
                </w:p>
              </w:tc>
              <w:tc>
                <w:tcPr>
                  <w:tcW w:w="3150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1套（AC2000）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6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768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单监视器挂架</w:t>
                  </w:r>
                </w:p>
              </w:tc>
              <w:tc>
                <w:tcPr>
                  <w:tcW w:w="3150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1套（26寸）</w:t>
                  </w:r>
                </w:p>
              </w:tc>
            </w:tr>
          </w:tbl>
          <w:p>
            <w:pPr>
              <w:jc w:val="left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eastAsia="zh-CN"/>
              </w:rPr>
              <w:t>十</w:t>
            </w:r>
            <w:bookmarkStart w:id="0" w:name="_GoBack"/>
            <w:bookmarkEnd w:id="0"/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Theme="majorEastAsia" w:hAnsiTheme="majorEastAsia" w:eastAsiaTheme="majorEastAsia"/>
                <w:b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1.1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中标厂商负责场地规划、搬运、安装、调试，包括设备到货至安装期间之搬运及保险; 保险需包括人员及设备之全额保险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1.2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如</w:t>
            </w:r>
            <w:r>
              <w:rPr>
                <w:rFonts w:asciiTheme="majorEastAsia" w:hAnsiTheme="majorEastAsia" w:eastAsiaTheme="majorEastAsia"/>
                <w:szCs w:val="21"/>
              </w:rPr>
              <w:t>现场条件无法安装，中标厂商负责调整设备以满足现场条件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1.3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安装完成需提交安装报告书与质量报告书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1.4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本规格书经厂商填报后，为合约之一部分，验收时依本规格书逐项比对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1.7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厂商需负责清理安装所产生的废弃物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1.8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厂商需负责安装现场整洁; 若有损坏需负责恢复</w:t>
            </w:r>
            <w:r>
              <w:rPr>
                <w:rFonts w:asciiTheme="majorEastAsia" w:hAnsiTheme="majorEastAsia" w:eastAsiaTheme="majorEastAsia"/>
                <w:szCs w:val="21"/>
              </w:rPr>
              <w:t>原状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2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设备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证照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及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厂商资质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2.1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医疗器械</w:t>
            </w:r>
            <w:r>
              <w:rPr>
                <w:rFonts w:asciiTheme="majorEastAsia" w:hAnsiTheme="majorEastAsia" w:eastAsiaTheme="majorEastAsia"/>
                <w:szCs w:val="21"/>
              </w:rPr>
              <w:t>“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三证</w:t>
            </w:r>
            <w:r>
              <w:rPr>
                <w:rFonts w:asciiTheme="majorEastAsia" w:hAnsiTheme="majorEastAsia" w:eastAsiaTheme="majorEastAsia"/>
                <w:szCs w:val="21"/>
              </w:rPr>
              <w:t>”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齐全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2.2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代理商需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为</w:t>
            </w:r>
            <w:r>
              <w:rPr>
                <w:rFonts w:asciiTheme="majorEastAsia" w:hAnsiTheme="majorEastAsia" w:eastAsiaTheme="majorEastAsia"/>
                <w:szCs w:val="21"/>
              </w:rPr>
              <w:t>本地二级以上代理，并提供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设备生产</w:t>
            </w:r>
            <w:r>
              <w:rPr>
                <w:rFonts w:asciiTheme="majorEastAsia" w:hAnsiTheme="majorEastAsia" w:eastAsiaTheme="majorEastAsia"/>
                <w:szCs w:val="21"/>
              </w:rPr>
              <w:t>厂商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半年</w:t>
            </w:r>
            <w:r>
              <w:rPr>
                <w:rFonts w:asciiTheme="majorEastAsia" w:hAnsiTheme="majorEastAsia" w:eastAsiaTheme="majorEastAsia"/>
                <w:szCs w:val="21"/>
              </w:rPr>
              <w:t>期以上授权书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3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保修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3.1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自</w:t>
            </w:r>
            <w:r>
              <w:rPr>
                <w:rFonts w:asciiTheme="majorEastAsia" w:hAnsiTheme="majorEastAsia" w:eastAsiaTheme="majorEastAsia"/>
                <w:szCs w:val="21"/>
              </w:rPr>
              <w:t>设备验收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完成</w:t>
            </w:r>
            <w:r>
              <w:rPr>
                <w:rFonts w:asciiTheme="majorEastAsia" w:hAnsiTheme="majorEastAsia" w:eastAsiaTheme="majorEastAsia"/>
                <w:szCs w:val="21"/>
              </w:rPr>
              <w:t>之日起，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贰年（24个</w:t>
            </w:r>
            <w:r>
              <w:rPr>
                <w:rFonts w:asciiTheme="majorEastAsia" w:hAnsiTheme="majorEastAsia" w:eastAsiaTheme="majorEastAsia"/>
                <w:szCs w:val="21"/>
              </w:rPr>
              <w:t>月）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全责（不区分</w:t>
            </w:r>
            <w:r>
              <w:rPr>
                <w:rFonts w:asciiTheme="majorEastAsia" w:hAnsiTheme="majorEastAsia" w:eastAsiaTheme="majorEastAsia"/>
                <w:szCs w:val="21"/>
              </w:rPr>
              <w:t>是否人为）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免费保修，所有</w:t>
            </w:r>
            <w:r>
              <w:rPr>
                <w:rFonts w:asciiTheme="majorEastAsia" w:hAnsiTheme="majorEastAsia" w:eastAsiaTheme="majorEastAsia"/>
                <w:szCs w:val="21"/>
              </w:rPr>
              <w:t>原机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装配</w:t>
            </w:r>
            <w:r>
              <w:rPr>
                <w:rFonts w:asciiTheme="majorEastAsia" w:hAnsiTheme="majorEastAsia" w:eastAsiaTheme="majorEastAsia"/>
                <w:szCs w:val="21"/>
              </w:rPr>
              <w:t>附带的零配件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均</w:t>
            </w:r>
            <w:r>
              <w:rPr>
                <w:rFonts w:asciiTheme="majorEastAsia" w:hAnsiTheme="majorEastAsia" w:eastAsiaTheme="majorEastAsia"/>
                <w:szCs w:val="21"/>
              </w:rPr>
              <w:t>免费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更换;保修期</w:t>
            </w:r>
            <w:r>
              <w:rPr>
                <w:rFonts w:asciiTheme="majorEastAsia" w:hAnsiTheme="majorEastAsia" w:eastAsiaTheme="majorEastAsia"/>
                <w:szCs w:val="21"/>
              </w:rPr>
              <w:t>内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并依原厂规定执行定期保养与校正，中标</w:t>
            </w:r>
            <w:r>
              <w:rPr>
                <w:rFonts w:asciiTheme="majorEastAsia" w:hAnsiTheme="majorEastAsia" w:eastAsiaTheme="majorEastAsia"/>
                <w:szCs w:val="21"/>
              </w:rPr>
              <w:t>厂商提供保养工具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及</w:t>
            </w:r>
            <w:r>
              <w:rPr>
                <w:rFonts w:asciiTheme="majorEastAsia" w:hAnsiTheme="majorEastAsia" w:eastAsiaTheme="majorEastAsia"/>
                <w:szCs w:val="21"/>
              </w:rPr>
              <w:t>设备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。24小时不能排除故障要求提供备品服务，备品满足同样要求。</w:t>
            </w:r>
          </w:p>
        </w:tc>
      </w:tr>
    </w:tbl>
    <w:p>
      <w:pPr>
        <w:spacing w:line="30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ヒラギノ角ゴ Pro W3">
    <w:altName w:val="MS Mincho"/>
    <w:panose1 w:val="00000000000000000000"/>
    <w:charset w:val="80"/>
    <w:family w:val="auto"/>
    <w:pitch w:val="default"/>
    <w:sig w:usb0="00000000" w:usb1="00000000" w:usb2="01000417" w:usb3="00000000" w:csb0="0002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5778F6"/>
    <w:multiLevelType w:val="multilevel"/>
    <w:tmpl w:val="535778F6"/>
    <w:lvl w:ilvl="0" w:tentative="0">
      <w:start w:val="1"/>
      <w:numFmt w:val="chineseCountingThousand"/>
      <w:pStyle w:val="3"/>
      <w:suff w:val="nothing"/>
      <w:lvlText w:val="%1、"/>
      <w:lvlJc w:val="left"/>
      <w:rPr>
        <w:rFonts w:hint="eastAsia" w:cs="Times New Roman"/>
        <w:b/>
        <w:i w:val="0"/>
        <w:sz w:val="24"/>
      </w:rPr>
    </w:lvl>
    <w:lvl w:ilvl="1" w:tentative="0">
      <w:start w:val="1"/>
      <w:numFmt w:val="decimal"/>
      <w:pStyle w:val="4"/>
      <w:suff w:val="nothing"/>
      <w:lvlText w:val="%2. "/>
      <w:lvlJc w:val="left"/>
      <w:rPr>
        <w:rFonts w:hint="eastAsia" w:cs="Times New Roman"/>
        <w:b w:val="0"/>
        <w:i w:val="0"/>
        <w:sz w:val="24"/>
      </w:rPr>
    </w:lvl>
    <w:lvl w:ilvl="2" w:tentative="0">
      <w:start w:val="1"/>
      <w:numFmt w:val="none"/>
      <w:pStyle w:val="5"/>
      <w:suff w:val="nothing"/>
      <w:lvlText w:val=""/>
      <w:lvlJc w:val="left"/>
      <w:rPr>
        <w:rFonts w:hint="eastAsia" w:cs="Times New Roman"/>
      </w:rPr>
    </w:lvl>
    <w:lvl w:ilvl="3" w:tentative="0">
      <w:start w:val="1"/>
      <w:numFmt w:val="none"/>
      <w:pStyle w:val="6"/>
      <w:suff w:val="nothing"/>
      <w:lvlText w:val=""/>
      <w:lvlJc w:val="left"/>
      <w:rPr>
        <w:rFonts w:hint="eastAsia" w:cs="Times New Roman"/>
      </w:rPr>
    </w:lvl>
    <w:lvl w:ilvl="4" w:tentative="0">
      <w:start w:val="1"/>
      <w:numFmt w:val="none"/>
      <w:pStyle w:val="8"/>
      <w:suff w:val="nothing"/>
      <w:lvlText w:val=""/>
      <w:lvlJc w:val="left"/>
      <w:rPr>
        <w:rFonts w:hint="eastAsia" w:cs="Times New Roman"/>
      </w:rPr>
    </w:lvl>
    <w:lvl w:ilvl="5" w:tentative="0">
      <w:start w:val="1"/>
      <w:numFmt w:val="none"/>
      <w:pStyle w:val="9"/>
      <w:suff w:val="nothing"/>
      <w:lvlText w:val=""/>
      <w:lvlJc w:val="left"/>
      <w:rPr>
        <w:rFonts w:hint="eastAsia" w:cs="Times New Roman"/>
      </w:rPr>
    </w:lvl>
    <w:lvl w:ilvl="6" w:tentative="0">
      <w:start w:val="1"/>
      <w:numFmt w:val="none"/>
      <w:pStyle w:val="10"/>
      <w:suff w:val="nothing"/>
      <w:lvlText w:val=""/>
      <w:lvlJc w:val="left"/>
      <w:rPr>
        <w:rFonts w:hint="eastAsia" w:cs="Times New Roman"/>
      </w:rPr>
    </w:lvl>
    <w:lvl w:ilvl="7" w:tentative="0">
      <w:start w:val="1"/>
      <w:numFmt w:val="none"/>
      <w:pStyle w:val="11"/>
      <w:suff w:val="nothing"/>
      <w:lvlText w:val=""/>
      <w:lvlJc w:val="left"/>
      <w:rPr>
        <w:rFonts w:hint="eastAsia" w:cs="Times New Roman"/>
      </w:rPr>
    </w:lvl>
    <w:lvl w:ilvl="8" w:tentative="0">
      <w:start w:val="1"/>
      <w:numFmt w:val="none"/>
      <w:pStyle w:val="12"/>
      <w:suff w:val="nothing"/>
      <w:lvlText w:val="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MmFiZDc2ZjBmN2E5YzA3NWI0YTYxYzdmOGI1YmEifQ=="/>
  </w:docVars>
  <w:rsids>
    <w:rsidRoot w:val="00A65AA2"/>
    <w:rsid w:val="0000238B"/>
    <w:rsid w:val="000824C6"/>
    <w:rsid w:val="000B0769"/>
    <w:rsid w:val="000B7C66"/>
    <w:rsid w:val="000C127A"/>
    <w:rsid w:val="000C1E61"/>
    <w:rsid w:val="00142B7C"/>
    <w:rsid w:val="001E0822"/>
    <w:rsid w:val="00210F2C"/>
    <w:rsid w:val="00251A94"/>
    <w:rsid w:val="00256F03"/>
    <w:rsid w:val="00270625"/>
    <w:rsid w:val="00282CB3"/>
    <w:rsid w:val="0028499D"/>
    <w:rsid w:val="002A1879"/>
    <w:rsid w:val="002A6E83"/>
    <w:rsid w:val="00331329"/>
    <w:rsid w:val="00371B50"/>
    <w:rsid w:val="00374259"/>
    <w:rsid w:val="003852C5"/>
    <w:rsid w:val="003A0E18"/>
    <w:rsid w:val="003E62EF"/>
    <w:rsid w:val="0041287A"/>
    <w:rsid w:val="004517D5"/>
    <w:rsid w:val="00457C49"/>
    <w:rsid w:val="00467B7C"/>
    <w:rsid w:val="00473067"/>
    <w:rsid w:val="0047638A"/>
    <w:rsid w:val="004926F1"/>
    <w:rsid w:val="004A0592"/>
    <w:rsid w:val="004B28E7"/>
    <w:rsid w:val="004B7AF6"/>
    <w:rsid w:val="004E57E4"/>
    <w:rsid w:val="005219BC"/>
    <w:rsid w:val="00581911"/>
    <w:rsid w:val="005B5FBA"/>
    <w:rsid w:val="005B74A0"/>
    <w:rsid w:val="005C0F0F"/>
    <w:rsid w:val="006029AC"/>
    <w:rsid w:val="0060323B"/>
    <w:rsid w:val="006428C1"/>
    <w:rsid w:val="00672563"/>
    <w:rsid w:val="00682EA8"/>
    <w:rsid w:val="0068437C"/>
    <w:rsid w:val="006979A2"/>
    <w:rsid w:val="006D26C2"/>
    <w:rsid w:val="006D507D"/>
    <w:rsid w:val="006E2A3D"/>
    <w:rsid w:val="006E70E0"/>
    <w:rsid w:val="006F3ABD"/>
    <w:rsid w:val="00705DCD"/>
    <w:rsid w:val="007319C7"/>
    <w:rsid w:val="0076528B"/>
    <w:rsid w:val="007A5F17"/>
    <w:rsid w:val="007B4FA0"/>
    <w:rsid w:val="007E3306"/>
    <w:rsid w:val="008356B1"/>
    <w:rsid w:val="00851DB5"/>
    <w:rsid w:val="008533BE"/>
    <w:rsid w:val="00854822"/>
    <w:rsid w:val="008972C3"/>
    <w:rsid w:val="00902701"/>
    <w:rsid w:val="009461BB"/>
    <w:rsid w:val="009A0ED6"/>
    <w:rsid w:val="00A26AF4"/>
    <w:rsid w:val="00A65AA2"/>
    <w:rsid w:val="00AF7C4B"/>
    <w:rsid w:val="00B74A39"/>
    <w:rsid w:val="00B7571A"/>
    <w:rsid w:val="00B80FF0"/>
    <w:rsid w:val="00BE5777"/>
    <w:rsid w:val="00C42206"/>
    <w:rsid w:val="00C91D39"/>
    <w:rsid w:val="00CC1748"/>
    <w:rsid w:val="00CD3AF4"/>
    <w:rsid w:val="00D206FF"/>
    <w:rsid w:val="00D237A3"/>
    <w:rsid w:val="00D4659E"/>
    <w:rsid w:val="00D60D99"/>
    <w:rsid w:val="00D8792B"/>
    <w:rsid w:val="00D97CDB"/>
    <w:rsid w:val="00DA36E2"/>
    <w:rsid w:val="00DC220B"/>
    <w:rsid w:val="00E32760"/>
    <w:rsid w:val="00E54CFD"/>
    <w:rsid w:val="00E657CD"/>
    <w:rsid w:val="00E67BF8"/>
    <w:rsid w:val="00E82EA3"/>
    <w:rsid w:val="00E96B31"/>
    <w:rsid w:val="00EF582D"/>
    <w:rsid w:val="00F1631B"/>
    <w:rsid w:val="00F22C3F"/>
    <w:rsid w:val="00F55DAC"/>
    <w:rsid w:val="00FC7B0D"/>
    <w:rsid w:val="060F0D08"/>
    <w:rsid w:val="0B097FD8"/>
    <w:rsid w:val="121974F4"/>
    <w:rsid w:val="18D15321"/>
    <w:rsid w:val="27BD15C7"/>
    <w:rsid w:val="2C1B702E"/>
    <w:rsid w:val="2E102DF9"/>
    <w:rsid w:val="37964F3A"/>
    <w:rsid w:val="440E7A36"/>
    <w:rsid w:val="52DB0DB3"/>
    <w:rsid w:val="58FD49FD"/>
    <w:rsid w:val="59FE631F"/>
    <w:rsid w:val="5E9D5DB5"/>
    <w:rsid w:val="6033104B"/>
    <w:rsid w:val="60702506"/>
    <w:rsid w:val="6B903568"/>
    <w:rsid w:val="6EFF1582"/>
    <w:rsid w:val="71DE1BCB"/>
    <w:rsid w:val="78001535"/>
    <w:rsid w:val="7B2C6CEF"/>
    <w:rsid w:val="7E03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32"/>
    <w:qFormat/>
    <w:uiPriority w:val="9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kern w:val="44"/>
      <w:sz w:val="44"/>
      <w:szCs w:val="20"/>
    </w:rPr>
  </w:style>
  <w:style w:type="paragraph" w:styleId="4">
    <w:name w:val="heading 2"/>
    <w:basedOn w:val="1"/>
    <w:next w:val="1"/>
    <w:link w:val="33"/>
    <w:qFormat/>
    <w:uiPriority w:val="9"/>
    <w:pPr>
      <w:keepNext/>
      <w:keepLines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/>
      <w:b/>
      <w:kern w:val="0"/>
      <w:sz w:val="32"/>
      <w:szCs w:val="20"/>
    </w:rPr>
  </w:style>
  <w:style w:type="paragraph" w:styleId="5">
    <w:name w:val="heading 3"/>
    <w:basedOn w:val="1"/>
    <w:next w:val="1"/>
    <w:link w:val="34"/>
    <w:qFormat/>
    <w:uiPriority w:val="9"/>
    <w:pPr>
      <w:keepNext/>
      <w:keepLines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b/>
      <w:kern w:val="0"/>
      <w:sz w:val="32"/>
      <w:szCs w:val="20"/>
    </w:rPr>
  </w:style>
  <w:style w:type="paragraph" w:styleId="6">
    <w:name w:val="heading 4"/>
    <w:basedOn w:val="1"/>
    <w:next w:val="7"/>
    <w:link w:val="35"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sz w:val="28"/>
      <w:szCs w:val="20"/>
    </w:rPr>
  </w:style>
  <w:style w:type="paragraph" w:styleId="8">
    <w:name w:val="heading 5"/>
    <w:basedOn w:val="1"/>
    <w:next w:val="7"/>
    <w:link w:val="36"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  <w:szCs w:val="20"/>
    </w:rPr>
  </w:style>
  <w:style w:type="paragraph" w:styleId="9">
    <w:name w:val="heading 6"/>
    <w:basedOn w:val="1"/>
    <w:next w:val="7"/>
    <w:link w:val="37"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sz w:val="24"/>
      <w:szCs w:val="20"/>
    </w:rPr>
  </w:style>
  <w:style w:type="paragraph" w:styleId="10">
    <w:name w:val="heading 7"/>
    <w:basedOn w:val="1"/>
    <w:next w:val="7"/>
    <w:link w:val="38"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  <w:szCs w:val="20"/>
    </w:rPr>
  </w:style>
  <w:style w:type="paragraph" w:styleId="11">
    <w:name w:val="heading 8"/>
    <w:basedOn w:val="1"/>
    <w:next w:val="7"/>
    <w:link w:val="39"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  <w:szCs w:val="20"/>
    </w:rPr>
  </w:style>
  <w:style w:type="paragraph" w:styleId="12">
    <w:name w:val="heading 9"/>
    <w:basedOn w:val="1"/>
    <w:next w:val="7"/>
    <w:link w:val="40"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0"/>
    </w:rPr>
  </w:style>
  <w:style w:type="character" w:default="1" w:styleId="26">
    <w:name w:val="Default Paragraph Font"/>
    <w:unhideWhenUsed/>
    <w:qFormat/>
    <w:uiPriority w:val="1"/>
  </w:style>
  <w:style w:type="table" w:default="1" w:styleId="2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45"/>
    <w:qFormat/>
    <w:uiPriority w:val="0"/>
    <w:pPr>
      <w:adjustRightInd w:val="0"/>
      <w:spacing w:line="360" w:lineRule="atLeast"/>
      <w:jc w:val="center"/>
      <w:textAlignment w:val="baseline"/>
    </w:pPr>
    <w:rPr>
      <w:rFonts w:asciiTheme="minorHAnsi" w:hAnsiTheme="minorHAnsi" w:eastAsiaTheme="minorEastAsia" w:cstheme="minorBidi"/>
      <w:sz w:val="24"/>
      <w:szCs w:val="22"/>
    </w:rPr>
  </w:style>
  <w:style w:type="paragraph" w:styleId="7">
    <w:name w:val="Normal Indent"/>
    <w:basedOn w:val="1"/>
    <w:qFormat/>
    <w:uiPriority w:val="99"/>
    <w:pPr>
      <w:ind w:firstLine="420"/>
    </w:pPr>
    <w:rPr>
      <w:szCs w:val="20"/>
    </w:rPr>
  </w:style>
  <w:style w:type="paragraph" w:styleId="13">
    <w:name w:val="annotation text"/>
    <w:basedOn w:val="1"/>
    <w:link w:val="53"/>
    <w:unhideWhenUsed/>
    <w:qFormat/>
    <w:uiPriority w:val="0"/>
    <w:pPr>
      <w:jc w:val="left"/>
    </w:pPr>
  </w:style>
  <w:style w:type="paragraph" w:styleId="14">
    <w:name w:val="Body Text Indent"/>
    <w:basedOn w:val="1"/>
    <w:link w:val="44"/>
    <w:qFormat/>
    <w:uiPriority w:val="99"/>
    <w:pPr>
      <w:adjustRightInd w:val="0"/>
      <w:spacing w:line="360" w:lineRule="auto"/>
      <w:ind w:firstLine="480"/>
    </w:pPr>
    <w:rPr>
      <w:rFonts w:asciiTheme="minorHAnsi" w:hAnsiTheme="minorHAnsi" w:cstheme="minorBidi"/>
      <w:sz w:val="24"/>
      <w:szCs w:val="22"/>
    </w:rPr>
  </w:style>
  <w:style w:type="paragraph" w:styleId="15">
    <w:name w:val="Plain Text"/>
    <w:basedOn w:val="1"/>
    <w:link w:val="46"/>
    <w:qFormat/>
    <w:uiPriority w:val="99"/>
    <w:pPr>
      <w:adjustRightInd w:val="0"/>
      <w:textAlignment w:val="baseline"/>
    </w:pPr>
    <w:rPr>
      <w:rFonts w:ascii="宋体" w:hAnsi="Courier New" w:eastAsiaTheme="minorEastAsia" w:cstheme="minorBidi"/>
      <w:szCs w:val="22"/>
    </w:rPr>
  </w:style>
  <w:style w:type="paragraph" w:styleId="16">
    <w:name w:val="Date"/>
    <w:basedOn w:val="1"/>
    <w:next w:val="1"/>
    <w:link w:val="41"/>
    <w:qFormat/>
    <w:uiPriority w:val="0"/>
    <w:pPr>
      <w:ind w:left="100" w:leftChars="2500"/>
    </w:pPr>
    <w:rPr>
      <w:rFonts w:asciiTheme="minorHAnsi" w:hAnsiTheme="minorHAnsi" w:cstheme="minorBidi"/>
      <w:b/>
      <w:sz w:val="44"/>
    </w:rPr>
  </w:style>
  <w:style w:type="paragraph" w:styleId="17">
    <w:name w:val="Body Text Indent 2"/>
    <w:basedOn w:val="1"/>
    <w:link w:val="42"/>
    <w:qFormat/>
    <w:uiPriority w:val="0"/>
    <w:pPr>
      <w:ind w:left="600"/>
    </w:pPr>
    <w:rPr>
      <w:rFonts w:eastAsia="楷体_GB2312" w:asciiTheme="minorHAnsi" w:hAnsiTheme="minorHAnsi" w:cstheme="minorBidi"/>
      <w:sz w:val="30"/>
    </w:rPr>
  </w:style>
  <w:style w:type="paragraph" w:styleId="18">
    <w:name w:val="Balloon Text"/>
    <w:basedOn w:val="1"/>
    <w:link w:val="47"/>
    <w:qFormat/>
    <w:uiPriority w:val="0"/>
    <w:rPr>
      <w:rFonts w:ascii="Tahoma" w:hAnsi="Tahoma" w:cs="Tahoma" w:eastAsiaTheme="minorEastAsia"/>
      <w:sz w:val="16"/>
      <w:szCs w:val="16"/>
    </w:rPr>
  </w:style>
  <w:style w:type="paragraph" w:styleId="19">
    <w:name w:val="footer"/>
    <w:basedOn w:val="1"/>
    <w:link w:val="3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3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semiHidden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2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23">
    <w:name w:val="annotation subject"/>
    <w:basedOn w:val="13"/>
    <w:next w:val="13"/>
    <w:link w:val="43"/>
    <w:qFormat/>
    <w:uiPriority w:val="0"/>
    <w:rPr>
      <w:rFonts w:asciiTheme="minorHAnsi" w:hAnsiTheme="minorHAnsi" w:eastAsiaTheme="minorEastAsia" w:cstheme="minorBidi"/>
      <w:b/>
      <w:bCs/>
    </w:rPr>
  </w:style>
  <w:style w:type="table" w:styleId="25">
    <w:name w:val="Table Grid"/>
    <w:basedOn w:val="2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page number"/>
    <w:basedOn w:val="26"/>
    <w:qFormat/>
    <w:uiPriority w:val="0"/>
  </w:style>
  <w:style w:type="character" w:styleId="28">
    <w:name w:val="Hyperlink"/>
    <w:qFormat/>
    <w:uiPriority w:val="99"/>
    <w:rPr>
      <w:rFonts w:cs="Times New Roman"/>
      <w:color w:val="0000FF"/>
      <w:u w:val="single"/>
    </w:rPr>
  </w:style>
  <w:style w:type="character" w:styleId="29">
    <w:name w:val="annotation reference"/>
    <w:qFormat/>
    <w:uiPriority w:val="0"/>
    <w:rPr>
      <w:sz w:val="21"/>
      <w:szCs w:val="21"/>
    </w:rPr>
  </w:style>
  <w:style w:type="character" w:customStyle="1" w:styleId="30">
    <w:name w:val="页眉 Char"/>
    <w:basedOn w:val="26"/>
    <w:link w:val="20"/>
    <w:qFormat/>
    <w:uiPriority w:val="0"/>
    <w:rPr>
      <w:sz w:val="18"/>
      <w:szCs w:val="18"/>
    </w:rPr>
  </w:style>
  <w:style w:type="character" w:customStyle="1" w:styleId="31">
    <w:name w:val="页脚 Char"/>
    <w:basedOn w:val="26"/>
    <w:link w:val="19"/>
    <w:qFormat/>
    <w:uiPriority w:val="0"/>
    <w:rPr>
      <w:sz w:val="18"/>
      <w:szCs w:val="18"/>
    </w:rPr>
  </w:style>
  <w:style w:type="character" w:customStyle="1" w:styleId="32">
    <w:name w:val="标题 1 Char"/>
    <w:basedOn w:val="26"/>
    <w:link w:val="3"/>
    <w:qFormat/>
    <w:uiPriority w:val="99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33">
    <w:name w:val="标题 2 Char"/>
    <w:basedOn w:val="26"/>
    <w:link w:val="4"/>
    <w:qFormat/>
    <w:uiPriority w:val="9"/>
    <w:rPr>
      <w:rFonts w:ascii="Arial" w:hAnsi="Arial" w:eastAsia="黑体" w:cs="Times New Roman"/>
      <w:b/>
      <w:kern w:val="0"/>
      <w:sz w:val="32"/>
      <w:szCs w:val="20"/>
    </w:rPr>
  </w:style>
  <w:style w:type="character" w:customStyle="1" w:styleId="34">
    <w:name w:val="标题 3 Char"/>
    <w:basedOn w:val="26"/>
    <w:link w:val="5"/>
    <w:qFormat/>
    <w:uiPriority w:val="9"/>
    <w:rPr>
      <w:rFonts w:ascii="Times New Roman" w:hAnsi="Times New Roman" w:eastAsia="宋体" w:cs="Times New Roman"/>
      <w:b/>
      <w:kern w:val="0"/>
      <w:sz w:val="32"/>
      <w:szCs w:val="20"/>
    </w:rPr>
  </w:style>
  <w:style w:type="character" w:customStyle="1" w:styleId="35">
    <w:name w:val="标题 4 Char"/>
    <w:basedOn w:val="26"/>
    <w:link w:val="6"/>
    <w:qFormat/>
    <w:uiPriority w:val="9"/>
    <w:rPr>
      <w:rFonts w:ascii="Arial" w:hAnsi="Arial" w:eastAsia="黑体" w:cs="Times New Roman"/>
      <w:b/>
      <w:sz w:val="28"/>
      <w:szCs w:val="20"/>
    </w:rPr>
  </w:style>
  <w:style w:type="character" w:customStyle="1" w:styleId="36">
    <w:name w:val="标题 5 Char"/>
    <w:basedOn w:val="26"/>
    <w:link w:val="8"/>
    <w:qFormat/>
    <w:uiPriority w:val="9"/>
    <w:rPr>
      <w:rFonts w:ascii="Times New Roman" w:hAnsi="Times New Roman" w:eastAsia="宋体" w:cs="Times New Roman"/>
      <w:b/>
      <w:sz w:val="28"/>
      <w:szCs w:val="20"/>
    </w:rPr>
  </w:style>
  <w:style w:type="character" w:customStyle="1" w:styleId="37">
    <w:name w:val="标题 6 Char"/>
    <w:basedOn w:val="26"/>
    <w:link w:val="9"/>
    <w:qFormat/>
    <w:uiPriority w:val="9"/>
    <w:rPr>
      <w:rFonts w:ascii="Arial" w:hAnsi="Arial" w:eastAsia="黑体" w:cs="Times New Roman"/>
      <w:b/>
      <w:sz w:val="24"/>
      <w:szCs w:val="20"/>
    </w:rPr>
  </w:style>
  <w:style w:type="character" w:customStyle="1" w:styleId="38">
    <w:name w:val="标题 7 Char"/>
    <w:basedOn w:val="26"/>
    <w:link w:val="10"/>
    <w:qFormat/>
    <w:uiPriority w:val="9"/>
    <w:rPr>
      <w:rFonts w:ascii="Times New Roman" w:hAnsi="Times New Roman" w:eastAsia="宋体" w:cs="Times New Roman"/>
      <w:b/>
      <w:sz w:val="24"/>
      <w:szCs w:val="20"/>
    </w:rPr>
  </w:style>
  <w:style w:type="character" w:customStyle="1" w:styleId="39">
    <w:name w:val="标题 8 Char"/>
    <w:basedOn w:val="26"/>
    <w:link w:val="11"/>
    <w:qFormat/>
    <w:uiPriority w:val="9"/>
    <w:rPr>
      <w:rFonts w:ascii="Arial" w:hAnsi="Arial" w:eastAsia="黑体" w:cs="Times New Roman"/>
      <w:sz w:val="24"/>
      <w:szCs w:val="20"/>
    </w:rPr>
  </w:style>
  <w:style w:type="character" w:customStyle="1" w:styleId="40">
    <w:name w:val="标题 9 Char"/>
    <w:basedOn w:val="26"/>
    <w:link w:val="12"/>
    <w:qFormat/>
    <w:uiPriority w:val="9"/>
    <w:rPr>
      <w:rFonts w:ascii="Arial" w:hAnsi="Arial" w:eastAsia="黑体" w:cs="Times New Roman"/>
      <w:szCs w:val="20"/>
    </w:rPr>
  </w:style>
  <w:style w:type="character" w:customStyle="1" w:styleId="41">
    <w:name w:val="日期 Char"/>
    <w:link w:val="16"/>
    <w:qFormat/>
    <w:uiPriority w:val="0"/>
    <w:rPr>
      <w:rFonts w:eastAsia="宋体"/>
      <w:b/>
      <w:sz w:val="44"/>
      <w:szCs w:val="24"/>
    </w:rPr>
  </w:style>
  <w:style w:type="character" w:customStyle="1" w:styleId="42">
    <w:name w:val="正文文本缩进 2 Char"/>
    <w:link w:val="17"/>
    <w:qFormat/>
    <w:uiPriority w:val="0"/>
    <w:rPr>
      <w:rFonts w:eastAsia="楷体_GB2312"/>
      <w:sz w:val="30"/>
      <w:szCs w:val="24"/>
    </w:rPr>
  </w:style>
  <w:style w:type="character" w:customStyle="1" w:styleId="43">
    <w:name w:val="批注主题 Char"/>
    <w:link w:val="23"/>
    <w:qFormat/>
    <w:uiPriority w:val="0"/>
    <w:rPr>
      <w:b/>
      <w:bCs/>
      <w:szCs w:val="24"/>
    </w:rPr>
  </w:style>
  <w:style w:type="character" w:customStyle="1" w:styleId="44">
    <w:name w:val="正文文本缩进 Char"/>
    <w:link w:val="14"/>
    <w:qFormat/>
    <w:uiPriority w:val="99"/>
    <w:rPr>
      <w:rFonts w:eastAsia="宋体"/>
      <w:sz w:val="24"/>
    </w:rPr>
  </w:style>
  <w:style w:type="character" w:customStyle="1" w:styleId="45">
    <w:name w:val="正文文本 Char"/>
    <w:link w:val="2"/>
    <w:qFormat/>
    <w:uiPriority w:val="0"/>
    <w:rPr>
      <w:sz w:val="24"/>
    </w:rPr>
  </w:style>
  <w:style w:type="character" w:customStyle="1" w:styleId="46">
    <w:name w:val="纯文本 Char"/>
    <w:link w:val="15"/>
    <w:qFormat/>
    <w:uiPriority w:val="99"/>
    <w:rPr>
      <w:rFonts w:ascii="宋体" w:hAnsi="Courier New"/>
    </w:rPr>
  </w:style>
  <w:style w:type="character" w:customStyle="1" w:styleId="47">
    <w:name w:val="批注框文本 Char"/>
    <w:link w:val="18"/>
    <w:qFormat/>
    <w:uiPriority w:val="0"/>
    <w:rPr>
      <w:rFonts w:ascii="Tahoma" w:hAnsi="Tahoma" w:cs="Tahoma"/>
      <w:sz w:val="16"/>
      <w:szCs w:val="16"/>
    </w:rPr>
  </w:style>
  <w:style w:type="character" w:customStyle="1" w:styleId="48">
    <w:name w:val="批注文字 Char"/>
    <w:qFormat/>
    <w:uiPriority w:val="0"/>
    <w:rPr>
      <w:kern w:val="2"/>
      <w:sz w:val="21"/>
      <w:szCs w:val="24"/>
    </w:rPr>
  </w:style>
  <w:style w:type="character" w:customStyle="1" w:styleId="49">
    <w:name w:val="Anrede1IhrZeichen"/>
    <w:qFormat/>
    <w:uiPriority w:val="0"/>
    <w:rPr>
      <w:rFonts w:ascii="Arial" w:hAnsi="Arial" w:cs="Times New Roman"/>
      <w:sz w:val="20"/>
    </w:rPr>
  </w:style>
  <w:style w:type="character" w:customStyle="1" w:styleId="50">
    <w:name w:val="日期 Char1"/>
    <w:basedOn w:val="2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1">
    <w:name w:val="正文文本缩进 Char1"/>
    <w:basedOn w:val="2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2">
    <w:name w:val="正文文本 Char1"/>
    <w:basedOn w:val="2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3">
    <w:name w:val="批注文字 Char1"/>
    <w:basedOn w:val="26"/>
    <w:link w:val="1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4">
    <w:name w:val="批注主题 Char1"/>
    <w:basedOn w:val="53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55">
    <w:name w:val="纯文本 Char1"/>
    <w:basedOn w:val="26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56">
    <w:name w:val="正文文本缩进 2 Char1"/>
    <w:basedOn w:val="2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7">
    <w:name w:val="批注框文本 Char1"/>
    <w:basedOn w:val="2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58">
    <w:name w:val="Body"/>
    <w:qFormat/>
    <w:uiPriority w:val="0"/>
    <w:rPr>
      <w:rFonts w:ascii="Helvetica" w:hAnsi="Helvetica" w:eastAsia="ヒラギノ角ゴ Pro W3" w:cs="Times New Roman"/>
      <w:color w:val="000000"/>
      <w:sz w:val="24"/>
      <w:lang w:val="en-US" w:eastAsia="en-US" w:bidi="ar-SA"/>
    </w:rPr>
  </w:style>
  <w:style w:type="paragraph" w:customStyle="1" w:styleId="59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60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61">
    <w:name w:val="列出段落2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TX</Company>
  <Pages>2</Pages>
  <Words>993</Words>
  <Characters>1050</Characters>
  <Lines>10</Lines>
  <Paragraphs>3</Paragraphs>
  <TotalTime>1</TotalTime>
  <ScaleCrop>false</ScaleCrop>
  <LinksUpToDate>false</LinksUpToDate>
  <CharactersWithSpaces>1058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2018-01-16T06:33:00Z</dcterms:created>
  <dc:creator>HL</dc:creator>
  <cp:lastModifiedBy>user</cp:lastModifiedBy>
  <cp:lastPrinted>2016-08-01T01:43:00Z</cp:lastPrinted>
  <dcterms:modified xsi:type="dcterms:W3CDTF">2026-02-04T06:39:03Z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A3439FF1DE454C0AA9AAAE384D157797</vt:lpwstr>
  </property>
  <property fmtid="{D5CDD505-2E9C-101B-9397-08002B2CF9AE}" pid="4" name="KSOTemplateDocerSaveRecord">
    <vt:lpwstr>eyJoZGlkIjoiZmM4OTg4OTY2NWQyOWMzOWMxNDU2NWM0ODRiZDRmMGEiLCJ1c2VySWQiOiIyOTA2NTg0MTcifQ==</vt:lpwstr>
  </property>
</Properties>
</file>