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hint="default" w:ascii="仿宋_GB2312" w:hAnsi="华文细黑" w:eastAsia="仿宋_GB2312"/>
          <w:b/>
          <w:sz w:val="24"/>
          <w:lang w:val="en-US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交货期：签订合同后三个月内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内镜清洗工作站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hd w:val="clear" w:color="auto" w:fill="FFFFFF"/>
              <w:rPr>
                <w:rFonts w:cs="宋体" w:asciiTheme="majorEastAsia" w:hAnsiTheme="majorEastAsia" w:eastAsiaTheme="maj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用于软式内窥镜的清洗消毒及干燥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清洗槽、超声震荡槽、漂洗槽、浸泡消毒槽、终末漂洗槽、干燥台、管路系统、控 制系统组成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清洗流程要求：室内设备布局从污到洁，由测漏、清洗、超声震荡、漂洗、消毒、终末漂洗、干燥、储存或使用流程组成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主体部分材质参数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2.1 内镜清洗工作站清洗槽：采用复合或 PMMA-ABS 板材，无锋角，无接缝，满足国标要求：拉伸强度 ≥35.0MPa；弯曲强度≥60MPa；简支梁缺口冲击强度 ≥32CkJ/m2；熔体质量流动速率 5.0~8.0g/10min；弯曲弹性模量≥1900MPa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2.2 背板为整体304不锈钢吊柜设计或整体材质同清洗槽；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2.3 具有触摸屏：一体化设计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洗消槽及台面参数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3.1 双联槽数组：根据医院现场安装改造，均带溢水口和自动排液功能；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3.2清洗消毒槽防泛水设计：槽面向内侧带倾斜角度，前端高于后端；透明槽盖，浸泡酶洗槽专用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3.3干燥台面数组，根据医院现场安装改造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3.4工作站清洗槽、消毒槽应有容量标识，标示的分度值应不大于 2 L，且容量标识误差应不超过 20%。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配置部分参数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4.1 设备由清洗槽、超声震荡槽、漂洗槽、浸泡消毒槽、终末漂洗槽、干燥台、管路系统、控 制系统组成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4.2 采用≥7 英寸触摸屏操作面板：具备测漏、灌流、监测、上液、排液多种功能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4.3 高压水枪，材质采用优质 304 不锈钢制作，压力: 0.3MPa 流量：≥5L/min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4.4 高压气枪，优质 304 不锈钢材质，压力：0～0.75MPa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4.5 中心气体处理系统，气枪气压调节范围：0～0.75Mpa，灌流器注气压力调节器≤于 0.02MPa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4.6 给排水系统采用：全优质 SUS304 不锈钢材质冷热水开关独立控制水龙头，全 304 优质高压编织供水软管及管件；优质的 PP-R 冷热水管材和管件，符合 GB/T 18742.2-2002 中 PP-R 技术要求和 SH-T 1750-2005 技术要求。排水系统采用：优质 PVC 钢丝排水软管及 PVC-U 专用排水管件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4.7 自动电子水源开关 1 个：自动控制中心系统总水源的开闭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4.8 内镜测漏系统及要求：用于清洗内镜前的检测。检测精度≤±O.OO2KPa,充气精度≤±O.4KPa，测试压力：20-30KPa，可任意调节；可设置充气气压，不同的内镜可以自动修改充气压力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4.9 供气管路要求：外径【7.9，8.1】mm，内径【5.4，5.65】mm，耐压：≥15kg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4.10、电动翻盖功能，可通过人机界面或脚踏开关实现消毒槽槽盖的打开和关闭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4.11 中心气体处理器要求：具备油水分离功能，包括气源处理系统和灌流气压调节器，中心气体处理器（空气过滤减压装置）能过滤直径≥0.3μm 的微粒；提供相关洁净气源检测报告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4.12 电气安全性能要求：工作站的电气安全性能应符合 GB 9706.1-2007《医用电气设备 第 1 部分：安全通用要求》 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4.13电磁兼容性要求：工作站应符合 GB 18268.1-2010 《测量、控制和实验室用的电设备 电磁兼容性要求第 1 部分:通用要求》的要求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内镜追溯管理系统技术参数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5.1追溯系统刷卡后，追溯面板会自动打开进入清洗界面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5.2支持从预约接待、诊疗、清洗、消毒、检查确认过程进行完整的追溯控制不受清洗槽、全自动清洗机、组流程、内镜检查室等数量的限制，具有工作统计、查询功能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5.3具有内镜清洗监控系统：采集的各步骤实时数据，包含内镜类型、清洗类别、内镜 RFID 识别码、内镜型号、清洗人员工号、清洗日期及各步骤名称、开始时间、作业时长、达标情况等，记录首次和二次消毒全过程自动追溯控制记录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5.4具有统计查询系统：工作量和内镜清洗数据统计查询，统计查询指定日期段内镜清洗明细，查询条件可以日期时间，洗消人、洗消类型。查询结果：内镜种类、内镜型号、内镜编号、洗消人、洗消日期、内镜名称、洗消时长、清洗工序。所有查询结果均能够导出 XLS 格式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5.5具有消毒液监测功能：可监测消毒液名称、消毒液使用次数，监测次数，消毒液浓度、操作时间、操作人员等与消毒液有关的信息；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5.6具有耗材管理功能：可对内镜中心使用的耗材出入库管理、材料盘点、库存查询等功能；具有维修管理功能：可对内镜的终身进行登记管理，记录内镜的购入，维修，维修故障信息，维修操作信息等。提供软件功能界面截图以说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5.7自动识别清洗类型：正常清洗、二次清洗、特殊清洗、完结清洗、并在监 控平台进行特殊标注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5.8三重预警，防范感染风险： 阳性病人使用预警、未达到规定清洗时间拿出预警、使用前消毒对所有的操作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5.9和医院 HIS、PACS 系统的高度融合：实现系统间的互联互通和数据共享（和美迪康、天助 、东软、东华等）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5.10和科室全自动清洗对接：厂家开放接口的前提下，实现自动采集设备数据及监控设备运行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5.11系统可扩展性：系统具有较强的可扩展性和兼容性，不受清洗槽及流程和自动清洗机数量的限制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5.12系统安全性：服务器自动备份、客户端自动更新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684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配置要求：提供不低于以上硬件及软件和功能的同等级配置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六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1.8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医疗器械</w:t>
            </w:r>
            <w:r>
              <w:rPr>
                <w:rFonts w:asciiTheme="majorEastAsia" w:hAnsiTheme="majorEastAsia" w:eastAsiaTheme="majorEastAsia"/>
                <w:szCs w:val="21"/>
              </w:rPr>
              <w:t>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三证</w:t>
            </w:r>
            <w:r>
              <w:rPr>
                <w:rFonts w:asciiTheme="majorEastAsia" w:hAnsiTheme="majorEastAsia" w:eastAsiaTheme="majorEastAsia"/>
                <w:szCs w:val="21"/>
              </w:rPr>
              <w:t>”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代理商需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为</w:t>
            </w:r>
            <w:r>
              <w:rPr>
                <w:rFonts w:asciiTheme="majorEastAsia" w:hAnsiTheme="majorEastAsia" w:eastAsiaTheme="majorEastAsia"/>
                <w:szCs w:val="21"/>
              </w:rPr>
              <w:t>本地二级以上代理，并提供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设备生产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半年</w:t>
            </w:r>
            <w:r>
              <w:rPr>
                <w:rFonts w:asciiTheme="majorEastAsia" w:hAnsiTheme="majorEastAsia" w:eastAsiaTheme="majorEastAsia"/>
                <w:szCs w:val="21"/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贰年（24个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全责（不区分</w:t>
            </w:r>
            <w:r>
              <w:rPr>
                <w:rFonts w:asciiTheme="majorEastAsia" w:hAnsiTheme="majorEastAsia" w:eastAsiaTheme="majorEastAsia"/>
                <w:szCs w:val="21"/>
              </w:rPr>
              <w:t>是否人为）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免费保修，所有</w:t>
            </w:r>
            <w:r>
              <w:rPr>
                <w:rFonts w:asciiTheme="majorEastAsia" w:hAnsiTheme="majorEastAsia" w:eastAsiaTheme="majorEastAsia"/>
                <w:szCs w:val="21"/>
              </w:rPr>
              <w:t>原机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装配</w:t>
            </w:r>
            <w:r>
              <w:rPr>
                <w:rFonts w:asciiTheme="majorEastAsia" w:hAnsiTheme="majorEastAsia" w:eastAsiaTheme="majorEastAsia"/>
                <w:szCs w:val="21"/>
              </w:rPr>
              <w:t>附带的零配件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均</w:t>
            </w:r>
            <w:r>
              <w:rPr>
                <w:rFonts w:asciiTheme="majorEastAsia" w:hAnsiTheme="majorEastAsia" w:eastAsiaTheme="majorEastAsia"/>
                <w:szCs w:val="21"/>
              </w:rPr>
              <w:t>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更换;保修期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。24小时不能排除故障要求提供备品服务，备品满足同样要求。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6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mFiZDc2ZjBmN2E5YzA3NWI0YTYxYzdmOGI1YmEifQ=="/>
  </w:docVars>
  <w:rsids>
    <w:rsidRoot w:val="00A65AA2"/>
    <w:rsid w:val="0000238B"/>
    <w:rsid w:val="000824C6"/>
    <w:rsid w:val="000B0769"/>
    <w:rsid w:val="000B7C66"/>
    <w:rsid w:val="000C127A"/>
    <w:rsid w:val="000C1E61"/>
    <w:rsid w:val="00142B7C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331329"/>
    <w:rsid w:val="00371B50"/>
    <w:rsid w:val="00374259"/>
    <w:rsid w:val="003852C5"/>
    <w:rsid w:val="003A0E18"/>
    <w:rsid w:val="003E62EF"/>
    <w:rsid w:val="0041287A"/>
    <w:rsid w:val="004517D5"/>
    <w:rsid w:val="00457C49"/>
    <w:rsid w:val="00467B7C"/>
    <w:rsid w:val="00473067"/>
    <w:rsid w:val="0047638A"/>
    <w:rsid w:val="004926F1"/>
    <w:rsid w:val="004A0592"/>
    <w:rsid w:val="004B28E7"/>
    <w:rsid w:val="004B7AF6"/>
    <w:rsid w:val="004E57E4"/>
    <w:rsid w:val="005219BC"/>
    <w:rsid w:val="00581911"/>
    <w:rsid w:val="005B5FBA"/>
    <w:rsid w:val="005B74A0"/>
    <w:rsid w:val="005C0F0F"/>
    <w:rsid w:val="006029AC"/>
    <w:rsid w:val="0060323B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319C7"/>
    <w:rsid w:val="0076528B"/>
    <w:rsid w:val="007A5F17"/>
    <w:rsid w:val="007B4FA0"/>
    <w:rsid w:val="007E3306"/>
    <w:rsid w:val="008356B1"/>
    <w:rsid w:val="00851DB5"/>
    <w:rsid w:val="008533BE"/>
    <w:rsid w:val="00854822"/>
    <w:rsid w:val="008972C3"/>
    <w:rsid w:val="00902701"/>
    <w:rsid w:val="009461BB"/>
    <w:rsid w:val="009A0ED6"/>
    <w:rsid w:val="00A26AF4"/>
    <w:rsid w:val="00A65AA2"/>
    <w:rsid w:val="00AF7C4B"/>
    <w:rsid w:val="00B74A39"/>
    <w:rsid w:val="00B7571A"/>
    <w:rsid w:val="00B80FF0"/>
    <w:rsid w:val="00BE5777"/>
    <w:rsid w:val="00C42206"/>
    <w:rsid w:val="00C91D39"/>
    <w:rsid w:val="00CC1748"/>
    <w:rsid w:val="00CD3AF4"/>
    <w:rsid w:val="00D206FF"/>
    <w:rsid w:val="00D237A3"/>
    <w:rsid w:val="00D4659E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C7B0D"/>
    <w:rsid w:val="060F0D08"/>
    <w:rsid w:val="0B097FD8"/>
    <w:rsid w:val="18D15321"/>
    <w:rsid w:val="2149312A"/>
    <w:rsid w:val="27BD15C7"/>
    <w:rsid w:val="2C1B702E"/>
    <w:rsid w:val="2E102DF9"/>
    <w:rsid w:val="35903C5D"/>
    <w:rsid w:val="37964F3A"/>
    <w:rsid w:val="440E7A36"/>
    <w:rsid w:val="52DB0DB3"/>
    <w:rsid w:val="58FD49FD"/>
    <w:rsid w:val="59FE631F"/>
    <w:rsid w:val="5E9D5DB5"/>
    <w:rsid w:val="6033104B"/>
    <w:rsid w:val="60702506"/>
    <w:rsid w:val="6B903568"/>
    <w:rsid w:val="6EFF1582"/>
    <w:rsid w:val="71DE1BCB"/>
    <w:rsid w:val="78001535"/>
    <w:rsid w:val="7B2C6CEF"/>
    <w:rsid w:val="7D645B07"/>
    <w:rsid w:val="7E0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33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link w:val="34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6">
    <w:name w:val="heading 4"/>
    <w:basedOn w:val="1"/>
    <w:next w:val="7"/>
    <w:link w:val="35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36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37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38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39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40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13">
    <w:name w:val="annotation text"/>
    <w:basedOn w:val="1"/>
    <w:link w:val="53"/>
    <w:unhideWhenUsed/>
    <w:qFormat/>
    <w:uiPriority w:val="0"/>
    <w:pPr>
      <w:jc w:val="left"/>
    </w:pPr>
  </w:style>
  <w:style w:type="paragraph" w:styleId="14">
    <w:name w:val="Body Text Indent"/>
    <w:basedOn w:val="1"/>
    <w:link w:val="44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6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1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2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7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23">
    <w:name w:val="annotation subject"/>
    <w:basedOn w:val="13"/>
    <w:next w:val="13"/>
    <w:link w:val="43"/>
    <w:qFormat/>
    <w:uiPriority w:val="0"/>
    <w:rPr>
      <w:rFonts w:asciiTheme="minorHAnsi" w:hAnsiTheme="minorHAnsi" w:eastAsiaTheme="minorEastAsia" w:cstheme="minorBidi"/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99"/>
    <w:rPr>
      <w:rFonts w:cs="Times New Roman"/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页眉 Char"/>
    <w:basedOn w:val="26"/>
    <w:link w:val="20"/>
    <w:qFormat/>
    <w:uiPriority w:val="0"/>
    <w:rPr>
      <w:sz w:val="18"/>
      <w:szCs w:val="18"/>
    </w:rPr>
  </w:style>
  <w:style w:type="character" w:customStyle="1" w:styleId="31">
    <w:name w:val="页脚 Char"/>
    <w:basedOn w:val="26"/>
    <w:link w:val="19"/>
    <w:qFormat/>
    <w:uiPriority w:val="0"/>
    <w:rPr>
      <w:sz w:val="18"/>
      <w:szCs w:val="18"/>
    </w:rPr>
  </w:style>
  <w:style w:type="character" w:customStyle="1" w:styleId="32">
    <w:name w:val="标题 1 Char"/>
    <w:basedOn w:val="26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3">
    <w:name w:val="标题 2 Char"/>
    <w:basedOn w:val="26"/>
    <w:link w:val="4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4">
    <w:name w:val="标题 3 Char"/>
    <w:basedOn w:val="26"/>
    <w:link w:val="5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5">
    <w:name w:val="标题 4 Char"/>
    <w:basedOn w:val="26"/>
    <w:link w:val="6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6">
    <w:name w:val="标题 5 Char"/>
    <w:basedOn w:val="26"/>
    <w:link w:val="8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7">
    <w:name w:val="标题 6 Char"/>
    <w:basedOn w:val="26"/>
    <w:link w:val="9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8">
    <w:name w:val="标题 7 Char"/>
    <w:basedOn w:val="26"/>
    <w:link w:val="10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9">
    <w:name w:val="标题 8 Char"/>
    <w:basedOn w:val="26"/>
    <w:link w:val="11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40">
    <w:name w:val="标题 9 Char"/>
    <w:basedOn w:val="26"/>
    <w:link w:val="12"/>
    <w:qFormat/>
    <w:uiPriority w:val="9"/>
    <w:rPr>
      <w:rFonts w:ascii="Arial" w:hAnsi="Arial" w:eastAsia="黑体" w:cs="Times New Roman"/>
      <w:szCs w:val="20"/>
    </w:rPr>
  </w:style>
  <w:style w:type="character" w:customStyle="1" w:styleId="41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2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3">
    <w:name w:val="批注主题 Char"/>
    <w:link w:val="23"/>
    <w:qFormat/>
    <w:uiPriority w:val="0"/>
    <w:rPr>
      <w:b/>
      <w:bCs/>
      <w:szCs w:val="24"/>
    </w:rPr>
  </w:style>
  <w:style w:type="character" w:customStyle="1" w:styleId="44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5">
    <w:name w:val="正文文本 Char"/>
    <w:link w:val="2"/>
    <w:qFormat/>
    <w:uiPriority w:val="0"/>
    <w:rPr>
      <w:sz w:val="24"/>
    </w:rPr>
  </w:style>
  <w:style w:type="character" w:customStyle="1" w:styleId="46">
    <w:name w:val="纯文本 Char"/>
    <w:link w:val="15"/>
    <w:qFormat/>
    <w:uiPriority w:val="99"/>
    <w:rPr>
      <w:rFonts w:ascii="宋体" w:hAnsi="Courier New"/>
    </w:rPr>
  </w:style>
  <w:style w:type="character" w:customStyle="1" w:styleId="47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8">
    <w:name w:val="批注文字 Char"/>
    <w:qFormat/>
    <w:uiPriority w:val="0"/>
    <w:rPr>
      <w:kern w:val="2"/>
      <w:sz w:val="21"/>
      <w:szCs w:val="24"/>
    </w:rPr>
  </w:style>
  <w:style w:type="character" w:customStyle="1" w:styleId="49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50">
    <w:name w:val="日期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文字 Char1"/>
    <w:basedOn w:val="26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1"/>
    <w:basedOn w:val="5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纯文本 Char1"/>
    <w:basedOn w:val="2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6">
    <w:name w:val="正文文本缩进 2 Char1"/>
    <w:basedOn w:val="2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批注框文本 Char1"/>
    <w:basedOn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8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9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1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993</Words>
  <Characters>1050</Characters>
  <Lines>10</Lines>
  <Paragraphs>3</Paragraphs>
  <TotalTime>0</TotalTime>
  <ScaleCrop>false</ScaleCrop>
  <LinksUpToDate>false</LinksUpToDate>
  <CharactersWithSpaces>1058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user</cp:lastModifiedBy>
  <cp:lastPrinted>2016-08-01T01:43:00Z</cp:lastPrinted>
  <dcterms:modified xsi:type="dcterms:W3CDTF">2026-02-04T03:10:58Z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88E015682E584F898CE84017DFE01D5D</vt:lpwstr>
  </property>
  <property fmtid="{D5CDD505-2E9C-101B-9397-08002B2CF9AE}" pid="4" name="KSOTemplateDocerSaveRecord">
    <vt:lpwstr>eyJoZGlkIjoiZmM4OTg4OTY2NWQyOWMzOWMxNDU2NWM0ODRiZDRmMGEiLCJ1c2VySWQiOiIyOTA2NTg0MTcifQ==</vt:lpwstr>
  </property>
</Properties>
</file>