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/>
          <w:b/>
          <w:bCs/>
          <w:sz w:val="36"/>
          <w:szCs w:val="36"/>
        </w:rPr>
        <w:t>货物需求一览表及技术规格</w:t>
      </w:r>
    </w:p>
    <w:p>
      <w:pPr>
        <w:ind w:left="424" w:leftChars="202"/>
        <w:rPr>
          <w:rFonts w:ascii="仿宋_GB2312" w:hAnsi="华文细黑" w:eastAsia="仿宋_GB2312"/>
          <w:b/>
          <w:sz w:val="24"/>
        </w:rPr>
      </w:pPr>
      <w:r>
        <w:rPr>
          <w:rFonts w:hint="eastAsia" w:ascii="仿宋_GB2312" w:hAnsi="华文细黑" w:eastAsia="仿宋_GB2312"/>
          <w:b/>
          <w:sz w:val="24"/>
        </w:rPr>
        <w:t>交货期：签订合同后</w:t>
      </w:r>
      <w:r>
        <w:rPr>
          <w:rFonts w:hint="eastAsia" w:ascii="仿宋_GB2312" w:hAnsi="华文细黑" w:eastAsia="仿宋_GB2312"/>
          <w:b/>
          <w:sz w:val="24"/>
          <w:lang w:eastAsia="zh-CN"/>
        </w:rPr>
        <w:t>一</w:t>
      </w:r>
      <w:r>
        <w:rPr>
          <w:rFonts w:hint="eastAsia" w:ascii="仿宋_GB2312" w:hAnsi="华文细黑" w:eastAsia="仿宋_GB2312"/>
          <w:b/>
          <w:sz w:val="24"/>
        </w:rPr>
        <w:t>个月内</w:t>
      </w:r>
    </w:p>
    <w:tbl>
      <w:tblPr>
        <w:tblStyle w:val="23"/>
        <w:tblW w:w="83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招标要求条目号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招标规格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一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大型口腔机构抽吸气系统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二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FF0000"/>
                <w:szCs w:val="21"/>
                <w:highlight w:val="no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三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用途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exact"/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</w:t>
            </w:r>
            <w:r>
              <w:rPr>
                <w:rFonts w:hint="eastAsia"/>
              </w:rPr>
              <w:t>牙科口内抽吸的动力源及处理设备，与牙科椅位上的抽吸装置通过管道相连接，对牙科治疗区域内的喷雾、唾液、血液等进行抽吸，并自动进行水气分离和排放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四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主要组成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主要组成如下：</w:t>
            </w:r>
          </w:p>
          <w:tbl>
            <w:tblPr>
              <w:tblStyle w:val="23"/>
              <w:tblW w:w="592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6"/>
              <w:gridCol w:w="2063"/>
              <w:gridCol w:w="1600"/>
              <w:gridCol w:w="16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负压泵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6个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水汽分离罐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300L</w:t>
                  </w: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控制电箱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1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污水泵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清洁消毒系统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对分离罐清洁消毒</w:t>
                  </w: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88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排气过滤器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有效率99.99%</w:t>
                  </w: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00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季铵盐消毒液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30L</w:t>
                  </w: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00" w:hRule="atLeast"/>
              </w:trPr>
              <w:tc>
                <w:tcPr>
                  <w:tcW w:w="646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2063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安装及操作说明书</w:t>
                  </w:r>
                </w:p>
              </w:tc>
              <w:tc>
                <w:tcPr>
                  <w:tcW w:w="160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612" w:type="dxa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1套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00" w:hRule="atLeast"/>
              </w:trPr>
              <w:tc>
                <w:tcPr>
                  <w:tcW w:w="646" w:type="dxa"/>
                  <w:shd w:val="clear" w:color="auto" w:fill="auto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9</w:t>
                  </w:r>
                </w:p>
              </w:tc>
              <w:tc>
                <w:tcPr>
                  <w:tcW w:w="2063" w:type="dxa"/>
                  <w:shd w:val="clear" w:color="auto" w:fill="auto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eastAsia="zh-CN"/>
                    </w:rPr>
                    <w:t>制冷设备</w:t>
                  </w:r>
                </w:p>
              </w:tc>
              <w:tc>
                <w:tcPr>
                  <w:tcW w:w="1600" w:type="dxa"/>
                  <w:shd w:val="clear" w:color="auto" w:fill="auto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eastAsia="zh-CN"/>
                    </w:rPr>
                    <w:t>四季制冷空调</w:t>
                  </w:r>
                </w:p>
              </w:tc>
              <w:tc>
                <w:tcPr>
                  <w:tcW w:w="1612" w:type="dxa"/>
                  <w:shd w:val="clear" w:color="auto" w:fill="auto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1套</w:t>
                  </w:r>
                </w:p>
              </w:tc>
            </w:tr>
          </w:tbl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.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技术规格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vAlign w:val="top"/>
          </w:tcPr>
          <w:p/>
        </w:tc>
        <w:tc>
          <w:tcPr>
            <w:tcW w:w="6534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1、整套抽吸系统由抽吸电机、水汽分离罐、电路控制系统等组成；具有运行状态显示及人机对话功能。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2、抽吸系统自动平均分配抽吸电机的工作量，根据实际运行时间和所需流量，自动打开或关闭抽吸电机，确保抽吸电机的运行寿命。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3、抽吸电机数量 </w:t>
            </w:r>
            <w:r>
              <w:rPr>
                <w:rFonts w:hint="eastAsia"/>
                <w:lang w:eastAsia="zh-CN"/>
              </w:rPr>
              <w:t>≤</w:t>
            </w:r>
            <w:r>
              <w:rPr>
                <w:rFonts w:hint="eastAsia"/>
              </w:rPr>
              <w:t xml:space="preserve">6个；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4、机组的抽吸流量：≥18000L/min。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5、可根据欠压情况，机械旁路气阀和电动控制阀门会打开，流入补充的空气。如果欠压由于使用人数增多而低于某个特定值，另一台抽吸电机将同时打开。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6、机组的最大抽吸真空度（以数值的绝对值为准）：≤-160mBar。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7、在正常工作的情况下，恒定负压在-100 - -</w:t>
            </w:r>
            <w:r>
              <w:rPr>
                <w:rFonts w:hint="eastAsia"/>
                <w:lang w:val="en-US" w:eastAsia="zh-CN"/>
              </w:rPr>
              <w:t>200</w:t>
            </w:r>
            <w:r>
              <w:rPr>
                <w:rFonts w:hint="eastAsia"/>
              </w:rPr>
              <w:t>mBar之间。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8、系统具有智能控制功能，抽吸电机可自动均衡启动，如果一台负压泵发生故障，会自动转换到一个起作用的抽吸机器上继续工作。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9、设有紧急启动装置，在自动控制系统失效时，可应急使用设备，使设备处于安全运行模式。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10、主机上有显示控制屏，方便检查所有核心部件的工作状态，如查询故障排除指南、运行时间、使用说明等信息。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11、具有自动报错功能，屏幕上可显示错误信息，提示故障位置及处理方法。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12、水气分离罐。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12.1水气分离罐材质：316级不锈钢；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12.2容积≥300L；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12.3内置自动清洁与冲洗消毒装置，可实现每工作24h自动在分离罐内进行冲洗和消毒；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12.4水气分离罐配有废水泵，能自动检测液位报警并排空废水。</w:t>
            </w:r>
          </w:p>
          <w:p>
            <w:r>
              <w:rPr>
                <w:rFonts w:hint="eastAsia"/>
              </w:rPr>
              <w:t>12.5水汽分离罐具有独立显示屏，并可显示罐内液位，进行相关功能设置。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13、配有排气细菌过滤器，细菌过滤效率≥99.997%，可提供检测报告。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、工作噪音:≤76dB(A)。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15、电机防护等级：IP55。</w:t>
            </w:r>
          </w:p>
          <w:p>
            <w:pPr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16、</w:t>
            </w:r>
            <w:r>
              <w:rPr>
                <w:rFonts w:hint="eastAsia"/>
                <w:lang w:eastAsia="zh-CN"/>
              </w:rPr>
              <w:t>房间配备四季制冷设备，</w:t>
            </w:r>
            <w:r>
              <w:rPr>
                <w:rFonts w:hint="eastAsia"/>
              </w:rPr>
              <w:t>环境温度10 ℃ ～ 40 ℃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17、包含24个月内设备原厂保养。</w:t>
            </w:r>
          </w:p>
          <w:p>
            <w:pPr>
              <w:pStyle w:val="2"/>
              <w:jc w:val="both"/>
              <w:rPr>
                <w:rFonts w:hint="default" w:ascii="Times New Roman" w:hAnsi="Times New Roman" w:cs="Times New Roman" w:eastAsiaTheme="minorEastAsia"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18、设备总功率≤16KW。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六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Theme="majorEastAsia" w:hAnsiTheme="majorEastAsia" w:eastAsiaTheme="majorEastAsia"/>
                <w:b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1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highlight w:val="yellow"/>
              </w:rPr>
              <w:t>中标厂商</w:t>
            </w:r>
            <w:r>
              <w:rPr>
                <w:rFonts w:hint="eastAsia"/>
                <w:highlight w:val="yellow"/>
                <w:lang w:val="en-US" w:eastAsia="zh-CN"/>
              </w:rPr>
              <w:t>配合甲方进行场地规划</w:t>
            </w:r>
            <w:r>
              <w:rPr>
                <w:rFonts w:hint="eastAsia"/>
              </w:rPr>
              <w:t>、搬运、安装、调试，包括设备到货至安装期间之搬运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3"/>
              <w:rPr>
                <w:rFonts w:hint="eastAsia"/>
                <w:highlight w:val="yellow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highlight w:val="yellow"/>
                <w:lang w:val="en-US" w:eastAsia="zh-CN"/>
              </w:rPr>
              <w:t>中标厂商负责安装。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安装完成需提交安装报告书与质量报告书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本规格书经厂商填报后，为合约之一部分，验收时依本规格书逐项比对</w:t>
            </w:r>
          </w:p>
          <w:p>
            <w:pPr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厂商需负责清理安装所产生的废弃物</w:t>
            </w:r>
          </w:p>
          <w:p>
            <w:pPr>
              <w:jc w:val="left"/>
              <w:textAlignment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厂商需负责安装现场整洁; 若有损坏需负责恢复原状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2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证照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及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厂商资质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代理商需为本地二级以上代理，并提供设备生产厂商半年期以上授权书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3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center"/>
              <w:textAlignment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extAlignment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</w:rPr>
              <w:t>自设备验收完成之日起，</w:t>
            </w:r>
            <w:r>
              <w:rPr>
                <w:rFonts w:hint="eastAsia"/>
                <w:highlight w:val="yellow"/>
              </w:rPr>
              <w:t>贰年（24个月）免费保修</w:t>
            </w:r>
            <w:r>
              <w:rPr>
                <w:rFonts w:hint="eastAsia"/>
                <w:highlight w:val="yellow"/>
                <w:lang w:eastAsia="zh-CN"/>
              </w:rPr>
              <w:t>。</w:t>
            </w:r>
            <w:r>
              <w:rPr>
                <w:rFonts w:hint="eastAsia"/>
              </w:rPr>
              <w:t>所有原机装配附带的零配件均免费更换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保修期内并依原厂规定执行</w:t>
            </w:r>
            <w:r>
              <w:rPr>
                <w:rFonts w:hint="eastAsia"/>
                <w:b/>
                <w:bCs/>
                <w:highlight w:val="yellow"/>
              </w:rPr>
              <w:t>定期保养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（含耗材）</w:t>
            </w:r>
            <w:r>
              <w:rPr>
                <w:rFonts w:hint="eastAsia"/>
              </w:rPr>
              <w:t>与校正，中标厂商提供保养工具及设备。24小时不能排除故障要求提供备品服务，备品满足同样要求。</w:t>
            </w:r>
          </w:p>
        </w:tc>
      </w:tr>
    </w:tbl>
    <w:p>
      <w:pPr>
        <w:spacing w:line="30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17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rPr>
        <w:rFonts w:hint="eastAsia" w:cs="Times New Roman"/>
        <w:b/>
        <w:i w:val="0"/>
        <w:sz w:val="24"/>
      </w:rPr>
    </w:lvl>
    <w:lvl w:ilvl="1" w:tentative="0">
      <w:start w:val="1"/>
      <w:numFmt w:val="decimal"/>
      <w:pStyle w:val="4"/>
      <w:suff w:val="nothing"/>
      <w:lvlText w:val="%2. "/>
      <w:lvlJc w:val="left"/>
      <w:rPr>
        <w:rFonts w:hint="eastAsia" w:cs="Times New Roman"/>
        <w:b w:val="0"/>
        <w:i w:val="0"/>
        <w:sz w:val="24"/>
      </w:rPr>
    </w:lvl>
    <w:lvl w:ilvl="2" w:tentative="0">
      <w:start w:val="1"/>
      <w:numFmt w:val="none"/>
      <w:pStyle w:val="5"/>
      <w:suff w:val="nothing"/>
      <w:lvlText w:val=""/>
      <w:lvlJc w:val="left"/>
      <w:rPr>
        <w:rFonts w:hint="eastAsia" w:cs="Times New Roman"/>
      </w:rPr>
    </w:lvl>
    <w:lvl w:ilvl="3" w:tentative="0">
      <w:start w:val="1"/>
      <w:numFmt w:val="none"/>
      <w:pStyle w:val="6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pStyle w:val="8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pStyle w:val="9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pStyle w:val="10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pStyle w:val="11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pStyle w:val="12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2"/>
    <w:rsid w:val="0000238B"/>
    <w:rsid w:val="000824C6"/>
    <w:rsid w:val="000B0769"/>
    <w:rsid w:val="000B7C66"/>
    <w:rsid w:val="000C127A"/>
    <w:rsid w:val="000C1E61"/>
    <w:rsid w:val="00142B7C"/>
    <w:rsid w:val="001E0822"/>
    <w:rsid w:val="00210F2C"/>
    <w:rsid w:val="00251A94"/>
    <w:rsid w:val="00256F03"/>
    <w:rsid w:val="00270625"/>
    <w:rsid w:val="00282CB3"/>
    <w:rsid w:val="0028499D"/>
    <w:rsid w:val="002A1879"/>
    <w:rsid w:val="002A6E83"/>
    <w:rsid w:val="00331329"/>
    <w:rsid w:val="00371B50"/>
    <w:rsid w:val="00374259"/>
    <w:rsid w:val="003852C5"/>
    <w:rsid w:val="003A0E18"/>
    <w:rsid w:val="003E62EF"/>
    <w:rsid w:val="0041287A"/>
    <w:rsid w:val="004517D5"/>
    <w:rsid w:val="00457C49"/>
    <w:rsid w:val="00467B7C"/>
    <w:rsid w:val="00473067"/>
    <w:rsid w:val="0047638A"/>
    <w:rsid w:val="004926F1"/>
    <w:rsid w:val="004A0592"/>
    <w:rsid w:val="004B28E7"/>
    <w:rsid w:val="004B7AF6"/>
    <w:rsid w:val="004E57E4"/>
    <w:rsid w:val="005219BC"/>
    <w:rsid w:val="00581911"/>
    <w:rsid w:val="005B5FBA"/>
    <w:rsid w:val="005B74A0"/>
    <w:rsid w:val="005C0F0F"/>
    <w:rsid w:val="006029AC"/>
    <w:rsid w:val="0060323B"/>
    <w:rsid w:val="006428C1"/>
    <w:rsid w:val="00672563"/>
    <w:rsid w:val="00682EA8"/>
    <w:rsid w:val="0068437C"/>
    <w:rsid w:val="006979A2"/>
    <w:rsid w:val="006D26C2"/>
    <w:rsid w:val="006D507D"/>
    <w:rsid w:val="006E2A3D"/>
    <w:rsid w:val="006E70E0"/>
    <w:rsid w:val="006F3ABD"/>
    <w:rsid w:val="00705DCD"/>
    <w:rsid w:val="007319C7"/>
    <w:rsid w:val="0076528B"/>
    <w:rsid w:val="007A5F17"/>
    <w:rsid w:val="007B4FA0"/>
    <w:rsid w:val="007E3306"/>
    <w:rsid w:val="008356B1"/>
    <w:rsid w:val="00851DB5"/>
    <w:rsid w:val="008533BE"/>
    <w:rsid w:val="00854822"/>
    <w:rsid w:val="008972C3"/>
    <w:rsid w:val="00902701"/>
    <w:rsid w:val="009461BB"/>
    <w:rsid w:val="009A0ED6"/>
    <w:rsid w:val="00A26AF4"/>
    <w:rsid w:val="00A65AA2"/>
    <w:rsid w:val="00AF7C4B"/>
    <w:rsid w:val="00B74A39"/>
    <w:rsid w:val="00B7571A"/>
    <w:rsid w:val="00B80FF0"/>
    <w:rsid w:val="00BE5777"/>
    <w:rsid w:val="00C42206"/>
    <w:rsid w:val="00C91D39"/>
    <w:rsid w:val="00CC1748"/>
    <w:rsid w:val="00CD3AF4"/>
    <w:rsid w:val="00D206FF"/>
    <w:rsid w:val="00D237A3"/>
    <w:rsid w:val="00D4659E"/>
    <w:rsid w:val="00D60D99"/>
    <w:rsid w:val="00D8792B"/>
    <w:rsid w:val="00D97CDB"/>
    <w:rsid w:val="00DA36E2"/>
    <w:rsid w:val="00DC220B"/>
    <w:rsid w:val="00E32760"/>
    <w:rsid w:val="00E54CFD"/>
    <w:rsid w:val="00E657CD"/>
    <w:rsid w:val="00E67BF8"/>
    <w:rsid w:val="00E82EA3"/>
    <w:rsid w:val="00E96B31"/>
    <w:rsid w:val="00EF582D"/>
    <w:rsid w:val="00F1631B"/>
    <w:rsid w:val="00F22C3F"/>
    <w:rsid w:val="00F55DAC"/>
    <w:rsid w:val="00FC7B0D"/>
    <w:rsid w:val="03683C27"/>
    <w:rsid w:val="047569C1"/>
    <w:rsid w:val="060F0D08"/>
    <w:rsid w:val="089F67CE"/>
    <w:rsid w:val="0D3D0160"/>
    <w:rsid w:val="112E059C"/>
    <w:rsid w:val="119E3E06"/>
    <w:rsid w:val="156A615C"/>
    <w:rsid w:val="16DB546B"/>
    <w:rsid w:val="251A7656"/>
    <w:rsid w:val="26BE50E6"/>
    <w:rsid w:val="272D45D3"/>
    <w:rsid w:val="27BD15C7"/>
    <w:rsid w:val="2C1B702E"/>
    <w:rsid w:val="2EC67693"/>
    <w:rsid w:val="2F6C58BC"/>
    <w:rsid w:val="30C035EF"/>
    <w:rsid w:val="37964F3A"/>
    <w:rsid w:val="38EB58BA"/>
    <w:rsid w:val="3A0169AD"/>
    <w:rsid w:val="3BD63A96"/>
    <w:rsid w:val="40DE7792"/>
    <w:rsid w:val="43F120F4"/>
    <w:rsid w:val="440A5110"/>
    <w:rsid w:val="45DE3CAE"/>
    <w:rsid w:val="4AE87177"/>
    <w:rsid w:val="4CE238BB"/>
    <w:rsid w:val="52DB0DB3"/>
    <w:rsid w:val="53770DE8"/>
    <w:rsid w:val="54F439C0"/>
    <w:rsid w:val="58FD49FD"/>
    <w:rsid w:val="5E5B2E8B"/>
    <w:rsid w:val="60702506"/>
    <w:rsid w:val="65CE41CC"/>
    <w:rsid w:val="6B903568"/>
    <w:rsid w:val="6EFF1582"/>
    <w:rsid w:val="711E01F1"/>
    <w:rsid w:val="758D7694"/>
    <w:rsid w:val="7B076E6F"/>
    <w:rsid w:val="7B2C6CEF"/>
    <w:rsid w:val="7BCB3205"/>
    <w:rsid w:val="7E03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link w:val="31"/>
    <w:qFormat/>
    <w:uiPriority w:val="9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paragraph" w:styleId="5">
    <w:name w:val="heading 3"/>
    <w:basedOn w:val="1"/>
    <w:next w:val="1"/>
    <w:link w:val="32"/>
    <w:qFormat/>
    <w:uiPriority w:val="9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6">
    <w:name w:val="heading 4"/>
    <w:basedOn w:val="1"/>
    <w:next w:val="7"/>
    <w:link w:val="33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sz w:val="28"/>
      <w:szCs w:val="20"/>
    </w:rPr>
  </w:style>
  <w:style w:type="paragraph" w:styleId="8">
    <w:name w:val="heading 5"/>
    <w:basedOn w:val="1"/>
    <w:next w:val="7"/>
    <w:link w:val="34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7"/>
    <w:link w:val="35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7"/>
    <w:link w:val="36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7"/>
    <w:link w:val="37"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7"/>
    <w:link w:val="38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24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3"/>
    <w:qFormat/>
    <w:uiPriority w:val="0"/>
    <w:pPr>
      <w:adjustRightInd w:val="0"/>
      <w:spacing w:line="360" w:lineRule="atLeast"/>
      <w:jc w:val="center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7">
    <w:name w:val="Normal Indent"/>
    <w:basedOn w:val="1"/>
    <w:qFormat/>
    <w:uiPriority w:val="99"/>
    <w:pPr>
      <w:ind w:firstLine="420"/>
    </w:pPr>
    <w:rPr>
      <w:szCs w:val="20"/>
    </w:rPr>
  </w:style>
  <w:style w:type="paragraph" w:styleId="13">
    <w:name w:val="annotation text"/>
    <w:basedOn w:val="1"/>
    <w:link w:val="51"/>
    <w:unhideWhenUsed/>
    <w:qFormat/>
    <w:uiPriority w:val="0"/>
    <w:pPr>
      <w:jc w:val="left"/>
    </w:pPr>
  </w:style>
  <w:style w:type="paragraph" w:styleId="14">
    <w:name w:val="Body Text Indent"/>
    <w:basedOn w:val="1"/>
    <w:link w:val="42"/>
    <w:qFormat/>
    <w:uiPriority w:val="99"/>
    <w:pPr>
      <w:adjustRightInd w:val="0"/>
      <w:spacing w:line="360" w:lineRule="auto"/>
      <w:ind w:firstLine="480"/>
    </w:pPr>
    <w:rPr>
      <w:rFonts w:asciiTheme="minorHAnsi" w:hAnsiTheme="minorHAnsi" w:cstheme="minorBidi"/>
      <w:sz w:val="24"/>
      <w:szCs w:val="22"/>
    </w:rPr>
  </w:style>
  <w:style w:type="paragraph" w:styleId="15">
    <w:name w:val="Plain Text"/>
    <w:basedOn w:val="1"/>
    <w:link w:val="44"/>
    <w:qFormat/>
    <w:uiPriority w:val="99"/>
    <w:pPr>
      <w:adjustRightInd w:val="0"/>
      <w:textAlignment w:val="baseline"/>
    </w:pPr>
    <w:rPr>
      <w:rFonts w:ascii="宋体" w:hAnsi="Courier New" w:eastAsiaTheme="minorEastAsia" w:cstheme="minorBidi"/>
      <w:szCs w:val="22"/>
    </w:rPr>
  </w:style>
  <w:style w:type="paragraph" w:styleId="16">
    <w:name w:val="Date"/>
    <w:basedOn w:val="1"/>
    <w:next w:val="1"/>
    <w:link w:val="39"/>
    <w:qFormat/>
    <w:uiPriority w:val="0"/>
    <w:pPr>
      <w:ind w:left="100" w:leftChars="2500"/>
    </w:pPr>
    <w:rPr>
      <w:rFonts w:asciiTheme="minorHAnsi" w:hAnsiTheme="minorHAnsi" w:cstheme="minorBidi"/>
      <w:b/>
      <w:sz w:val="44"/>
    </w:rPr>
  </w:style>
  <w:style w:type="paragraph" w:styleId="17">
    <w:name w:val="Body Text Indent 2"/>
    <w:basedOn w:val="1"/>
    <w:link w:val="40"/>
    <w:qFormat/>
    <w:uiPriority w:val="0"/>
    <w:pPr>
      <w:ind w:left="600"/>
    </w:pPr>
    <w:rPr>
      <w:rFonts w:eastAsia="楷体_GB2312" w:asciiTheme="minorHAnsi" w:hAnsiTheme="minorHAnsi" w:cstheme="minorBidi"/>
      <w:sz w:val="30"/>
    </w:rPr>
  </w:style>
  <w:style w:type="paragraph" w:styleId="18">
    <w:name w:val="Balloon Text"/>
    <w:basedOn w:val="1"/>
    <w:link w:val="45"/>
    <w:qFormat/>
    <w:uiPriority w:val="0"/>
    <w:rPr>
      <w:rFonts w:ascii="Tahoma" w:hAnsi="Tahoma" w:cs="Tahoma" w:eastAsiaTheme="minorEastAsia"/>
      <w:sz w:val="16"/>
      <w:szCs w:val="16"/>
    </w:rPr>
  </w:style>
  <w:style w:type="paragraph" w:styleId="19">
    <w:name w:val="foot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semiHidden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22">
    <w:name w:val="annotation subject"/>
    <w:basedOn w:val="13"/>
    <w:next w:val="13"/>
    <w:link w:val="41"/>
    <w:qFormat/>
    <w:uiPriority w:val="0"/>
    <w:rPr>
      <w:rFonts w:asciiTheme="minorHAnsi" w:hAnsiTheme="minorHAnsi" w:eastAsiaTheme="minorEastAsia" w:cstheme="minorBidi"/>
      <w:b/>
      <w:bCs/>
    </w:rPr>
  </w:style>
  <w:style w:type="character" w:styleId="25">
    <w:name w:val="page number"/>
    <w:basedOn w:val="24"/>
    <w:qFormat/>
    <w:uiPriority w:val="0"/>
  </w:style>
  <w:style w:type="character" w:styleId="26">
    <w:name w:val="Hyperlink"/>
    <w:qFormat/>
    <w:uiPriority w:val="99"/>
    <w:rPr>
      <w:rFonts w:cs="Times New Roman"/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customStyle="1" w:styleId="28">
    <w:name w:val="页眉 Char"/>
    <w:basedOn w:val="24"/>
    <w:link w:val="20"/>
    <w:qFormat/>
    <w:uiPriority w:val="0"/>
    <w:rPr>
      <w:sz w:val="18"/>
      <w:szCs w:val="18"/>
    </w:rPr>
  </w:style>
  <w:style w:type="character" w:customStyle="1" w:styleId="29">
    <w:name w:val="页脚 Char"/>
    <w:basedOn w:val="24"/>
    <w:link w:val="19"/>
    <w:qFormat/>
    <w:uiPriority w:val="0"/>
    <w:rPr>
      <w:sz w:val="18"/>
      <w:szCs w:val="18"/>
    </w:rPr>
  </w:style>
  <w:style w:type="character" w:customStyle="1" w:styleId="30">
    <w:name w:val="标题 1 Char"/>
    <w:basedOn w:val="24"/>
    <w:link w:val="3"/>
    <w:qFormat/>
    <w:uiPriority w:val="99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1">
    <w:name w:val="标题 2 Char"/>
    <w:basedOn w:val="24"/>
    <w:link w:val="4"/>
    <w:qFormat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32">
    <w:name w:val="标题 3 Char"/>
    <w:basedOn w:val="24"/>
    <w:link w:val="5"/>
    <w:qFormat/>
    <w:uiPriority w:val="9"/>
    <w:rPr>
      <w:rFonts w:ascii="Times New Roman" w:hAnsi="Times New Roman" w:eastAsia="宋体" w:cs="Times New Roman"/>
      <w:b/>
      <w:kern w:val="0"/>
      <w:sz w:val="32"/>
      <w:szCs w:val="20"/>
    </w:rPr>
  </w:style>
  <w:style w:type="character" w:customStyle="1" w:styleId="33">
    <w:name w:val="标题 4 Char"/>
    <w:basedOn w:val="24"/>
    <w:link w:val="6"/>
    <w:qFormat/>
    <w:uiPriority w:val="9"/>
    <w:rPr>
      <w:rFonts w:ascii="Arial" w:hAnsi="Arial" w:eastAsia="黑体" w:cs="Times New Roman"/>
      <w:b/>
      <w:sz w:val="28"/>
      <w:szCs w:val="20"/>
    </w:rPr>
  </w:style>
  <w:style w:type="character" w:customStyle="1" w:styleId="34">
    <w:name w:val="标题 5 Char"/>
    <w:basedOn w:val="24"/>
    <w:link w:val="8"/>
    <w:qFormat/>
    <w:uiPriority w:val="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35">
    <w:name w:val="标题 6 Char"/>
    <w:basedOn w:val="24"/>
    <w:link w:val="9"/>
    <w:qFormat/>
    <w:uiPriority w:val="9"/>
    <w:rPr>
      <w:rFonts w:ascii="Arial" w:hAnsi="Arial" w:eastAsia="黑体" w:cs="Times New Roman"/>
      <w:b/>
      <w:sz w:val="24"/>
      <w:szCs w:val="20"/>
    </w:rPr>
  </w:style>
  <w:style w:type="character" w:customStyle="1" w:styleId="36">
    <w:name w:val="标题 7 Char"/>
    <w:basedOn w:val="24"/>
    <w:link w:val="10"/>
    <w:qFormat/>
    <w:uiPriority w:val="9"/>
    <w:rPr>
      <w:rFonts w:ascii="Times New Roman" w:hAnsi="Times New Roman" w:eastAsia="宋体" w:cs="Times New Roman"/>
      <w:b/>
      <w:sz w:val="24"/>
      <w:szCs w:val="20"/>
    </w:rPr>
  </w:style>
  <w:style w:type="character" w:customStyle="1" w:styleId="37">
    <w:name w:val="标题 8 Char"/>
    <w:basedOn w:val="24"/>
    <w:link w:val="11"/>
    <w:qFormat/>
    <w:uiPriority w:val="9"/>
    <w:rPr>
      <w:rFonts w:ascii="Arial" w:hAnsi="Arial" w:eastAsia="黑体" w:cs="Times New Roman"/>
      <w:sz w:val="24"/>
      <w:szCs w:val="20"/>
    </w:rPr>
  </w:style>
  <w:style w:type="character" w:customStyle="1" w:styleId="38">
    <w:name w:val="标题 9 Char"/>
    <w:basedOn w:val="24"/>
    <w:link w:val="12"/>
    <w:qFormat/>
    <w:uiPriority w:val="9"/>
    <w:rPr>
      <w:rFonts w:ascii="Arial" w:hAnsi="Arial" w:eastAsia="黑体" w:cs="Times New Roman"/>
      <w:szCs w:val="20"/>
    </w:rPr>
  </w:style>
  <w:style w:type="character" w:customStyle="1" w:styleId="39">
    <w:name w:val="日期 Char"/>
    <w:link w:val="16"/>
    <w:qFormat/>
    <w:uiPriority w:val="0"/>
    <w:rPr>
      <w:rFonts w:eastAsia="宋体"/>
      <w:b/>
      <w:sz w:val="44"/>
      <w:szCs w:val="24"/>
    </w:rPr>
  </w:style>
  <w:style w:type="character" w:customStyle="1" w:styleId="40">
    <w:name w:val="正文文本缩进 2 Char"/>
    <w:link w:val="17"/>
    <w:qFormat/>
    <w:uiPriority w:val="0"/>
    <w:rPr>
      <w:rFonts w:eastAsia="楷体_GB2312"/>
      <w:sz w:val="30"/>
      <w:szCs w:val="24"/>
    </w:rPr>
  </w:style>
  <w:style w:type="character" w:customStyle="1" w:styleId="41">
    <w:name w:val="批注主题 Char"/>
    <w:link w:val="22"/>
    <w:qFormat/>
    <w:uiPriority w:val="0"/>
    <w:rPr>
      <w:b/>
      <w:bCs/>
      <w:szCs w:val="24"/>
    </w:rPr>
  </w:style>
  <w:style w:type="character" w:customStyle="1" w:styleId="42">
    <w:name w:val="正文文本缩进 Char"/>
    <w:link w:val="14"/>
    <w:qFormat/>
    <w:uiPriority w:val="99"/>
    <w:rPr>
      <w:rFonts w:eastAsia="宋体"/>
      <w:sz w:val="24"/>
    </w:rPr>
  </w:style>
  <w:style w:type="character" w:customStyle="1" w:styleId="43">
    <w:name w:val="正文文本 Char"/>
    <w:link w:val="2"/>
    <w:qFormat/>
    <w:uiPriority w:val="0"/>
    <w:rPr>
      <w:sz w:val="24"/>
    </w:rPr>
  </w:style>
  <w:style w:type="character" w:customStyle="1" w:styleId="44">
    <w:name w:val="纯文本 Char"/>
    <w:link w:val="15"/>
    <w:qFormat/>
    <w:uiPriority w:val="99"/>
    <w:rPr>
      <w:rFonts w:ascii="宋体" w:hAnsi="Courier New"/>
    </w:rPr>
  </w:style>
  <w:style w:type="character" w:customStyle="1" w:styleId="45">
    <w:name w:val="批注框文本 Char"/>
    <w:link w:val="18"/>
    <w:qFormat/>
    <w:uiPriority w:val="0"/>
    <w:rPr>
      <w:rFonts w:ascii="Tahoma" w:hAnsi="Tahoma" w:cs="Tahoma"/>
      <w:sz w:val="16"/>
      <w:szCs w:val="16"/>
    </w:rPr>
  </w:style>
  <w:style w:type="character" w:customStyle="1" w:styleId="46">
    <w:name w:val="批注文字 Char"/>
    <w:qFormat/>
    <w:uiPriority w:val="0"/>
    <w:rPr>
      <w:kern w:val="2"/>
      <w:sz w:val="21"/>
      <w:szCs w:val="24"/>
    </w:rPr>
  </w:style>
  <w:style w:type="character" w:customStyle="1" w:styleId="47">
    <w:name w:val="Anrede1IhrZeichen"/>
    <w:qFormat/>
    <w:uiPriority w:val="0"/>
    <w:rPr>
      <w:rFonts w:ascii="Arial" w:hAnsi="Arial" w:cs="Times New Roman"/>
      <w:sz w:val="20"/>
    </w:rPr>
  </w:style>
  <w:style w:type="character" w:customStyle="1" w:styleId="48">
    <w:name w:val="日期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9">
    <w:name w:val="正文文本缩进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0">
    <w:name w:val="正文文本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批注文字 Char1"/>
    <w:basedOn w:val="24"/>
    <w:link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2">
    <w:name w:val="批注主题 Char1"/>
    <w:basedOn w:val="5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3">
    <w:name w:val="纯文本 Char1"/>
    <w:basedOn w:val="2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4">
    <w:name w:val="正文文本缩进 2 Char1"/>
    <w:basedOn w:val="2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5">
    <w:name w:val="批注框文本 Char1"/>
    <w:basedOn w:val="2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56">
    <w:name w:val="Body"/>
    <w:qFormat/>
    <w:uiPriority w:val="0"/>
    <w:rPr>
      <w:rFonts w:ascii="Helvetica" w:hAnsi="Helvetica" w:eastAsia="ヒラギノ角ゴ Pro W3" w:cs="Times New Roman"/>
      <w:color w:val="000000"/>
      <w:sz w:val="24"/>
      <w:lang w:val="en-US" w:eastAsia="en-US" w:bidi="ar-SA"/>
    </w:rPr>
  </w:style>
  <w:style w:type="paragraph" w:customStyle="1" w:styleId="57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5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TX</Company>
  <Pages>2</Pages>
  <Words>1224</Words>
  <Characters>1321</Characters>
  <Lines>10</Lines>
  <Paragraphs>3</Paragraphs>
  <TotalTime>1</TotalTime>
  <ScaleCrop>false</ScaleCrop>
  <LinksUpToDate>false</LinksUpToDate>
  <CharactersWithSpaces>1330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2018-01-16T06:33:00Z</dcterms:created>
  <dc:creator>HL</dc:creator>
  <cp:lastModifiedBy>李晓蕾</cp:lastModifiedBy>
  <cp:lastPrinted>2016-08-01T01:43:00Z</cp:lastPrinted>
  <dcterms:modified xsi:type="dcterms:W3CDTF">2026-03-07T06:07:08Z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FAFF56EBC6E94498BF19661A91D09A18</vt:lpwstr>
  </property>
  <property fmtid="{D5CDD505-2E9C-101B-9397-08002B2CF9AE}" pid="4" name="KSOTemplateDocerSaveRecord">
    <vt:lpwstr>eyJoZGlkIjoiMjdkYzk2OTliNGIxMjRjMTVjNjBkOWQ2ZTAxZDMwYmEifQ==</vt:lpwstr>
  </property>
</Properties>
</file>