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wordWrap/>
        <w:topLinePunct w:val="0"/>
        <w:bidi w:val="0"/>
        <w:spacing w:line="24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一、项目概况</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lang w:eastAsia="zh-CN"/>
        </w:rPr>
      </w:pPr>
      <w:r>
        <w:rPr>
          <w:rFonts w:hint="eastAsia" w:ascii="幼圆" w:hAnsi="幼圆" w:eastAsia="幼圆" w:cs="幼圆"/>
          <w:sz w:val="21"/>
          <w:szCs w:val="20"/>
          <w:lang w:eastAsia="zh-CN"/>
        </w:rPr>
        <w:t>项目</w:t>
      </w:r>
      <w:r>
        <w:rPr>
          <w:rFonts w:hint="eastAsia" w:ascii="幼圆" w:hAnsi="幼圆" w:eastAsia="幼圆" w:cs="幼圆"/>
          <w:sz w:val="21"/>
          <w:szCs w:val="20"/>
        </w:rPr>
        <w:t>名称：电话交换机维保服务采购项目</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建设单位：北京清华长庚医院</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建设地点：北京市昌平区立汤路168号</w:t>
      </w:r>
    </w:p>
    <w:p>
      <w:pPr>
        <w:keepNext w:val="0"/>
        <w:keepLines w:val="0"/>
        <w:pageBreakBefore w:val="0"/>
        <w:widowControl/>
        <w:numPr>
          <w:ilvl w:val="0"/>
          <w:numId w:val="8"/>
        </w:numPr>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项目类型</w:t>
      </w:r>
    </w:p>
    <w:p>
      <w:pPr>
        <w:keepNext w:val="0"/>
        <w:keepLines w:val="0"/>
        <w:pageBreakBefore w:val="0"/>
        <w:widowControl/>
        <w:numPr>
          <w:ilvl w:val="0"/>
          <w:numId w:val="0"/>
        </w:numPr>
        <w:wordWrap/>
        <w:topLinePunct w:val="0"/>
        <w:bidi w:val="0"/>
        <w:snapToGrid/>
        <w:spacing w:line="240" w:lineRule="auto"/>
        <w:textAlignment w:val="auto"/>
        <w:rPr>
          <w:rFonts w:hint="eastAsia" w:ascii="幼圆" w:hAnsi="幼圆" w:eastAsia="幼圆" w:cs="幼圆"/>
          <w:b w:val="0"/>
          <w:bCs w:val="0"/>
          <w:sz w:val="21"/>
          <w:szCs w:val="20"/>
          <w:lang w:val="en-US" w:eastAsia="zh-CN"/>
        </w:rPr>
      </w:pPr>
      <w:r>
        <w:rPr>
          <w:rFonts w:hint="eastAsia" w:ascii="幼圆" w:hAnsi="幼圆" w:eastAsia="幼圆" w:cs="幼圆"/>
          <w:b w:val="0"/>
          <w:bCs w:val="0"/>
          <w:sz w:val="21"/>
          <w:szCs w:val="20"/>
          <w:lang w:val="en-US" w:eastAsia="zh-CN"/>
        </w:rPr>
        <w:t>维保服务类</w:t>
      </w:r>
    </w:p>
    <w:p>
      <w:pPr>
        <w:keepNext w:val="0"/>
        <w:keepLines w:val="0"/>
        <w:pageBreakBefore w:val="0"/>
        <w:widowControl/>
        <w:wordWrap/>
        <w:topLinePunct w:val="0"/>
        <w:bidi w:val="0"/>
        <w:snapToGrid/>
        <w:spacing w:line="240" w:lineRule="auto"/>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color w:val="FF0000"/>
          <w:sz w:val="21"/>
          <w:szCs w:val="20"/>
          <w:lang w:val="en-US" w:eastAsia="zh-CN"/>
        </w:rPr>
      </w:pPr>
      <w:r>
        <w:rPr>
          <w:rFonts w:hint="eastAsia" w:ascii="幼圆" w:hAnsi="幼圆" w:eastAsia="幼圆" w:cs="幼圆"/>
          <w:sz w:val="21"/>
          <w:szCs w:val="20"/>
          <w:lang w:val="en-US" w:eastAsia="zh-CN"/>
        </w:rPr>
        <w:t>1、具有有效的企业营业执照；</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2、在中华人民共和国境内注册登记，有生产或供应能力的本国供应商，包括法人、其他组织和个人；</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3、投标人在近三年内（2023年2月-至今） 没有骗取中标和严重违约及重大项目质量问题；参加本采购活动前三年内，在经营活动中没有重大违法记录；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4、具有良好的商业信誉和健全的财务会计制度；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5、具有依法缴纳税收和社会保障资金的良好记录；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6、本项目不接受联合体投标。</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四、服务期要求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1"/>
          <w:szCs w:val="20"/>
          <w:lang w:val="en-US" w:eastAsia="zh-CN"/>
        </w:rPr>
        <w:t>合同履行期限：一年</w:t>
      </w:r>
      <w:r>
        <w:rPr>
          <w:rFonts w:hint="eastAsia" w:ascii="幼圆" w:hAnsi="幼圆" w:eastAsia="幼圆" w:cs="幼圆"/>
          <w:b/>
          <w:bCs/>
          <w:color w:val="FF0000"/>
          <w:sz w:val="21"/>
          <w:szCs w:val="20"/>
          <w:lang w:val="en-US" w:eastAsia="zh-CN"/>
        </w:rPr>
        <w:t>（*必须响应，废标项）</w:t>
      </w:r>
      <w:bookmarkStart w:id="0" w:name="_Toc195775598"/>
    </w:p>
    <w:p>
      <w:pPr>
        <w:numPr>
          <w:ilvl w:val="0"/>
          <w:numId w:val="9"/>
        </w:numPr>
        <w:spacing w:line="240" w:lineRule="auto"/>
        <w:ind w:leftChars="0"/>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维保内容</w:t>
      </w:r>
    </w:p>
    <w:p>
      <w:pPr>
        <w:numPr>
          <w:ilvl w:val="0"/>
          <w:numId w:val="10"/>
        </w:numPr>
        <w:ind w:left="425" w:leftChars="0" w:hanging="425" w:firstLineChars="0"/>
        <w:rPr>
          <w:rFonts w:hint="eastAsia" w:asciiTheme="minorEastAsia" w:hAnsiTheme="minorEastAsia" w:eastAsiaTheme="minorEastAsia" w:cstheme="minorEastAsia"/>
          <w:b w:val="0"/>
          <w:bCs/>
          <w:snapToGrid w:val="0"/>
          <w:kern w:val="21"/>
          <w:sz w:val="21"/>
          <w:szCs w:val="21"/>
          <w:lang w:val="en-US" w:eastAsia="zh-CN"/>
        </w:rPr>
      </w:pPr>
      <w:r>
        <w:rPr>
          <w:rFonts w:hint="eastAsia" w:asciiTheme="minorEastAsia" w:hAnsiTheme="minorEastAsia" w:eastAsiaTheme="minorEastAsia" w:cstheme="minorEastAsia"/>
          <w:b w:val="0"/>
          <w:bCs/>
          <w:snapToGrid w:val="0"/>
          <w:kern w:val="21"/>
          <w:sz w:val="21"/>
          <w:szCs w:val="21"/>
          <w:lang w:val="en-US" w:eastAsia="zh-CN"/>
        </w:rPr>
        <w:t>维保厂商责任</w:t>
      </w:r>
    </w:p>
    <w:p>
      <w:pPr>
        <w:numPr>
          <w:ilvl w:val="0"/>
          <w:numId w:val="11"/>
        </w:numPr>
        <w:ind w:leftChars="0"/>
        <w:rPr>
          <w:rFonts w:hint="eastAsia" w:asciiTheme="minorEastAsia" w:hAnsiTheme="minorEastAsia" w:eastAsiaTheme="minorEastAsia" w:cstheme="minorEastAsia"/>
          <w:b w:val="0"/>
          <w:bCs w:val="0"/>
          <w:color w:val="000000"/>
          <w:kern w:val="0"/>
          <w:sz w:val="21"/>
          <w:szCs w:val="21"/>
          <w:lang w:val="en-US" w:eastAsia="zh-CN"/>
        </w:rPr>
      </w:pPr>
      <w:r>
        <w:rPr>
          <w:rFonts w:hint="eastAsia" w:asciiTheme="minorEastAsia" w:hAnsiTheme="minorEastAsia" w:eastAsiaTheme="minorEastAsia" w:cstheme="minorEastAsia"/>
          <w:b w:val="0"/>
          <w:bCs w:val="0"/>
          <w:color w:val="000000"/>
          <w:kern w:val="0"/>
          <w:sz w:val="21"/>
          <w:szCs w:val="21"/>
          <w:lang w:val="en-US" w:eastAsia="zh-CN"/>
        </w:rPr>
        <w:t>投标人承担材料及维修费：设备设施的小型维修单批次</w:t>
      </w:r>
      <w:r>
        <w:rPr>
          <w:rFonts w:hint="eastAsia" w:asciiTheme="minorEastAsia" w:hAnsiTheme="minorEastAsia" w:cstheme="minorEastAsia"/>
          <w:b w:val="0"/>
          <w:bCs w:val="0"/>
          <w:color w:val="000000"/>
          <w:kern w:val="0"/>
          <w:sz w:val="21"/>
          <w:szCs w:val="21"/>
          <w:lang w:val="en-US" w:eastAsia="zh-CN"/>
        </w:rPr>
        <w:t>2</w:t>
      </w:r>
      <w:r>
        <w:rPr>
          <w:rFonts w:hint="eastAsia" w:asciiTheme="minorEastAsia" w:hAnsiTheme="minorEastAsia" w:eastAsiaTheme="minorEastAsia" w:cstheme="minorEastAsia"/>
          <w:b w:val="0"/>
          <w:bCs w:val="0"/>
          <w:color w:val="000000"/>
          <w:kern w:val="0"/>
          <w:sz w:val="21"/>
          <w:szCs w:val="21"/>
          <w:lang w:val="en-US" w:eastAsia="zh-CN"/>
        </w:rPr>
        <w:t>000元（不含）以下的零配件</w:t>
      </w:r>
      <w:r>
        <w:rPr>
          <w:rFonts w:hint="eastAsia" w:asciiTheme="minorEastAsia" w:hAnsiTheme="minorEastAsia" w:cstheme="minorEastAsia"/>
          <w:b w:val="0"/>
          <w:bCs w:val="0"/>
          <w:color w:val="000000"/>
          <w:kern w:val="0"/>
          <w:sz w:val="21"/>
          <w:szCs w:val="21"/>
          <w:lang w:val="en-US" w:eastAsia="zh-CN"/>
        </w:rPr>
        <w:t>免费更换</w:t>
      </w:r>
      <w:r>
        <w:rPr>
          <w:rFonts w:hint="eastAsia" w:asciiTheme="minorEastAsia" w:hAnsiTheme="minorEastAsia" w:eastAsiaTheme="minorEastAsia" w:cstheme="minorEastAsia"/>
          <w:b w:val="0"/>
          <w:bCs w:val="0"/>
          <w:color w:val="000000"/>
          <w:kern w:val="0"/>
          <w:sz w:val="21"/>
          <w:szCs w:val="21"/>
          <w:lang w:val="en-US" w:eastAsia="zh-CN"/>
        </w:rPr>
        <w:t>费用。</w:t>
      </w:r>
    </w:p>
    <w:p>
      <w:pPr>
        <w:numPr>
          <w:ilvl w:val="0"/>
          <w:numId w:val="11"/>
        </w:numPr>
        <w:ind w:left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 w:val="0"/>
          <w:bCs w:val="0"/>
          <w:color w:val="000000"/>
          <w:kern w:val="0"/>
          <w:sz w:val="21"/>
          <w:szCs w:val="21"/>
          <w:lang w:val="en-US" w:eastAsia="zh-CN"/>
        </w:rPr>
        <w:t>应根据甲方要求进行维保作业；维保工作应使承包区域符合</w:t>
      </w:r>
      <w:r>
        <w:rPr>
          <w:rFonts w:hint="eastAsia" w:asciiTheme="minorEastAsia" w:hAnsiTheme="minorEastAsia" w:cstheme="minorEastAsia"/>
          <w:b w:val="0"/>
          <w:bCs w:val="0"/>
          <w:color w:val="000000"/>
          <w:kern w:val="0"/>
          <w:sz w:val="21"/>
          <w:szCs w:val="21"/>
          <w:lang w:val="en-US" w:eastAsia="zh-CN"/>
        </w:rPr>
        <w:t>医院管理要求</w:t>
      </w:r>
      <w:r>
        <w:rPr>
          <w:rFonts w:hint="eastAsia" w:asciiTheme="minorEastAsia" w:hAnsiTheme="minorEastAsia" w:eastAsiaTheme="minorEastAsia" w:cstheme="minorEastAsia"/>
          <w:b w:val="0"/>
          <w:bCs w:val="0"/>
          <w:color w:val="000000"/>
          <w:kern w:val="0"/>
          <w:sz w:val="21"/>
          <w:szCs w:val="21"/>
          <w:lang w:val="en-US" w:eastAsia="zh-CN"/>
        </w:rPr>
        <w:t>。</w:t>
      </w:r>
    </w:p>
    <w:p>
      <w:pPr>
        <w:numPr>
          <w:ilvl w:val="0"/>
          <w:numId w:val="11"/>
        </w:numPr>
        <w:ind w:leftChars="0"/>
        <w:rPr>
          <w:rFonts w:hint="eastAsia"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b w:val="0"/>
          <w:bCs w:val="0"/>
          <w:color w:val="000000"/>
          <w:kern w:val="0"/>
          <w:sz w:val="21"/>
          <w:szCs w:val="21"/>
          <w:lang w:val="en-US" w:eastAsia="zh-CN"/>
        </w:rPr>
        <w:t>对清单内所有</w:t>
      </w:r>
      <w:r>
        <w:rPr>
          <w:rFonts w:hint="eastAsia" w:asciiTheme="minorEastAsia" w:hAnsiTheme="minorEastAsia" w:eastAsiaTheme="minorEastAsia" w:cstheme="minorEastAsia"/>
          <w:bCs/>
          <w:snapToGrid w:val="0"/>
          <w:kern w:val="21"/>
          <w:sz w:val="21"/>
          <w:szCs w:val="21"/>
          <w:lang w:val="en-US" w:eastAsia="zh-CN"/>
        </w:rPr>
        <w:t>设备及其配套设备进行定期维护保养，需满足规范或甲方需求（详附表）。</w:t>
      </w:r>
    </w:p>
    <w:p>
      <w:pPr>
        <w:numPr>
          <w:ilvl w:val="0"/>
          <w:numId w:val="11"/>
        </w:numPr>
        <w:ind w:leftChars="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color w:val="000000"/>
          <w:kern w:val="0"/>
          <w:sz w:val="21"/>
          <w:szCs w:val="21"/>
          <w:lang w:val="en-US" w:eastAsia="zh-CN"/>
        </w:rPr>
        <w:t>乙方</w:t>
      </w:r>
      <w:r>
        <w:rPr>
          <w:rFonts w:hint="eastAsia" w:asciiTheme="minorEastAsia" w:hAnsiTheme="minorEastAsia" w:eastAsiaTheme="minorEastAsia" w:cstheme="minorEastAsia"/>
          <w:color w:val="000000"/>
          <w:kern w:val="0"/>
          <w:sz w:val="21"/>
          <w:szCs w:val="21"/>
        </w:rPr>
        <w:t>负责设备</w:t>
      </w:r>
      <w:r>
        <w:rPr>
          <w:rFonts w:hint="eastAsia" w:asciiTheme="minorEastAsia" w:hAnsiTheme="minorEastAsia" w:eastAsiaTheme="minorEastAsia" w:cstheme="minorEastAsia"/>
          <w:color w:val="000000"/>
          <w:kern w:val="0"/>
          <w:sz w:val="21"/>
          <w:szCs w:val="21"/>
          <w:lang w:eastAsia="zh-CN"/>
        </w:rPr>
        <w:t>各辖区</w:t>
      </w:r>
      <w:r>
        <w:rPr>
          <w:rFonts w:hint="eastAsia" w:asciiTheme="minorEastAsia" w:hAnsiTheme="minorEastAsia" w:eastAsiaTheme="minorEastAsia" w:cstheme="minorEastAsia"/>
          <w:color w:val="000000"/>
          <w:kern w:val="0"/>
          <w:sz w:val="21"/>
          <w:szCs w:val="21"/>
        </w:rPr>
        <w:t>机房</w:t>
      </w:r>
      <w:r>
        <w:rPr>
          <w:rFonts w:hint="eastAsia" w:asciiTheme="minorEastAsia" w:hAnsiTheme="minorEastAsia" w:eastAsiaTheme="minorEastAsia" w:cstheme="minorEastAsia"/>
          <w:color w:val="000000"/>
          <w:kern w:val="0"/>
          <w:sz w:val="21"/>
          <w:szCs w:val="21"/>
          <w:lang w:val="en-US" w:eastAsia="zh-CN"/>
        </w:rPr>
        <w:t>6</w:t>
      </w:r>
      <w:r>
        <w:rPr>
          <w:rFonts w:hint="eastAsia" w:asciiTheme="minorEastAsia" w:hAnsiTheme="minorEastAsia" w:eastAsiaTheme="minorEastAsia" w:cstheme="minorEastAsia"/>
          <w:color w:val="000000"/>
          <w:kern w:val="0"/>
          <w:sz w:val="21"/>
          <w:szCs w:val="21"/>
        </w:rPr>
        <w:t>S卫生清理</w:t>
      </w:r>
      <w:r>
        <w:rPr>
          <w:rFonts w:hint="eastAsia" w:asciiTheme="minorEastAsia" w:hAnsiTheme="minorEastAsia" w:eastAsiaTheme="minorEastAsia" w:cstheme="minorEastAsia"/>
          <w:color w:val="000000"/>
          <w:kern w:val="0"/>
          <w:sz w:val="21"/>
          <w:szCs w:val="21"/>
          <w:lang w:eastAsia="zh-CN"/>
        </w:rPr>
        <w:t>，机房门窗、墙面、地面、照明插座维修。</w:t>
      </w:r>
    </w:p>
    <w:p>
      <w:pPr>
        <w:numPr>
          <w:ilvl w:val="0"/>
          <w:numId w:val="11"/>
        </w:numPr>
        <w:ind w:leftChars="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维保细则未完成或缺少项目、不能达到甲方标准，按照不低于1000元罚扣。</w:t>
      </w:r>
    </w:p>
    <w:p>
      <w:pPr>
        <w:numPr>
          <w:ilvl w:val="0"/>
          <w:numId w:val="0"/>
        </w:numPr>
        <w:spacing w:line="24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保证甲方设备安全运行，因设备异常</w:t>
      </w:r>
      <w:r>
        <w:rPr>
          <w:rFonts w:hint="eastAsia" w:asciiTheme="minorEastAsia" w:hAnsiTheme="minorEastAsia" w:cstheme="minorEastAsia"/>
          <w:sz w:val="21"/>
          <w:szCs w:val="21"/>
          <w:lang w:val="en-US" w:eastAsia="zh-CN"/>
        </w:rPr>
        <w:t>未按时处理</w:t>
      </w:r>
      <w:r>
        <w:rPr>
          <w:rFonts w:hint="eastAsia" w:asciiTheme="minorEastAsia" w:hAnsiTheme="minorEastAsia" w:eastAsiaTheme="minorEastAsia" w:cstheme="minorEastAsia"/>
          <w:sz w:val="21"/>
          <w:szCs w:val="21"/>
          <w:lang w:val="en-US" w:eastAsia="zh-CN"/>
        </w:rPr>
        <w:t>或乙方操作不当引起的安全、</w:t>
      </w:r>
      <w:r>
        <w:rPr>
          <w:rFonts w:hint="eastAsia" w:asciiTheme="minorEastAsia" w:hAnsiTheme="minorEastAsia" w:cstheme="minorEastAsia"/>
          <w:sz w:val="21"/>
          <w:szCs w:val="21"/>
          <w:lang w:val="en-US" w:eastAsia="zh-CN"/>
        </w:rPr>
        <w:t>消防</w:t>
      </w:r>
      <w:r>
        <w:rPr>
          <w:rFonts w:hint="eastAsia" w:asciiTheme="minorEastAsia" w:hAnsiTheme="minorEastAsia" w:eastAsiaTheme="minorEastAsia" w:cstheme="minorEastAsia"/>
          <w:sz w:val="21"/>
          <w:szCs w:val="21"/>
          <w:lang w:val="en-US" w:eastAsia="zh-CN"/>
        </w:rPr>
        <w:t>事故，所造成的损失，乙方负全责。</w:t>
      </w:r>
    </w:p>
    <w:p>
      <w:pPr>
        <w:numPr>
          <w:ilvl w:val="0"/>
          <w:numId w:val="10"/>
        </w:numPr>
        <w:ind w:left="425" w:leftChars="0" w:hanging="425" w:firstLineChars="0"/>
        <w:rPr>
          <w:rFonts w:hint="eastAsia" w:asciiTheme="minorEastAsia" w:hAnsiTheme="minorEastAsia" w:eastAsiaTheme="minorEastAsia" w:cstheme="minorEastAsia"/>
          <w:b w:val="0"/>
          <w:bCs/>
          <w:snapToGrid w:val="0"/>
          <w:kern w:val="21"/>
          <w:sz w:val="21"/>
          <w:szCs w:val="21"/>
          <w:lang w:val="en-US" w:eastAsia="zh-CN"/>
        </w:rPr>
      </w:pPr>
      <w:r>
        <w:rPr>
          <w:rFonts w:hint="eastAsia" w:asciiTheme="minorEastAsia" w:hAnsiTheme="minorEastAsia" w:cstheme="minorEastAsia"/>
          <w:b w:val="0"/>
          <w:bCs/>
          <w:snapToGrid w:val="0"/>
          <w:kern w:val="21"/>
          <w:sz w:val="21"/>
          <w:szCs w:val="21"/>
          <w:lang w:val="en-US" w:eastAsia="zh-CN"/>
        </w:rPr>
        <w:t>设备保养维修</w:t>
      </w:r>
    </w:p>
    <w:p>
      <w:pPr>
        <w:numPr>
          <w:ilvl w:val="0"/>
          <w:numId w:val="0"/>
        </w:numPr>
        <w:ind w:left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此项为预防性维护的基础，要求定期、定点、定标准执行。</w:t>
      </w:r>
    </w:p>
    <w:p>
      <w:pPr>
        <w:numPr>
          <w:ilvl w:val="0"/>
          <w:numId w:val="12"/>
        </w:numPr>
        <w:ind w:left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color w:val="000000"/>
          <w:kern w:val="0"/>
          <w:sz w:val="21"/>
          <w:szCs w:val="21"/>
          <w:lang w:val="en-US" w:eastAsia="zh-CN"/>
        </w:rPr>
        <w:t>每月1</w:t>
      </w:r>
      <w:r>
        <w:rPr>
          <w:rFonts w:hint="eastAsia" w:asciiTheme="minorEastAsia" w:hAnsiTheme="minorEastAsia" w:eastAsiaTheme="minorEastAsia" w:cstheme="minorEastAsia"/>
          <w:bCs/>
          <w:snapToGrid w:val="0"/>
          <w:kern w:val="21"/>
          <w:sz w:val="21"/>
          <w:szCs w:val="21"/>
          <w:lang w:val="en-US" w:eastAsia="zh-CN"/>
        </w:rPr>
        <w:t>次设备例行巡检服务，巡检结束后乙方工程师向甲方提供巡检报告；</w:t>
      </w:r>
    </w:p>
    <w:p>
      <w:pPr>
        <w:numPr>
          <w:ilvl w:val="0"/>
          <w:numId w:val="12"/>
        </w:numPr>
        <w:ind w:leftChars="0"/>
        <w:rPr>
          <w:rFonts w:hint="eastAsia" w:asciiTheme="minorEastAsia" w:hAnsiTheme="minorEastAsia" w:eastAsiaTheme="minorEastAsia" w:cstheme="minorEastAsia"/>
          <w:b w:val="0"/>
          <w:bCs/>
          <w:snapToGrid w:val="0"/>
          <w:kern w:val="21"/>
          <w:sz w:val="21"/>
          <w:szCs w:val="21"/>
          <w:lang w:val="en-US" w:eastAsia="zh-CN" w:bidi="ar-SA"/>
        </w:rPr>
      </w:pPr>
      <w:r>
        <w:rPr>
          <w:rFonts w:hint="eastAsia" w:asciiTheme="minorEastAsia" w:hAnsiTheme="minorEastAsia" w:eastAsiaTheme="minorEastAsia" w:cstheme="minorEastAsia"/>
          <w:bCs/>
          <w:snapToGrid w:val="0"/>
          <w:kern w:val="21"/>
          <w:sz w:val="21"/>
          <w:szCs w:val="21"/>
          <w:lang w:val="en-US" w:eastAsia="zh-CN"/>
        </w:rPr>
        <w:t>每年产品手册规定的保养的人工和备件，</w:t>
      </w:r>
      <w:r>
        <w:rPr>
          <w:rFonts w:hint="eastAsia" w:asciiTheme="minorEastAsia" w:hAnsiTheme="minorEastAsia" w:cstheme="minorEastAsia"/>
          <w:bCs/>
          <w:snapToGrid w:val="0"/>
          <w:kern w:val="21"/>
          <w:sz w:val="21"/>
          <w:szCs w:val="21"/>
          <w:lang w:val="en-US" w:eastAsia="zh-CN"/>
        </w:rPr>
        <w:t>乙方</w:t>
      </w:r>
      <w:r>
        <w:rPr>
          <w:rFonts w:hint="eastAsia" w:asciiTheme="minorEastAsia" w:hAnsiTheme="minorEastAsia" w:eastAsiaTheme="minorEastAsia" w:cstheme="minorEastAsia"/>
          <w:bCs/>
          <w:snapToGrid w:val="0"/>
          <w:kern w:val="21"/>
          <w:sz w:val="21"/>
          <w:szCs w:val="21"/>
          <w:lang w:val="en-US" w:eastAsia="zh-CN"/>
        </w:rPr>
        <w:t>进行维护保养之前，与用户协商具体工作时间，有计划的对维保服务内规定的设备进行维护和保养，其主要内容包括：机器的清洁、性能测试及校准、必要的机械或电气的检查，耗材更换，以及非紧急性质的补救性维修，并确保设备各系统运行正常。</w:t>
      </w:r>
    </w:p>
    <w:p>
      <w:pPr>
        <w:numPr>
          <w:ilvl w:val="0"/>
          <w:numId w:val="12"/>
        </w:numPr>
        <w:ind w:leftChars="0"/>
        <w:rPr>
          <w:rFonts w:hint="eastAsia"/>
          <w:lang w:val="en-US" w:eastAsia="zh-CN"/>
        </w:rPr>
      </w:pPr>
      <w:bookmarkStart w:id="1" w:name="OLE_LINK2"/>
      <w:r>
        <w:rPr>
          <w:rFonts w:hint="eastAsia" w:asciiTheme="minorEastAsia" w:hAnsiTheme="minorEastAsia" w:eastAsiaTheme="minorEastAsia" w:cstheme="minorEastAsia"/>
          <w:b w:val="0"/>
          <w:bCs/>
          <w:snapToGrid w:val="0"/>
          <w:kern w:val="21"/>
          <w:sz w:val="21"/>
          <w:szCs w:val="21"/>
          <w:lang w:val="en-US" w:eastAsia="zh-CN" w:bidi="ar-SA"/>
        </w:rPr>
        <w:t>电话</w:t>
      </w:r>
      <w:r>
        <w:rPr>
          <w:rFonts w:hint="eastAsia" w:asciiTheme="minorEastAsia" w:hAnsiTheme="minorEastAsia" w:cstheme="minorEastAsia"/>
          <w:b w:val="0"/>
          <w:bCs/>
          <w:snapToGrid w:val="0"/>
          <w:kern w:val="21"/>
          <w:sz w:val="21"/>
          <w:szCs w:val="21"/>
          <w:lang w:val="en-US" w:eastAsia="zh-CN" w:bidi="ar-SA"/>
        </w:rPr>
        <w:t>系统维修</w:t>
      </w:r>
      <w:r>
        <w:rPr>
          <w:rFonts w:hint="eastAsia" w:asciiTheme="minorEastAsia" w:hAnsiTheme="minorEastAsia" w:eastAsiaTheme="minorEastAsia" w:cstheme="minorEastAsia"/>
          <w:b w:val="0"/>
          <w:bCs/>
          <w:snapToGrid w:val="0"/>
          <w:kern w:val="21"/>
          <w:sz w:val="21"/>
          <w:szCs w:val="21"/>
          <w:lang w:val="en-US" w:eastAsia="zh-CN" w:bidi="ar-SA"/>
        </w:rPr>
        <w:t>：现场电话</w:t>
      </w:r>
      <w:r>
        <w:rPr>
          <w:rFonts w:hint="eastAsia" w:asciiTheme="minorEastAsia" w:hAnsiTheme="minorEastAsia" w:cstheme="minorEastAsia"/>
          <w:b w:val="0"/>
          <w:bCs/>
          <w:snapToGrid w:val="0"/>
          <w:kern w:val="21"/>
          <w:sz w:val="21"/>
          <w:szCs w:val="21"/>
          <w:lang w:val="en-US" w:eastAsia="zh-CN" w:bidi="ar-SA"/>
        </w:rPr>
        <w:t>巡查</w:t>
      </w:r>
      <w:r>
        <w:rPr>
          <w:rFonts w:hint="eastAsia" w:asciiTheme="minorEastAsia" w:hAnsiTheme="minorEastAsia" w:eastAsiaTheme="minorEastAsia" w:cstheme="minorEastAsia"/>
          <w:b w:val="0"/>
          <w:bCs/>
          <w:snapToGrid w:val="0"/>
          <w:kern w:val="21"/>
          <w:sz w:val="21"/>
          <w:szCs w:val="21"/>
          <w:lang w:val="en-US" w:eastAsia="zh-CN" w:bidi="ar-SA"/>
        </w:rPr>
        <w:t>、使用寻线器到本层机房巡线、需要把巡到的线跳到大对数上，如果现场有需要多个电话并线的情况则需要把巡到的两根电话线跳到同一个大对数的端口上，如现场电话不通还需要到本栋楼的程控机房查询原因（一般情况都是需要跳线）。</w:t>
      </w:r>
    </w:p>
    <w:p>
      <w:pPr>
        <w:numPr>
          <w:ilvl w:val="0"/>
          <w:numId w:val="0"/>
        </w:numPr>
        <w:rPr>
          <w:rFonts w:hint="eastAsia"/>
          <w:lang w:val="en-US" w:eastAsia="zh-CN"/>
        </w:rPr>
      </w:pPr>
      <w:r>
        <w:rPr>
          <w:rFonts w:hint="eastAsia" w:asciiTheme="minorEastAsia" w:hAnsiTheme="minorEastAsia" w:eastAsiaTheme="minorEastAsia" w:cstheme="minorEastAsia"/>
          <w:b w:val="0"/>
          <w:bCs/>
          <w:snapToGrid w:val="0"/>
          <w:kern w:val="21"/>
          <w:sz w:val="21"/>
          <w:szCs w:val="21"/>
          <w:lang w:val="en-US" w:eastAsia="zh-CN" w:bidi="ar-SA"/>
        </w:rPr>
        <w:t>完成以上操作后就可以给电话落号</w:t>
      </w:r>
      <w:r>
        <w:rPr>
          <w:rFonts w:hint="eastAsia" w:asciiTheme="minorEastAsia" w:hAnsiTheme="minorEastAsia" w:cstheme="minorEastAsia"/>
          <w:b w:val="0"/>
          <w:bCs/>
          <w:snapToGrid w:val="0"/>
          <w:kern w:val="21"/>
          <w:sz w:val="21"/>
          <w:szCs w:val="21"/>
          <w:lang w:val="en-US" w:eastAsia="zh-CN" w:bidi="ar-SA"/>
        </w:rPr>
        <w:t>，</w:t>
      </w:r>
      <w:r>
        <w:rPr>
          <w:rFonts w:hint="eastAsia" w:asciiTheme="minorEastAsia" w:hAnsiTheme="minorEastAsia" w:eastAsiaTheme="minorEastAsia" w:cstheme="minorEastAsia"/>
          <w:b w:val="0"/>
          <w:bCs/>
          <w:snapToGrid w:val="0"/>
          <w:kern w:val="21"/>
          <w:sz w:val="21"/>
          <w:szCs w:val="21"/>
          <w:lang w:val="en-US" w:eastAsia="zh-CN" w:bidi="ar-SA"/>
        </w:rPr>
        <w:t>一期需要在现场落号，二期需要电脑系统落号。</w:t>
      </w:r>
    </w:p>
    <w:p>
      <w:pPr>
        <w:numPr>
          <w:ilvl w:val="0"/>
          <w:numId w:val="12"/>
        </w:numPr>
        <w:ind w:leftChars="0"/>
        <w:rPr>
          <w:rFonts w:hint="eastAsia"/>
          <w:lang w:val="en-US" w:eastAsia="zh-CN"/>
        </w:rPr>
      </w:pPr>
      <w:r>
        <w:rPr>
          <w:rFonts w:hint="eastAsia" w:asciiTheme="minorEastAsia" w:hAnsiTheme="minorEastAsia" w:eastAsiaTheme="minorEastAsia" w:cstheme="minorEastAsia"/>
          <w:b w:val="0"/>
          <w:bCs/>
          <w:snapToGrid w:val="0"/>
          <w:kern w:val="21"/>
          <w:sz w:val="21"/>
          <w:szCs w:val="21"/>
          <w:lang w:val="en-US" w:eastAsia="zh-CN" w:bidi="ar-SA"/>
        </w:rPr>
        <w:t>电话作业部分：</w:t>
      </w:r>
      <w:r>
        <w:rPr>
          <w:rFonts w:hint="eastAsia" w:asciiTheme="minorEastAsia" w:hAnsiTheme="minorEastAsia" w:cstheme="minorEastAsia"/>
          <w:b w:val="0"/>
          <w:bCs/>
          <w:snapToGrid w:val="0"/>
          <w:kern w:val="21"/>
          <w:sz w:val="21"/>
          <w:szCs w:val="21"/>
          <w:lang w:val="en-US" w:eastAsia="zh-CN" w:bidi="ar-SA"/>
        </w:rPr>
        <w:t>配合</w:t>
      </w:r>
      <w:r>
        <w:rPr>
          <w:rFonts w:hint="eastAsia" w:asciiTheme="minorEastAsia" w:hAnsiTheme="minorEastAsia" w:eastAsiaTheme="minorEastAsia" w:cstheme="minorEastAsia"/>
          <w:b w:val="0"/>
          <w:bCs/>
          <w:snapToGrid w:val="0"/>
          <w:kern w:val="21"/>
          <w:sz w:val="21"/>
          <w:szCs w:val="21"/>
          <w:lang w:val="en-US" w:eastAsia="zh-CN" w:bidi="ar-SA"/>
        </w:rPr>
        <w:t>电话号码的迁移，巡线、跳线、并线、拆除并线等对电话线路的检查分析和操作，现场的电话落号，号码权限的更改升级，电话号码做编组代答功能，电话的转接功能和取消转接，电话故障时更换配件或者更换新的电话机</w:t>
      </w:r>
      <w:r>
        <w:rPr>
          <w:rFonts w:hint="eastAsia" w:asciiTheme="minorEastAsia" w:hAnsiTheme="minorEastAsia" w:cstheme="minorEastAsia"/>
          <w:b w:val="0"/>
          <w:bCs/>
          <w:snapToGrid w:val="0"/>
          <w:kern w:val="21"/>
          <w:sz w:val="21"/>
          <w:szCs w:val="21"/>
          <w:lang w:val="en-US" w:eastAsia="zh-CN" w:bidi="ar-SA"/>
        </w:rPr>
        <w:t>（电话机换新本项目不包含材料）。</w:t>
      </w:r>
    </w:p>
    <w:bookmarkEnd w:id="1"/>
    <w:p>
      <w:pPr>
        <w:numPr>
          <w:ilvl w:val="0"/>
          <w:numId w:val="12"/>
        </w:numPr>
        <w:ind w:left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备件要求：</w:t>
      </w:r>
    </w:p>
    <w:p>
      <w:pPr>
        <w:numPr>
          <w:ilvl w:val="0"/>
          <w:numId w:val="0"/>
        </w:numPr>
        <w:ind w:leftChars="0"/>
        <w:rPr>
          <w:rFonts w:hint="eastAsia" w:asciiTheme="minorEastAsia" w:hAnsi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 xml:space="preserve">   </w:t>
      </w:r>
      <w:r>
        <w:rPr>
          <w:rFonts w:hint="eastAsia" w:asciiTheme="minorEastAsia" w:hAnsiTheme="minorEastAsia" w:cstheme="minorEastAsia"/>
          <w:bCs/>
          <w:snapToGrid w:val="0"/>
          <w:kern w:val="21"/>
          <w:sz w:val="21"/>
          <w:szCs w:val="21"/>
          <w:lang w:val="en-US" w:eastAsia="zh-CN"/>
        </w:rPr>
        <w:t>乙方配件应充足，</w:t>
      </w:r>
      <w:r>
        <w:rPr>
          <w:rFonts w:hint="eastAsia" w:asciiTheme="minorEastAsia" w:hAnsiTheme="minorEastAsia" w:eastAsiaTheme="minorEastAsia" w:cstheme="minorEastAsia"/>
          <w:bCs/>
          <w:snapToGrid w:val="0"/>
          <w:kern w:val="21"/>
          <w:sz w:val="21"/>
          <w:szCs w:val="21"/>
          <w:lang w:val="en-US" w:eastAsia="zh-CN"/>
        </w:rPr>
        <w:t>北京应有零备件仓库</w:t>
      </w:r>
      <w:r>
        <w:rPr>
          <w:rFonts w:hint="eastAsia" w:asciiTheme="minorEastAsia" w:hAnsiTheme="minorEastAsia" w:cstheme="minorEastAsia"/>
          <w:bCs/>
          <w:snapToGrid w:val="0"/>
          <w:kern w:val="21"/>
          <w:sz w:val="21"/>
          <w:szCs w:val="21"/>
          <w:lang w:val="en-US" w:eastAsia="zh-CN"/>
        </w:rPr>
        <w:t>。</w:t>
      </w:r>
    </w:p>
    <w:p>
      <w:pPr>
        <w:numPr>
          <w:ilvl w:val="0"/>
          <w:numId w:val="12"/>
        </w:numPr>
        <w:ind w:left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维修及保养记录：保修期内，每次故障维修及保养时间，提供维修及保养记录并到设备科备案</w:t>
      </w:r>
      <w:r>
        <w:rPr>
          <w:rFonts w:hint="eastAsia" w:asciiTheme="minorEastAsia" w:hAnsiTheme="minorEastAsia" w:cstheme="minorEastAsia"/>
          <w:bCs/>
          <w:snapToGrid w:val="0"/>
          <w:kern w:val="21"/>
          <w:sz w:val="21"/>
          <w:szCs w:val="21"/>
          <w:lang w:val="en-US" w:eastAsia="zh-CN"/>
        </w:rPr>
        <w:t>。</w:t>
      </w:r>
    </w:p>
    <w:p>
      <w:pPr>
        <w:numPr>
          <w:ilvl w:val="0"/>
          <w:numId w:val="12"/>
        </w:numPr>
        <w:ind w:left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提供的服务包括但不限于：定期维护保养服务、设备的安全检查、设备除尘保养、运行状态检查、保证备件的存储并优先提供备件的发货</w:t>
      </w:r>
    </w:p>
    <w:p>
      <w:pPr>
        <w:numPr>
          <w:ilvl w:val="0"/>
          <w:numId w:val="12"/>
        </w:numPr>
        <w:ind w:left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零备件供应且符合以下要求</w:t>
      </w:r>
      <w:r>
        <w:rPr>
          <w:rFonts w:hint="eastAsia" w:asciiTheme="minorEastAsia" w:hAnsiTheme="minorEastAsia" w:cstheme="minorEastAsia"/>
          <w:bCs/>
          <w:snapToGrid w:val="0"/>
          <w:kern w:val="21"/>
          <w:sz w:val="21"/>
          <w:szCs w:val="21"/>
          <w:lang w:val="en-US" w:eastAsia="zh-CN"/>
        </w:rPr>
        <w:t>：</w:t>
      </w:r>
    </w:p>
    <w:p>
      <w:pPr>
        <w:numPr>
          <w:ilvl w:val="0"/>
          <w:numId w:val="0"/>
        </w:numPr>
        <w:ind w:leftChars="0"/>
        <w:rPr>
          <w:rFonts w:hint="eastAsia" w:asciiTheme="minorEastAsia" w:hAnsi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 xml:space="preserve">   所有更换的零部件必须为原厂零配件(更换零配件时提供原设备制造厂家出具的设备配件合法来源证明）</w:t>
      </w:r>
      <w:r>
        <w:rPr>
          <w:rFonts w:hint="eastAsia" w:asciiTheme="minorEastAsia" w:hAnsiTheme="minorEastAsia" w:cstheme="minorEastAsia"/>
          <w:bCs/>
          <w:snapToGrid w:val="0"/>
          <w:kern w:val="21"/>
          <w:sz w:val="21"/>
          <w:szCs w:val="21"/>
          <w:lang w:val="en-US" w:eastAsia="zh-CN"/>
        </w:rPr>
        <w:t>。</w:t>
      </w:r>
    </w:p>
    <w:p>
      <w:pPr>
        <w:numPr>
          <w:ilvl w:val="0"/>
          <w:numId w:val="12"/>
        </w:numPr>
        <w:ind w:left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要求供应商能及时获取并提供全套设备生产厂家系统软硬件改版措施（包括配件和人工费用）</w:t>
      </w:r>
    </w:p>
    <w:p>
      <w:pPr>
        <w:numPr>
          <w:ilvl w:val="0"/>
          <w:numId w:val="12"/>
        </w:numPr>
        <w:ind w:left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服务要求：</w:t>
      </w:r>
    </w:p>
    <w:p>
      <w:pPr>
        <w:numPr>
          <w:ilvl w:val="0"/>
          <w:numId w:val="0"/>
        </w:numPr>
        <w:ind w:left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 xml:space="preserve">   维保厂商须根据项目需求书提供详细的服务方案，内容包含但不限于服务规范、服务标准、服务机构设置情况、管理措施、项目负责人基本情况、维保技术人员配备情况、定期预防性检查方案、故障管理处理方案、突发事件管理方案及维护工具配备情况等。</w:t>
      </w:r>
    </w:p>
    <w:p>
      <w:pPr>
        <w:numPr>
          <w:ilvl w:val="0"/>
          <w:numId w:val="0"/>
        </w:numPr>
        <w:spacing w:line="240" w:lineRule="auto"/>
        <w:ind w:leftChars="0"/>
        <w:rPr>
          <w:rFonts w:hint="eastAsia" w:asciiTheme="minorEastAsia" w:hAnsiTheme="minorEastAsia" w:eastAsiaTheme="minorEastAsia" w:cstheme="minorEastAsia"/>
          <w:b/>
          <w:bCs w:val="0"/>
          <w:snapToGrid w:val="0"/>
          <w:kern w:val="21"/>
          <w:sz w:val="21"/>
          <w:szCs w:val="21"/>
          <w:lang w:val="en-US" w:eastAsia="zh-CN"/>
        </w:rPr>
      </w:pPr>
      <w:r>
        <w:rPr>
          <w:rFonts w:hint="eastAsia" w:eastAsia="宋体" w:asciiTheme="minorEastAsia" w:hAnsiTheme="minorEastAsia" w:cstheme="minorEastAsia"/>
          <w:b/>
          <w:bCs w:val="0"/>
          <w:snapToGrid w:val="0"/>
          <w:kern w:val="21"/>
          <w:sz w:val="21"/>
          <w:szCs w:val="21"/>
          <w:lang w:val="en-US" w:eastAsia="zh-CN"/>
        </w:rPr>
        <w:t>六</w:t>
      </w:r>
      <w:r>
        <w:rPr>
          <w:rFonts w:hint="eastAsia" w:asciiTheme="minorEastAsia" w:hAnsiTheme="minorEastAsia" w:eastAsiaTheme="minorEastAsia" w:cstheme="minorEastAsia"/>
          <w:b/>
          <w:bCs w:val="0"/>
          <w:snapToGrid w:val="0"/>
          <w:kern w:val="21"/>
          <w:sz w:val="21"/>
          <w:szCs w:val="21"/>
          <w:lang w:val="en-US" w:eastAsia="zh-CN"/>
        </w:rPr>
        <w:t>、安全与应急管理</w:t>
      </w:r>
    </w:p>
    <w:p>
      <w:pPr>
        <w:numPr>
          <w:ilvl w:val="0"/>
          <w:numId w:val="13"/>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工作许可：任何维保作业必须执行严格的动火作业、有限空间作业、高空作业、临时用电许可证制度。</w:t>
      </w:r>
    </w:p>
    <w:p>
      <w:pPr>
        <w:numPr>
          <w:ilvl w:val="0"/>
          <w:numId w:val="13"/>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个人防护： 作业人员必须配备合格的工服、手套、安全鞋等个人防护装备。</w:t>
      </w:r>
    </w:p>
    <w:p>
      <w:pPr>
        <w:numPr>
          <w:ilvl w:val="0"/>
          <w:numId w:val="0"/>
        </w:numPr>
        <w:spacing w:line="240" w:lineRule="auto"/>
        <w:ind w:leftChars="0"/>
        <w:rPr>
          <w:rFonts w:hint="eastAsia" w:asciiTheme="minorEastAsia" w:hAnsiTheme="minorEastAsia" w:eastAsiaTheme="minorEastAsia" w:cstheme="minorEastAsia"/>
          <w:b/>
          <w:bCs w:val="0"/>
          <w:snapToGrid w:val="0"/>
          <w:kern w:val="21"/>
          <w:sz w:val="21"/>
          <w:szCs w:val="21"/>
          <w:lang w:val="en-US" w:eastAsia="zh-CN"/>
        </w:rPr>
      </w:pPr>
      <w:r>
        <w:rPr>
          <w:rFonts w:hint="eastAsia" w:asciiTheme="minorEastAsia" w:hAnsiTheme="minorEastAsia" w:eastAsiaTheme="minorEastAsia" w:cstheme="minorEastAsia"/>
          <w:b/>
          <w:bCs w:val="0"/>
          <w:snapToGrid w:val="0"/>
          <w:kern w:val="21"/>
          <w:sz w:val="21"/>
          <w:szCs w:val="21"/>
          <w:lang w:val="en-US" w:eastAsia="zh-CN"/>
        </w:rPr>
        <w:t>七、验收及考核</w:t>
      </w:r>
    </w:p>
    <w:p>
      <w:pPr>
        <w:numPr>
          <w:ilvl w:val="0"/>
          <w:numId w:val="14"/>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服务时间安排：</w:t>
      </w:r>
    </w:p>
    <w:p>
      <w:pPr>
        <w:numPr>
          <w:ilvl w:val="1"/>
          <w:numId w:val="14"/>
        </w:numPr>
        <w:spacing w:line="240" w:lineRule="auto"/>
        <w:ind w:left="840" w:leftChars="0" w:hanging="420"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周一至周日，7天24小时包括法定节假日；</w:t>
      </w:r>
    </w:p>
    <w:p>
      <w:pPr>
        <w:numPr>
          <w:ilvl w:val="1"/>
          <w:numId w:val="14"/>
        </w:numPr>
        <w:spacing w:line="240" w:lineRule="auto"/>
        <w:ind w:left="840" w:leftChars="0" w:hanging="420"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 xml:space="preserve">乙方维修配件应充足，紧急维修应 </w:t>
      </w:r>
      <w:r>
        <w:rPr>
          <w:rFonts w:hint="eastAsia" w:asciiTheme="minorEastAsia" w:hAnsiTheme="minorEastAsia" w:cstheme="minorEastAsia"/>
          <w:bCs/>
          <w:snapToGrid w:val="0"/>
          <w:kern w:val="21"/>
          <w:sz w:val="21"/>
          <w:szCs w:val="21"/>
          <w:lang w:val="en-US" w:eastAsia="zh-CN"/>
        </w:rPr>
        <w:t>4</w:t>
      </w:r>
      <w:r>
        <w:rPr>
          <w:rFonts w:hint="eastAsia" w:asciiTheme="minorEastAsia" w:hAnsiTheme="minorEastAsia" w:eastAsiaTheme="minorEastAsia" w:cstheme="minorEastAsia"/>
          <w:bCs/>
          <w:snapToGrid w:val="0"/>
          <w:kern w:val="21"/>
          <w:sz w:val="21"/>
          <w:szCs w:val="21"/>
          <w:lang w:val="en-US" w:eastAsia="zh-CN"/>
        </w:rPr>
        <w:t xml:space="preserve"> 小时内维修完成；</w:t>
      </w:r>
    </w:p>
    <w:p>
      <w:pPr>
        <w:numPr>
          <w:ilvl w:val="1"/>
          <w:numId w:val="14"/>
        </w:numPr>
        <w:spacing w:line="240" w:lineRule="auto"/>
        <w:ind w:left="840" w:leftChars="0" w:hanging="420"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一般维修自报修起 24 小时内维修完成；</w:t>
      </w:r>
    </w:p>
    <w:p>
      <w:pPr>
        <w:numPr>
          <w:ilvl w:val="1"/>
          <w:numId w:val="14"/>
        </w:numPr>
        <w:spacing w:line="240" w:lineRule="auto"/>
        <w:ind w:left="840" w:leftChars="0" w:hanging="420"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因配件原因应于</w:t>
      </w:r>
      <w:r>
        <w:rPr>
          <w:rFonts w:hint="eastAsia" w:asciiTheme="minorEastAsia" w:hAnsiTheme="minorEastAsia" w:cstheme="minorEastAsia"/>
          <w:bCs/>
          <w:snapToGrid w:val="0"/>
          <w:kern w:val="21"/>
          <w:sz w:val="21"/>
          <w:szCs w:val="21"/>
          <w:lang w:val="en-US" w:eastAsia="zh-CN"/>
        </w:rPr>
        <w:t>24</w:t>
      </w:r>
      <w:r>
        <w:rPr>
          <w:rFonts w:hint="eastAsia" w:asciiTheme="minorEastAsia" w:hAnsiTheme="minorEastAsia" w:eastAsiaTheme="minorEastAsia" w:cstheme="minorEastAsia"/>
          <w:bCs/>
          <w:snapToGrid w:val="0"/>
          <w:kern w:val="21"/>
          <w:sz w:val="21"/>
          <w:szCs w:val="21"/>
          <w:lang w:val="en-US" w:eastAsia="zh-CN"/>
        </w:rPr>
        <w:t>小时内完成维修。</w:t>
      </w:r>
    </w:p>
    <w:p>
      <w:pPr>
        <w:numPr>
          <w:ilvl w:val="0"/>
          <w:numId w:val="14"/>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维保期间由乙方工作延误导致人身、财产损失，由乙方承担全部责任。</w:t>
      </w:r>
    </w:p>
    <w:p>
      <w:pPr>
        <w:numPr>
          <w:ilvl w:val="0"/>
          <w:numId w:val="14"/>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根据现场反馈问题，甲方通知乙方后，乙方应积极配合及时完成维保工作，维保期间甲方有权对维保落实情况进行考核，因乙方人员工作问题延误导致现场投诉的，每次罚扣1000元；因乙方人员专业性问题导致事件扩大或造成甲方损失的，每次罚扣5000元且赔偿甲方损失。</w:t>
      </w:r>
    </w:p>
    <w:p>
      <w:pPr>
        <w:numPr>
          <w:ilvl w:val="0"/>
          <w:numId w:val="14"/>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甲方有权随时检查维保人员工作情况，如有擅离职守、工作完成不到位等情况每次罚扣1000元。</w:t>
      </w:r>
    </w:p>
    <w:p>
      <w:pPr>
        <w:numPr>
          <w:ilvl w:val="0"/>
          <w:numId w:val="14"/>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每月工作结束时应在次月5号前出具月度工作详细报告及相关维保记录交付甲方，每延迟1日对乙方罚扣1000元。</w:t>
      </w:r>
    </w:p>
    <w:p>
      <w:pPr>
        <w:numPr>
          <w:ilvl w:val="0"/>
          <w:numId w:val="14"/>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乙方应该为甲方建立相关维保工作档案，并配合甲方相关检查，乙方应认真执行国家有关规定，服从甲方管理部门的技术指导和业务管理，达到要求并承担相应的责任。</w:t>
      </w:r>
    </w:p>
    <w:p>
      <w:pPr>
        <w:numPr>
          <w:ilvl w:val="0"/>
          <w:numId w:val="14"/>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乙方驻场人员均应持有与该项目相匹配的特种作业证书方可上岗，如不符合要求条件，甲方有权提出更换。</w:t>
      </w:r>
    </w:p>
    <w:p>
      <w:pPr>
        <w:numPr>
          <w:ilvl w:val="0"/>
          <w:numId w:val="14"/>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要确保文明作业，做好作业现场的卫生，作业垃圾清运时，要采取有效措施防止扬尘污染，做到活完场清。有噪音的作业项目必须在上午8：00—12：00，下午2：00—6：00时间段内作业且不能影响正常的工作。若属于抢修等紧急作业可突破上诉时间限制，但需要通告周边科室人员。</w:t>
      </w:r>
    </w:p>
    <w:p>
      <w:pPr>
        <w:numPr>
          <w:ilvl w:val="0"/>
          <w:numId w:val="14"/>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维保作业中如因乙方人员责任发生火情、盗案、人身事故、损坏公物、作业安全事故等事件，由乙方承担全部责任。</w:t>
      </w:r>
    </w:p>
    <w:p>
      <w:pPr>
        <w:numPr>
          <w:ilvl w:val="0"/>
          <w:numId w:val="14"/>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乙方必须管理好进入作业现场的人员，不得出现不文明的行为，不得发生骚扰医患人员和损坏公私财物事件，发现一次罚扣1000元。</w:t>
      </w:r>
    </w:p>
    <w:p>
      <w:pPr>
        <w:numPr>
          <w:ilvl w:val="0"/>
          <w:numId w:val="14"/>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乙方必须保质保量的按时完成维保任务，如发生因质量问题造成的返工，由乙方承担全部损失并赔偿甲方损失。</w:t>
      </w:r>
    </w:p>
    <w:p>
      <w:pPr>
        <w:numPr>
          <w:ilvl w:val="0"/>
          <w:numId w:val="14"/>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乙方应当遵守甲方关于现场作业的相关规定，违反规定的，按合同条款实施处罚，乙方不得以不知道、不清楚而逃避处罚。</w:t>
      </w:r>
    </w:p>
    <w:p>
      <w:pPr>
        <w:numPr>
          <w:ilvl w:val="0"/>
          <w:numId w:val="14"/>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乙方拆除的材料及设备，交由甲方前乙方应妥善保管，如发现乙方擅自破坏或变卖，由乙方承担全部损失并赔偿甲方损失。</w:t>
      </w:r>
    </w:p>
    <w:p>
      <w:pPr>
        <w:numPr>
          <w:ilvl w:val="0"/>
          <w:numId w:val="14"/>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 xml:space="preserve">违约界定和处理 </w:t>
      </w:r>
    </w:p>
    <w:p>
      <w:pPr>
        <w:numPr>
          <w:ilvl w:val="1"/>
          <w:numId w:val="14"/>
        </w:numPr>
        <w:spacing w:line="240" w:lineRule="auto"/>
        <w:ind w:left="840" w:leftChars="0" w:hanging="420"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 xml:space="preserve">未按规定的时间完成本合同的维保内容； </w:t>
      </w:r>
    </w:p>
    <w:p>
      <w:pPr>
        <w:numPr>
          <w:ilvl w:val="1"/>
          <w:numId w:val="14"/>
        </w:numPr>
        <w:spacing w:line="240" w:lineRule="auto"/>
        <w:ind w:left="840" w:leftChars="0" w:hanging="420"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 xml:space="preserve">提供的维保服务与本合同所要求的不一致； </w:t>
      </w:r>
    </w:p>
    <w:p>
      <w:pPr>
        <w:numPr>
          <w:ilvl w:val="1"/>
          <w:numId w:val="14"/>
        </w:numPr>
        <w:spacing w:line="240" w:lineRule="auto"/>
        <w:ind w:left="840" w:leftChars="0" w:hanging="420"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 xml:space="preserve">提供的耗材质量和性能有问题，按规定属不合格产品； </w:t>
      </w:r>
    </w:p>
    <w:p>
      <w:pPr>
        <w:numPr>
          <w:ilvl w:val="1"/>
          <w:numId w:val="14"/>
        </w:numPr>
        <w:spacing w:line="240" w:lineRule="auto"/>
        <w:ind w:left="840" w:leftChars="0" w:hanging="420"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特殊工种应持证上岗，作业时严格执行相关操作规程，严禁违章操作，发现违规作业强制清人且不得再次录用；</w:t>
      </w:r>
    </w:p>
    <w:p>
      <w:pPr>
        <w:numPr>
          <w:ilvl w:val="1"/>
          <w:numId w:val="14"/>
        </w:numPr>
        <w:spacing w:line="240" w:lineRule="auto"/>
        <w:ind w:left="840" w:leftChars="0" w:hanging="420"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 xml:space="preserve">乙方提供驻场维保人员没有维保能力（或乙方没有组织耗材的能力），或维保工作采取转包的； </w:t>
      </w:r>
    </w:p>
    <w:p>
      <w:pPr>
        <w:numPr>
          <w:ilvl w:val="1"/>
          <w:numId w:val="14"/>
        </w:numPr>
        <w:spacing w:line="240" w:lineRule="auto"/>
        <w:ind w:left="840" w:leftChars="0" w:hanging="420"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维保作业时因乙方维保人员操作失误对甲方造成重大损失的；</w:t>
      </w:r>
    </w:p>
    <w:p>
      <w:pPr>
        <w:numPr>
          <w:ilvl w:val="1"/>
          <w:numId w:val="14"/>
        </w:numPr>
        <w:spacing w:line="240" w:lineRule="auto"/>
        <w:ind w:left="840" w:leftChars="0" w:hanging="420"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处理约定：乙方若有上述情况之一的，罚扣合同金额的10%，拒不改正的，合约解除，并赔偿甲方所有损失。</w:t>
      </w:r>
    </w:p>
    <w:p>
      <w:pPr>
        <w:numPr>
          <w:ilvl w:val="1"/>
          <w:numId w:val="14"/>
        </w:numPr>
        <w:spacing w:line="240" w:lineRule="auto"/>
        <w:ind w:left="840" w:leftChars="0" w:hanging="420"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相关权威部门年度检测检查验收不合格，且乙方未在限期内整改，甲方有权提前终止合同。</w:t>
      </w:r>
    </w:p>
    <w:p>
      <w:pPr>
        <w:numPr>
          <w:ilvl w:val="0"/>
          <w:numId w:val="14"/>
        </w:numPr>
        <w:spacing w:line="240" w:lineRule="auto"/>
        <w:ind w:left="425" w:leftChars="0" w:hanging="425"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评核措施（计分由甲方负责人进行评核</w:t>
      </w:r>
      <w:r>
        <w:rPr>
          <w:rFonts w:hint="eastAsia" w:asciiTheme="minorEastAsia" w:hAnsiTheme="minorEastAsia" w:cstheme="minorEastAsia"/>
          <w:bCs/>
          <w:snapToGrid w:val="0"/>
          <w:kern w:val="21"/>
          <w:sz w:val="21"/>
          <w:szCs w:val="21"/>
          <w:lang w:val="en-US" w:eastAsia="zh-CN"/>
        </w:rPr>
        <w:t>，需根据乙方维保实际情况评核</w:t>
      </w:r>
      <w:r>
        <w:rPr>
          <w:rFonts w:hint="eastAsia" w:asciiTheme="minorEastAsia" w:hAnsiTheme="minorEastAsia" w:eastAsiaTheme="minorEastAsia" w:cstheme="minorEastAsia"/>
          <w:bCs/>
          <w:snapToGrid w:val="0"/>
          <w:kern w:val="21"/>
          <w:sz w:val="21"/>
          <w:szCs w:val="21"/>
          <w:lang w:val="en-US" w:eastAsia="zh-CN"/>
        </w:rPr>
        <w:t>）：</w:t>
      </w:r>
    </w:p>
    <w:p>
      <w:pPr>
        <w:numPr>
          <w:ilvl w:val="1"/>
          <w:numId w:val="14"/>
        </w:numPr>
        <w:spacing w:line="240" w:lineRule="auto"/>
        <w:ind w:left="840" w:leftChars="0" w:hanging="420"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每月评核计分值得分80（含）分以上的为合格。</w:t>
      </w:r>
    </w:p>
    <w:p>
      <w:pPr>
        <w:numPr>
          <w:ilvl w:val="1"/>
          <w:numId w:val="14"/>
        </w:numPr>
        <w:spacing w:line="240" w:lineRule="auto"/>
        <w:ind w:left="840" w:leftChars="0" w:hanging="420" w:firstLineChars="0"/>
        <w:rPr>
          <w:rFonts w:hint="eastAsia" w:asciiTheme="minorEastAsia" w:hAnsiTheme="minorEastAsia" w:eastAsiaTheme="minorEastAsia" w:cstheme="minorEastAsia"/>
          <w:bCs/>
          <w:snapToGrid w:val="0"/>
          <w:kern w:val="21"/>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每月评核计分值得分80至60分的，每降低1分，扣款1000元。</w:t>
      </w:r>
    </w:p>
    <w:p>
      <w:pPr>
        <w:numPr>
          <w:ilvl w:val="1"/>
          <w:numId w:val="14"/>
        </w:numPr>
        <w:spacing w:line="240" w:lineRule="auto"/>
        <w:ind w:left="840" w:leftChars="0" w:hanging="420" w:firstLineChars="0"/>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Cs/>
          <w:snapToGrid w:val="0"/>
          <w:kern w:val="21"/>
          <w:sz w:val="21"/>
          <w:szCs w:val="21"/>
          <w:lang w:val="en-US" w:eastAsia="zh-CN"/>
        </w:rPr>
        <w:t>每月评核计分值得分60（含）分以下的，为考核不合格，甲方有权要求乙方限期整改，逾期未整改的，或考核不合格三次以上，甲方有权提前终止合同。</w:t>
      </w:r>
    </w:p>
    <w:p>
      <w:pPr>
        <w:numPr>
          <w:ilvl w:val="0"/>
          <w:numId w:val="0"/>
        </w:numPr>
        <w:spacing w:line="240" w:lineRule="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八、人员要求</w:t>
      </w:r>
    </w:p>
    <w:p>
      <w:pPr>
        <w:numPr>
          <w:ilvl w:val="0"/>
          <w:numId w:val="15"/>
        </w:numPr>
        <w:spacing w:line="240" w:lineRule="auto"/>
        <w:ind w:left="425" w:leftChars="0" w:hanging="425" w:firstLineChars="0"/>
        <w:rPr>
          <w:rFonts w:hint="eastAsia" w:asciiTheme="minorEastAsia" w:hAnsiTheme="minorEastAsia" w:eastAsiaTheme="minorEastAsia" w:cstheme="minorEastAsia"/>
          <w:spacing w:val="14"/>
          <w:sz w:val="21"/>
          <w:szCs w:val="21"/>
          <w:lang w:val="en-US" w:eastAsia="zh-CN"/>
        </w:rPr>
      </w:pPr>
      <w:r>
        <w:rPr>
          <w:rFonts w:hint="eastAsia" w:asciiTheme="minorEastAsia" w:hAnsiTheme="minorEastAsia" w:eastAsiaTheme="minorEastAsia" w:cstheme="minorEastAsia"/>
          <w:spacing w:val="14"/>
          <w:sz w:val="21"/>
          <w:szCs w:val="21"/>
        </w:rPr>
        <w:t>应建立人员行为规范（包括统一着装、佩戴标识、仪表仪容整洁等）、职业素质与技能培训机制、从业人员保密制度、人员激励及处罚机制等。</w:t>
      </w:r>
    </w:p>
    <w:p>
      <w:pPr>
        <w:numPr>
          <w:ilvl w:val="0"/>
          <w:numId w:val="15"/>
        </w:numPr>
        <w:spacing w:line="240" w:lineRule="auto"/>
        <w:ind w:left="425" w:leftChars="0" w:hanging="425" w:firstLineChars="0"/>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lang w:eastAsia="zh-CN"/>
        </w:rPr>
        <w:t>乙方</w:t>
      </w:r>
      <w:r>
        <w:rPr>
          <w:rFonts w:hint="eastAsia" w:asciiTheme="minorEastAsia" w:hAnsiTheme="minorEastAsia" w:eastAsiaTheme="minorEastAsia" w:cstheme="minorEastAsia"/>
          <w:spacing w:val="14"/>
          <w:sz w:val="21"/>
          <w:szCs w:val="21"/>
        </w:rPr>
        <w:t>人员应经过专业技术培训且考核合格，具有相应的工作实践经验的操作人员。应熟悉并掌握设备结构、性能、工作原理、操作方法及使用维修保养知识。</w:t>
      </w:r>
    </w:p>
    <w:p>
      <w:pPr>
        <w:numPr>
          <w:ilvl w:val="0"/>
          <w:numId w:val="15"/>
        </w:numPr>
        <w:spacing w:line="240" w:lineRule="auto"/>
        <w:ind w:left="425" w:leftChars="0" w:hanging="425" w:firstLineChars="0"/>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工程经理</w:t>
      </w:r>
      <w:r>
        <w:rPr>
          <w:rFonts w:hint="eastAsia" w:asciiTheme="minorEastAsia" w:hAnsiTheme="minorEastAsia" w:eastAsiaTheme="minorEastAsia" w:cstheme="minorEastAsia"/>
          <w:spacing w:val="14"/>
          <w:sz w:val="21"/>
          <w:szCs w:val="21"/>
          <w:lang w:eastAsia="zh-CN"/>
        </w:rPr>
        <w:t>：</w:t>
      </w:r>
      <w:r>
        <w:rPr>
          <w:rFonts w:hint="eastAsia" w:asciiTheme="minorEastAsia" w:hAnsiTheme="minorEastAsia" w:eastAsiaTheme="minorEastAsia" w:cstheme="minorEastAsia"/>
          <w:spacing w:val="14"/>
          <w:sz w:val="21"/>
          <w:szCs w:val="21"/>
        </w:rPr>
        <w:t>年龄不足55周岁</w:t>
      </w:r>
      <w:r>
        <w:rPr>
          <w:rFonts w:hint="eastAsia" w:asciiTheme="minorEastAsia" w:hAnsiTheme="minorEastAsia" w:eastAsiaTheme="minorEastAsia" w:cstheme="minorEastAsia"/>
          <w:spacing w:val="14"/>
          <w:sz w:val="21"/>
          <w:szCs w:val="21"/>
          <w:lang w:eastAsia="zh-CN"/>
        </w:rPr>
        <w:t>，</w:t>
      </w:r>
      <w:r>
        <w:rPr>
          <w:rFonts w:hint="eastAsia" w:asciiTheme="minorEastAsia" w:hAnsiTheme="minorEastAsia" w:eastAsiaTheme="minorEastAsia" w:cstheme="minorEastAsia"/>
          <w:spacing w:val="14"/>
          <w:sz w:val="21"/>
          <w:szCs w:val="21"/>
        </w:rPr>
        <w:t>具有大专及以上学历</w:t>
      </w:r>
      <w:r>
        <w:rPr>
          <w:rFonts w:hint="eastAsia" w:asciiTheme="minorEastAsia" w:hAnsiTheme="minorEastAsia" w:eastAsiaTheme="minorEastAsia" w:cstheme="minorEastAsia"/>
          <w:spacing w:val="14"/>
          <w:sz w:val="21"/>
          <w:szCs w:val="21"/>
          <w:lang w:eastAsia="zh-CN"/>
        </w:rPr>
        <w:t>。</w:t>
      </w:r>
    </w:p>
    <w:p>
      <w:pPr>
        <w:numPr>
          <w:ilvl w:val="0"/>
          <w:numId w:val="15"/>
        </w:numPr>
        <w:spacing w:line="240" w:lineRule="auto"/>
        <w:ind w:left="425" w:leftChars="0" w:hanging="425" w:firstLineChars="0"/>
        <w:rPr>
          <w:rFonts w:hint="eastAsia" w:asciiTheme="minorEastAsia" w:hAnsiTheme="minorEastAsia" w:eastAsiaTheme="minorEastAsia" w:cstheme="minorEastAsia"/>
          <w:spacing w:val="14"/>
          <w:sz w:val="21"/>
          <w:szCs w:val="21"/>
          <w:lang w:eastAsia="zh-CN"/>
        </w:rPr>
      </w:pPr>
      <w:r>
        <w:rPr>
          <w:rFonts w:hint="eastAsia" w:asciiTheme="minorEastAsia" w:hAnsiTheme="minorEastAsia" w:eastAsiaTheme="minorEastAsia" w:cstheme="minorEastAsia"/>
          <w:spacing w:val="14"/>
          <w:sz w:val="21"/>
          <w:szCs w:val="21"/>
          <w:lang w:eastAsia="zh-CN"/>
        </w:rPr>
        <w:t>操作人员需具有下述证照：</w:t>
      </w:r>
    </w:p>
    <w:p>
      <w:pPr>
        <w:numPr>
          <w:ilvl w:val="0"/>
          <w:numId w:val="0"/>
        </w:numPr>
        <w:spacing w:line="240" w:lineRule="auto"/>
        <w:ind w:leftChars="100"/>
        <w:rPr>
          <w:rFonts w:hint="eastAsia" w:asciiTheme="minorEastAsia" w:hAnsiTheme="minorEastAsia" w:eastAsiaTheme="minorEastAsia" w:cstheme="minorEastAsia"/>
          <w:spacing w:val="14"/>
          <w:sz w:val="21"/>
          <w:szCs w:val="21"/>
          <w:highlight w:val="none"/>
          <w:lang w:val="en-US" w:eastAsia="zh-CN"/>
        </w:rPr>
      </w:pPr>
      <w:r>
        <w:rPr>
          <w:rFonts w:hint="eastAsia" w:asciiTheme="minorEastAsia" w:hAnsiTheme="minorEastAsia" w:eastAsiaTheme="minorEastAsia" w:cstheme="minorEastAsia"/>
          <w:spacing w:val="14"/>
          <w:sz w:val="21"/>
          <w:szCs w:val="21"/>
          <w:highlight w:val="none"/>
        </w:rPr>
        <w:t>《中华人民共和国特种作业操作证（</w:t>
      </w:r>
      <w:r>
        <w:rPr>
          <w:rFonts w:hint="eastAsia" w:asciiTheme="minorEastAsia" w:hAnsiTheme="minorEastAsia" w:eastAsiaTheme="minorEastAsia" w:cstheme="minorEastAsia"/>
          <w:spacing w:val="14"/>
          <w:sz w:val="21"/>
          <w:szCs w:val="21"/>
          <w:highlight w:val="none"/>
          <w:lang w:val="en-US" w:eastAsia="zh-CN"/>
        </w:rPr>
        <w:t>电工</w:t>
      </w:r>
      <w:r>
        <w:rPr>
          <w:rFonts w:hint="eastAsia" w:asciiTheme="minorEastAsia" w:hAnsiTheme="minorEastAsia" w:cstheme="minorEastAsia"/>
          <w:spacing w:val="14"/>
          <w:sz w:val="21"/>
          <w:szCs w:val="21"/>
          <w:highlight w:val="none"/>
          <w:lang w:val="en-US" w:eastAsia="zh-CN"/>
        </w:rPr>
        <w:t>证</w:t>
      </w:r>
      <w:r>
        <w:rPr>
          <w:rFonts w:hint="eastAsia" w:asciiTheme="minorEastAsia" w:hAnsiTheme="minorEastAsia" w:eastAsiaTheme="minorEastAsia" w:cstheme="minorEastAsia"/>
          <w:spacing w:val="14"/>
          <w:sz w:val="21"/>
          <w:szCs w:val="21"/>
          <w:highlight w:val="none"/>
        </w:rPr>
        <w:t>）》</w:t>
      </w:r>
      <w:r>
        <w:rPr>
          <w:rFonts w:hint="eastAsia" w:asciiTheme="minorEastAsia" w:hAnsiTheme="minorEastAsia" w:cstheme="minorEastAsia"/>
          <w:spacing w:val="14"/>
          <w:sz w:val="21"/>
          <w:szCs w:val="21"/>
          <w:highlight w:val="none"/>
          <w:lang w:eastAsia="zh-CN"/>
        </w:rPr>
        <w:t>，不限高低压</w:t>
      </w:r>
      <w:r>
        <w:rPr>
          <w:rFonts w:hint="eastAsia" w:asciiTheme="minorEastAsia" w:hAnsiTheme="minorEastAsia" w:eastAsiaTheme="minorEastAsia" w:cstheme="minorEastAsia"/>
          <w:spacing w:val="14"/>
          <w:sz w:val="21"/>
          <w:szCs w:val="21"/>
          <w:highlight w:val="none"/>
          <w:lang w:val="en-US" w:eastAsia="zh-CN"/>
        </w:rPr>
        <w:t>。</w:t>
      </w:r>
    </w:p>
    <w:p>
      <w:pPr>
        <w:numPr>
          <w:ilvl w:val="0"/>
          <w:numId w:val="15"/>
        </w:numPr>
        <w:spacing w:line="240" w:lineRule="auto"/>
        <w:ind w:left="425" w:leftChars="0" w:hanging="425" w:firstLineChars="0"/>
        <w:rPr>
          <w:rFonts w:hint="eastAsia" w:asciiTheme="minorEastAsia" w:hAnsiTheme="minorEastAsia" w:eastAsiaTheme="minorEastAsia" w:cstheme="minorEastAsia"/>
          <w:spacing w:val="14"/>
          <w:sz w:val="21"/>
          <w:szCs w:val="21"/>
          <w:lang w:val="en-US" w:eastAsia="zh-CN"/>
        </w:rPr>
      </w:pPr>
      <w:r>
        <w:rPr>
          <w:rFonts w:hint="eastAsia" w:asciiTheme="minorEastAsia" w:hAnsiTheme="minorEastAsia" w:eastAsiaTheme="minorEastAsia" w:cstheme="minorEastAsia"/>
          <w:spacing w:val="14"/>
          <w:sz w:val="21"/>
          <w:szCs w:val="21"/>
          <w:lang w:val="en-US" w:eastAsia="zh-CN"/>
        </w:rPr>
        <w:t>维保厂商接院方故障报修后，</w:t>
      </w:r>
      <w:r>
        <w:rPr>
          <w:rFonts w:hint="eastAsia" w:asciiTheme="minorEastAsia" w:hAnsiTheme="minorEastAsia" w:eastAsiaTheme="minorEastAsia" w:cstheme="minorEastAsia"/>
          <w:bCs/>
          <w:snapToGrid w:val="0"/>
          <w:kern w:val="21"/>
          <w:sz w:val="21"/>
          <w:szCs w:val="21"/>
          <w:lang w:val="en-US" w:eastAsia="zh-CN"/>
        </w:rPr>
        <w:t>电话响应时间</w:t>
      </w:r>
      <w:r>
        <w:rPr>
          <w:rFonts w:hint="eastAsia" w:asciiTheme="minorEastAsia" w:hAnsiTheme="minorEastAsia" w:cstheme="minorEastAsia"/>
          <w:bCs/>
          <w:snapToGrid w:val="0"/>
          <w:kern w:val="21"/>
          <w:sz w:val="21"/>
          <w:szCs w:val="21"/>
          <w:lang w:val="en-US" w:eastAsia="zh-CN"/>
        </w:rPr>
        <w:t>5</w:t>
      </w:r>
      <w:r>
        <w:rPr>
          <w:rFonts w:hint="eastAsia" w:asciiTheme="minorEastAsia" w:hAnsiTheme="minorEastAsia" w:eastAsiaTheme="minorEastAsia" w:cstheme="minorEastAsia"/>
          <w:bCs/>
          <w:snapToGrid w:val="0"/>
          <w:kern w:val="21"/>
          <w:sz w:val="21"/>
          <w:szCs w:val="21"/>
          <w:lang w:val="en-US" w:eastAsia="zh-CN"/>
        </w:rPr>
        <w:t>分钟之内；到达报修现场时间</w:t>
      </w:r>
      <w:r>
        <w:rPr>
          <w:rFonts w:hint="eastAsia" w:asciiTheme="minorEastAsia" w:hAnsiTheme="minorEastAsia" w:cstheme="minorEastAsia"/>
          <w:bCs/>
          <w:snapToGrid w:val="0"/>
          <w:kern w:val="21"/>
          <w:sz w:val="21"/>
          <w:szCs w:val="21"/>
          <w:lang w:val="en-US" w:eastAsia="zh-CN"/>
        </w:rPr>
        <w:t>0.5</w:t>
      </w:r>
      <w:r>
        <w:rPr>
          <w:rFonts w:hint="eastAsia" w:asciiTheme="minorEastAsia" w:hAnsiTheme="minorEastAsia" w:eastAsiaTheme="minorEastAsia" w:cstheme="minorEastAsia"/>
          <w:bCs/>
          <w:snapToGrid w:val="0"/>
          <w:kern w:val="21"/>
          <w:sz w:val="21"/>
          <w:szCs w:val="21"/>
          <w:lang w:val="en-US" w:eastAsia="zh-CN"/>
        </w:rPr>
        <w:t>小时之内，</w:t>
      </w:r>
      <w:r>
        <w:rPr>
          <w:rFonts w:hint="eastAsia" w:asciiTheme="minorEastAsia" w:hAnsiTheme="minorEastAsia" w:eastAsiaTheme="minorEastAsia" w:cstheme="minorEastAsia"/>
          <w:spacing w:val="14"/>
          <w:sz w:val="21"/>
          <w:szCs w:val="21"/>
          <w:lang w:val="en-US" w:eastAsia="zh-CN"/>
        </w:rPr>
        <w:t>4小时内将故障排除，并免费提供备机服务。</w:t>
      </w:r>
    </w:p>
    <w:p>
      <w:pPr>
        <w:numPr>
          <w:ilvl w:val="0"/>
          <w:numId w:val="15"/>
        </w:numPr>
        <w:spacing w:line="240" w:lineRule="auto"/>
        <w:ind w:left="425" w:leftChars="0" w:hanging="425" w:firstLineChars="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pacing w:val="14"/>
          <w:sz w:val="21"/>
          <w:szCs w:val="21"/>
          <w:lang w:val="en-US" w:eastAsia="zh-CN"/>
        </w:rPr>
        <w:t>提供人员服务：需全年无间断（包括节假日）每天24小时按需要为医院提供维保服务。</w:t>
      </w:r>
    </w:p>
    <w:p>
      <w:pPr>
        <w:keepNext w:val="0"/>
        <w:keepLines w:val="0"/>
        <w:widowControl/>
        <w:suppressLineNumbers w:val="0"/>
        <w:jc w:val="both"/>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i w:val="0"/>
          <w:iCs w:val="0"/>
          <w:color w:val="000000"/>
          <w:sz w:val="21"/>
          <w:szCs w:val="21"/>
          <w:u w:val="none"/>
          <w:lang w:eastAsia="zh-CN"/>
        </w:rPr>
        <w:t>九、维保设备清单</w:t>
      </w:r>
    </w:p>
    <w:p>
      <w:pPr>
        <w:numPr>
          <w:ilvl w:val="0"/>
          <w:numId w:val="0"/>
        </w:numPr>
        <w:spacing w:line="240" w:lineRule="auto"/>
        <w:ind w:leftChars="0"/>
        <w:rPr>
          <w:rFonts w:hint="eastAsia" w:asciiTheme="minorEastAsia" w:hAnsiTheme="minorEastAsia" w:eastAsiaTheme="minorEastAsia" w:cstheme="minorEastAsia"/>
          <w:spacing w:val="14"/>
          <w:sz w:val="21"/>
          <w:szCs w:val="21"/>
          <w:lang w:val="en-US" w:eastAsia="zh-CN"/>
        </w:rPr>
      </w:pPr>
      <w:r>
        <w:rPr>
          <w:rFonts w:hint="eastAsia" w:asciiTheme="minorEastAsia" w:hAnsiTheme="minorEastAsia" w:eastAsiaTheme="minorEastAsia" w:cstheme="minorEastAsia"/>
          <w:spacing w:val="14"/>
          <w:sz w:val="21"/>
          <w:szCs w:val="21"/>
          <w:lang w:val="en-US" w:eastAsia="zh-CN"/>
        </w:rPr>
        <w:t>交换机硬件设备明细</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837"/>
        <w:gridCol w:w="1571"/>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vAlign w:val="center"/>
          </w:tcPr>
          <w:p>
            <w:pPr>
              <w:widowControl/>
              <w:jc w:val="both"/>
              <w:rPr>
                <w:rFonts w:hint="default" w:asciiTheme="minorEastAsia" w:hAnsiTheme="minorEastAsia" w:eastAsiaTheme="minorEastAsia" w:cstheme="minorEastAsia"/>
                <w:color w:val="000000"/>
                <w:kern w:val="0"/>
                <w:szCs w:val="21"/>
                <w:lang w:val="en-US" w:eastAsia="zh-CN"/>
              </w:rPr>
            </w:pPr>
            <w:r>
              <w:rPr>
                <w:rFonts w:hint="eastAsia" w:asciiTheme="minorEastAsia" w:hAnsiTheme="minorEastAsia" w:cstheme="minorEastAsia"/>
                <w:color w:val="000000"/>
                <w:kern w:val="0"/>
                <w:szCs w:val="21"/>
                <w:lang w:val="en-US" w:eastAsia="zh-CN"/>
              </w:rPr>
              <w:t>一期设备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b/>
                <w:bCs/>
                <w:color w:val="000000"/>
                <w:kern w:val="0"/>
                <w:sz w:val="21"/>
                <w:szCs w:val="21"/>
                <w:lang w:val="en-US" w:eastAsia="zh-CN" w:bidi="ar-SA"/>
              </w:rPr>
            </w:pPr>
            <w:r>
              <w:rPr>
                <w:rFonts w:hint="eastAsia" w:asciiTheme="minorEastAsia" w:hAnsiTheme="minorEastAsia" w:eastAsiaTheme="minorEastAsia" w:cstheme="minorEastAsia"/>
                <w:b/>
                <w:bCs/>
                <w:color w:val="000000"/>
                <w:kern w:val="0"/>
                <w:szCs w:val="21"/>
              </w:rPr>
              <w:t>序号</w:t>
            </w:r>
          </w:p>
        </w:tc>
        <w:tc>
          <w:tcPr>
            <w:tcW w:w="1837" w:type="dxa"/>
            <w:vAlign w:val="center"/>
          </w:tcPr>
          <w:p>
            <w:pPr>
              <w:widowControl/>
              <w:jc w:val="center"/>
              <w:rPr>
                <w:rFonts w:hint="eastAsia" w:asciiTheme="minorEastAsia" w:hAnsiTheme="minorEastAsia" w:eastAsiaTheme="minorEastAsia" w:cstheme="minorEastAsia"/>
                <w:b/>
                <w:bCs/>
                <w:color w:val="000000"/>
                <w:kern w:val="0"/>
                <w:sz w:val="21"/>
                <w:szCs w:val="21"/>
                <w:lang w:val="en-US" w:eastAsia="zh-CN" w:bidi="ar-SA"/>
              </w:rPr>
            </w:pPr>
            <w:r>
              <w:rPr>
                <w:rFonts w:hint="eastAsia" w:asciiTheme="minorEastAsia" w:hAnsiTheme="minorEastAsia" w:eastAsiaTheme="minorEastAsia" w:cstheme="minorEastAsia"/>
                <w:b/>
                <w:bCs/>
                <w:color w:val="000000"/>
                <w:kern w:val="0"/>
                <w:szCs w:val="21"/>
              </w:rPr>
              <w:t>项目名称</w:t>
            </w:r>
          </w:p>
        </w:tc>
        <w:tc>
          <w:tcPr>
            <w:tcW w:w="1571" w:type="dxa"/>
            <w:vAlign w:val="center"/>
          </w:tcPr>
          <w:p>
            <w:pPr>
              <w:widowControl/>
              <w:jc w:val="center"/>
              <w:rPr>
                <w:rFonts w:hint="eastAsia" w:asciiTheme="minorEastAsia" w:hAnsiTheme="minorEastAsia" w:eastAsiaTheme="minorEastAsia" w:cstheme="minorEastAsia"/>
                <w:b/>
                <w:bCs/>
                <w:color w:val="000000"/>
                <w:kern w:val="0"/>
                <w:sz w:val="21"/>
                <w:szCs w:val="21"/>
                <w:lang w:val="en-US" w:eastAsia="zh-CN" w:bidi="ar-SA"/>
              </w:rPr>
            </w:pPr>
            <w:r>
              <w:rPr>
                <w:rFonts w:hint="eastAsia" w:asciiTheme="minorEastAsia" w:hAnsiTheme="minorEastAsia" w:eastAsiaTheme="minorEastAsia" w:cstheme="minorEastAsia"/>
                <w:b/>
                <w:bCs/>
                <w:color w:val="000000"/>
                <w:szCs w:val="21"/>
              </w:rPr>
              <w:t>品牌</w:t>
            </w:r>
          </w:p>
        </w:tc>
        <w:tc>
          <w:tcPr>
            <w:tcW w:w="1705" w:type="dxa"/>
            <w:vAlign w:val="center"/>
          </w:tcPr>
          <w:p>
            <w:pPr>
              <w:widowControl/>
              <w:jc w:val="center"/>
              <w:rPr>
                <w:rFonts w:hint="eastAsia" w:asciiTheme="minorEastAsia" w:hAnsiTheme="minorEastAsia" w:eastAsiaTheme="minorEastAsia" w:cstheme="minorEastAsia"/>
                <w:b/>
                <w:bCs/>
                <w:color w:val="000000"/>
                <w:kern w:val="0"/>
                <w:sz w:val="21"/>
                <w:szCs w:val="21"/>
                <w:lang w:val="en-US" w:eastAsia="zh-CN" w:bidi="ar-SA"/>
              </w:rPr>
            </w:pPr>
            <w:r>
              <w:rPr>
                <w:rFonts w:hint="eastAsia" w:asciiTheme="minorEastAsia" w:hAnsiTheme="minorEastAsia" w:eastAsiaTheme="minorEastAsia" w:cstheme="minorEastAsia"/>
                <w:b/>
                <w:bCs/>
                <w:color w:val="000000"/>
                <w:szCs w:val="21"/>
              </w:rPr>
              <w:t>型号</w:t>
            </w: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lang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lang w:val="en-US" w:eastAsia="zh-CN"/>
              </w:rPr>
              <w:t>1</w:t>
            </w:r>
          </w:p>
        </w:tc>
        <w:tc>
          <w:tcPr>
            <w:tcW w:w="1837"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服务器</w:t>
            </w:r>
          </w:p>
        </w:tc>
        <w:tc>
          <w:tcPr>
            <w:tcW w:w="1571"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bookmarkStart w:id="2" w:name="OLE_LINK1"/>
            <w:r>
              <w:rPr>
                <w:rFonts w:hint="eastAsia" w:asciiTheme="minorEastAsia" w:hAnsiTheme="minorEastAsia" w:eastAsiaTheme="minorEastAsia" w:cstheme="minorEastAsia"/>
                <w:spacing w:val="14"/>
                <w:sz w:val="21"/>
                <w:szCs w:val="21"/>
                <w:lang w:val="en-US" w:eastAsia="zh-CN"/>
              </w:rPr>
              <w:t>AVAYA</w:t>
            </w:r>
            <w:bookmarkEnd w:id="2"/>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S8800</w:t>
            </w:r>
          </w:p>
        </w:tc>
        <w:tc>
          <w:tcPr>
            <w:tcW w:w="1705" w:type="dxa"/>
            <w:vAlign w:val="center"/>
          </w:tcPr>
          <w:p>
            <w:pPr>
              <w:widowControl/>
              <w:jc w:val="center"/>
              <w:rPr>
                <w:rFonts w:hint="default"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cstheme="minorEastAsia"/>
                <w:color w:val="000000"/>
                <w:kern w:val="0"/>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lang w:val="en-US" w:eastAsia="zh-CN"/>
              </w:rPr>
              <w:t>2</w:t>
            </w:r>
          </w:p>
        </w:tc>
        <w:tc>
          <w:tcPr>
            <w:tcW w:w="1837"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服务器</w:t>
            </w:r>
          </w:p>
        </w:tc>
        <w:tc>
          <w:tcPr>
            <w:tcW w:w="1571"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AVAYA</w:t>
            </w: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S8300</w:t>
            </w:r>
          </w:p>
        </w:tc>
        <w:tc>
          <w:tcPr>
            <w:tcW w:w="1705" w:type="dxa"/>
            <w:vAlign w:val="center"/>
          </w:tcPr>
          <w:p>
            <w:pPr>
              <w:widowControl/>
              <w:jc w:val="center"/>
              <w:rPr>
                <w:rFonts w:hint="default"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cstheme="minorEastAsia"/>
                <w:color w:val="000000"/>
                <w:kern w:val="0"/>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lang w:val="en-US" w:eastAsia="zh-CN"/>
              </w:rPr>
              <w:t>3</w:t>
            </w:r>
          </w:p>
        </w:tc>
        <w:tc>
          <w:tcPr>
            <w:tcW w:w="1837"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媒体网关</w:t>
            </w:r>
          </w:p>
        </w:tc>
        <w:tc>
          <w:tcPr>
            <w:tcW w:w="1571"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AVAYA</w:t>
            </w: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G650</w:t>
            </w:r>
          </w:p>
        </w:tc>
        <w:tc>
          <w:tcPr>
            <w:tcW w:w="1705" w:type="dxa"/>
            <w:vAlign w:val="center"/>
          </w:tcPr>
          <w:p>
            <w:pPr>
              <w:widowControl/>
              <w:jc w:val="center"/>
              <w:rPr>
                <w:rFonts w:hint="default"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cstheme="minorEastAsia"/>
                <w:color w:val="000000"/>
                <w:kern w:val="0"/>
                <w:sz w:val="21"/>
                <w:szCs w:val="21"/>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lang w:val="en-US" w:eastAsia="zh-CN"/>
              </w:rPr>
              <w:t>4</w:t>
            </w:r>
          </w:p>
        </w:tc>
        <w:tc>
          <w:tcPr>
            <w:tcW w:w="1837"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媒体网关</w:t>
            </w:r>
          </w:p>
        </w:tc>
        <w:tc>
          <w:tcPr>
            <w:tcW w:w="1571"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AVAYA</w:t>
            </w: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G450</w:t>
            </w:r>
          </w:p>
        </w:tc>
        <w:tc>
          <w:tcPr>
            <w:tcW w:w="1705" w:type="dxa"/>
            <w:vAlign w:val="center"/>
          </w:tcPr>
          <w:p>
            <w:pPr>
              <w:widowControl/>
              <w:jc w:val="center"/>
              <w:rPr>
                <w:rFonts w:hint="default"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cstheme="minorEastAsia"/>
                <w:color w:val="000000"/>
                <w:kern w:val="0"/>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lang w:val="en-US" w:eastAsia="zh-CN"/>
              </w:rPr>
              <w:t>5</w:t>
            </w:r>
          </w:p>
        </w:tc>
        <w:tc>
          <w:tcPr>
            <w:tcW w:w="1837"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模拟分机板</w:t>
            </w:r>
          </w:p>
        </w:tc>
        <w:tc>
          <w:tcPr>
            <w:tcW w:w="1571"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AVAYA</w:t>
            </w: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TN793cp</w:t>
            </w:r>
          </w:p>
        </w:tc>
        <w:tc>
          <w:tcPr>
            <w:tcW w:w="1705" w:type="dxa"/>
            <w:vAlign w:val="center"/>
          </w:tcPr>
          <w:p>
            <w:pPr>
              <w:widowControl/>
              <w:jc w:val="center"/>
              <w:rPr>
                <w:rFonts w:hint="default"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cstheme="minorEastAsia"/>
                <w:color w:val="000000"/>
                <w:kern w:val="0"/>
                <w:sz w:val="21"/>
                <w:szCs w:val="21"/>
                <w:lang w:val="en-US" w:eastAsia="zh-CN" w:bidi="ar-SA"/>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lang w:val="en-US" w:eastAsia="zh-CN"/>
              </w:rPr>
              <w:t>6</w:t>
            </w:r>
          </w:p>
        </w:tc>
        <w:tc>
          <w:tcPr>
            <w:tcW w:w="1837"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数字分机板卡</w:t>
            </w:r>
          </w:p>
        </w:tc>
        <w:tc>
          <w:tcPr>
            <w:tcW w:w="1571"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TN2224cp</w:t>
            </w:r>
          </w:p>
        </w:tc>
        <w:tc>
          <w:tcPr>
            <w:tcW w:w="1705" w:type="dxa"/>
            <w:vAlign w:val="center"/>
          </w:tcPr>
          <w:p>
            <w:pPr>
              <w:widowControl/>
              <w:jc w:val="center"/>
              <w:rPr>
                <w:rFonts w:hint="default"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cstheme="minorEastAsia"/>
                <w:color w:val="000000"/>
                <w:kern w:val="0"/>
                <w:sz w:val="21"/>
                <w:szCs w:val="21"/>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lang w:val="en-US" w:eastAsia="zh-CN"/>
              </w:rPr>
              <w:t>7</w:t>
            </w:r>
          </w:p>
        </w:tc>
        <w:tc>
          <w:tcPr>
            <w:tcW w:w="1837"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模拟分机板卡</w:t>
            </w:r>
          </w:p>
        </w:tc>
        <w:tc>
          <w:tcPr>
            <w:tcW w:w="1571"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MM716</w:t>
            </w:r>
          </w:p>
        </w:tc>
        <w:tc>
          <w:tcPr>
            <w:tcW w:w="1705" w:type="dxa"/>
            <w:vAlign w:val="center"/>
          </w:tcPr>
          <w:p>
            <w:pPr>
              <w:widowControl/>
              <w:jc w:val="center"/>
              <w:rPr>
                <w:rFonts w:hint="default"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cstheme="minorEastAsia"/>
                <w:color w:val="000000"/>
                <w:kern w:val="0"/>
                <w:sz w:val="21"/>
                <w:szCs w:val="21"/>
                <w:lang w:val="en-US" w:eastAsia="zh-CN" w:bidi="ar-S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lang w:val="en-US" w:eastAsia="zh-CN"/>
              </w:rPr>
              <w:t>8</w:t>
            </w:r>
          </w:p>
        </w:tc>
        <w:tc>
          <w:tcPr>
            <w:tcW w:w="1837"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数字中继板卡</w:t>
            </w:r>
          </w:p>
        </w:tc>
        <w:tc>
          <w:tcPr>
            <w:tcW w:w="1571"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TN2464cp</w:t>
            </w:r>
          </w:p>
        </w:tc>
        <w:tc>
          <w:tcPr>
            <w:tcW w:w="1705" w:type="dxa"/>
            <w:vAlign w:val="center"/>
          </w:tcPr>
          <w:p>
            <w:pPr>
              <w:widowControl/>
              <w:jc w:val="center"/>
              <w:rPr>
                <w:rFonts w:hint="default"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cstheme="minorEastAsia"/>
                <w:color w:val="000000"/>
                <w:kern w:val="0"/>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lang w:val="en-US" w:eastAsia="zh-CN"/>
              </w:rPr>
              <w:t>9</w:t>
            </w:r>
          </w:p>
        </w:tc>
        <w:tc>
          <w:tcPr>
            <w:tcW w:w="1837"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许可</w:t>
            </w:r>
          </w:p>
        </w:tc>
        <w:tc>
          <w:tcPr>
            <w:tcW w:w="1571"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（1158+448）</w:t>
            </w:r>
          </w:p>
        </w:tc>
        <w:tc>
          <w:tcPr>
            <w:tcW w:w="1705" w:type="dxa"/>
            <w:vAlign w:val="center"/>
          </w:tcPr>
          <w:p>
            <w:pPr>
              <w:widowControl/>
              <w:jc w:val="center"/>
              <w:rPr>
                <w:rFonts w:hint="default"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cstheme="minorEastAsia"/>
                <w:color w:val="000000"/>
                <w:kern w:val="0"/>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lang w:val="en-US" w:eastAsia="zh-CN"/>
              </w:rPr>
              <w:t>10</w:t>
            </w:r>
          </w:p>
        </w:tc>
        <w:tc>
          <w:tcPr>
            <w:tcW w:w="1837"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AVAYA IPO系统一套</w:t>
            </w:r>
          </w:p>
        </w:tc>
        <w:tc>
          <w:tcPr>
            <w:tcW w:w="1571"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spacing w:val="14"/>
                <w:sz w:val="21"/>
                <w:szCs w:val="21"/>
                <w:lang w:val="en-US" w:eastAsia="zh-CN"/>
              </w:rPr>
              <w:t>AVAYA</w:t>
            </w: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default" w:asciiTheme="minorEastAsia" w:hAnsiTheme="minorEastAsia" w:eastAsiaTheme="minorEastAsia" w:cstheme="minorEastAsia"/>
                <w:color w:val="000000"/>
                <w:kern w:val="0"/>
                <w:szCs w:val="21"/>
                <w:lang w:val="en-US" w:eastAsia="zh-CN"/>
              </w:rPr>
            </w:pPr>
            <w:r>
              <w:rPr>
                <w:rFonts w:hint="eastAsia" w:asciiTheme="minorEastAsia" w:hAnsiTheme="minorEastAsia" w:cstheme="minorEastAsia"/>
                <w:color w:val="000000"/>
                <w:kern w:val="0"/>
                <w:szCs w:val="21"/>
                <w:lang w:val="en-US" w:eastAsia="zh-CN"/>
              </w:rPr>
              <w:t>11</w:t>
            </w:r>
          </w:p>
        </w:tc>
        <w:tc>
          <w:tcPr>
            <w:tcW w:w="1837" w:type="dxa"/>
            <w:vAlign w:val="center"/>
          </w:tcPr>
          <w:p>
            <w:pPr>
              <w:widowControl/>
              <w:jc w:val="center"/>
              <w:rPr>
                <w:rFonts w:hint="eastAsia" w:asciiTheme="minorEastAsia" w:hAnsiTheme="minorEastAsia" w:eastAsiaTheme="minorEastAsia" w:cstheme="minorEastAsia"/>
                <w:spacing w:val="14"/>
                <w:sz w:val="21"/>
                <w:szCs w:val="21"/>
                <w:lang w:val="en-US" w:eastAsia="zh-CN"/>
              </w:rPr>
            </w:pPr>
            <w:r>
              <w:rPr>
                <w:rFonts w:hint="eastAsia" w:asciiTheme="minorEastAsia" w:hAnsiTheme="minorEastAsia" w:eastAsiaTheme="minorEastAsia" w:cstheme="minorEastAsia"/>
                <w:b w:val="0"/>
                <w:bCs/>
                <w:snapToGrid w:val="0"/>
                <w:kern w:val="21"/>
                <w:sz w:val="21"/>
                <w:szCs w:val="21"/>
                <w:lang w:val="en-US" w:eastAsia="zh-CN" w:bidi="ar-SA"/>
              </w:rPr>
              <w:t>电话</w:t>
            </w:r>
            <w:r>
              <w:rPr>
                <w:rFonts w:hint="eastAsia" w:asciiTheme="minorEastAsia" w:hAnsiTheme="minorEastAsia" w:cstheme="minorEastAsia"/>
                <w:b w:val="0"/>
                <w:bCs/>
                <w:snapToGrid w:val="0"/>
                <w:kern w:val="21"/>
                <w:sz w:val="21"/>
                <w:szCs w:val="21"/>
                <w:lang w:val="en-US" w:eastAsia="zh-CN" w:bidi="ar-SA"/>
              </w:rPr>
              <w:t>系统维修操作</w:t>
            </w:r>
          </w:p>
        </w:tc>
        <w:tc>
          <w:tcPr>
            <w:tcW w:w="1571" w:type="dxa"/>
            <w:vAlign w:val="center"/>
          </w:tcPr>
          <w:p>
            <w:pPr>
              <w:widowControl/>
              <w:jc w:val="center"/>
              <w:rPr>
                <w:rFonts w:hint="eastAsia" w:asciiTheme="minorEastAsia" w:hAnsiTheme="minorEastAsia" w:eastAsiaTheme="minorEastAsia" w:cstheme="minorEastAsia"/>
                <w:spacing w:val="14"/>
                <w:sz w:val="21"/>
                <w:szCs w:val="21"/>
                <w:lang w:val="en-US" w:eastAsia="zh-CN"/>
              </w:rPr>
            </w:pP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p>
        </w:tc>
        <w:tc>
          <w:tcPr>
            <w:tcW w:w="1705" w:type="dxa"/>
            <w:vAlign w:val="center"/>
          </w:tcPr>
          <w:p>
            <w:pPr>
              <w:widowControl/>
              <w:jc w:val="center"/>
              <w:rPr>
                <w:rFonts w:hint="default" w:asciiTheme="minorEastAsia" w:hAnsiTheme="minorEastAsia" w:eastAsiaTheme="minorEastAsia" w:cstheme="minorEastAsia"/>
                <w:color w:val="000000"/>
                <w:kern w:val="0"/>
                <w:szCs w:val="21"/>
                <w:lang w:val="en-US" w:eastAsia="zh-CN"/>
              </w:rPr>
            </w:pPr>
            <w:r>
              <w:rPr>
                <w:rFonts w:hint="eastAsia" w:asciiTheme="minorEastAsia" w:hAnsiTheme="minorEastAsia" w:cstheme="minorEastAsia"/>
                <w:color w:val="000000"/>
                <w:kern w:val="0"/>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vAlign w:val="center"/>
          </w:tcPr>
          <w:p>
            <w:pPr>
              <w:widowControl/>
              <w:jc w:val="both"/>
              <w:rPr>
                <w:rFonts w:hint="eastAsia" w:asciiTheme="minorEastAsia" w:hAnsiTheme="minorEastAsia" w:eastAsiaTheme="minorEastAsia" w:cstheme="minorEastAsia"/>
                <w:color w:val="000000"/>
                <w:kern w:val="0"/>
                <w:szCs w:val="21"/>
                <w:lang w:eastAsia="zh-CN"/>
              </w:rPr>
            </w:pPr>
            <w:r>
              <w:rPr>
                <w:rFonts w:hint="eastAsia" w:asciiTheme="minorEastAsia" w:hAnsiTheme="minorEastAsia" w:cstheme="minorEastAsia"/>
                <w:color w:val="000000"/>
                <w:kern w:val="0"/>
                <w:szCs w:val="21"/>
                <w:lang w:eastAsia="zh-CN"/>
              </w:rPr>
              <w:t>二期设备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1</w:t>
            </w:r>
          </w:p>
        </w:tc>
        <w:tc>
          <w:tcPr>
            <w:tcW w:w="1837"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程控语音服务器</w:t>
            </w:r>
          </w:p>
        </w:tc>
        <w:tc>
          <w:tcPr>
            <w:tcW w:w="1571"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Yeastar</w:t>
            </w: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P10000-ES</w:t>
            </w: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cstheme="minorEastAsia"/>
                <w:color w:val="000000"/>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2</w:t>
            </w:r>
          </w:p>
        </w:tc>
        <w:tc>
          <w:tcPr>
            <w:tcW w:w="1837"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数字中继网关</w:t>
            </w:r>
          </w:p>
        </w:tc>
        <w:tc>
          <w:tcPr>
            <w:tcW w:w="1571"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Yeastar</w:t>
            </w: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TE200</w:t>
            </w: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cstheme="minorEastAsia"/>
                <w:color w:val="000000"/>
                <w:kern w:val="0"/>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3</w:t>
            </w:r>
          </w:p>
        </w:tc>
        <w:tc>
          <w:tcPr>
            <w:tcW w:w="1837"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数字中继网关</w:t>
            </w:r>
          </w:p>
        </w:tc>
        <w:tc>
          <w:tcPr>
            <w:tcW w:w="1571"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Yeastar</w:t>
            </w: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TE410</w:t>
            </w: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cstheme="minorEastAsia"/>
                <w:color w:val="000000"/>
                <w:kern w:val="0"/>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4</w:t>
            </w:r>
          </w:p>
        </w:tc>
        <w:tc>
          <w:tcPr>
            <w:tcW w:w="1837"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语音网关</w:t>
            </w:r>
          </w:p>
        </w:tc>
        <w:tc>
          <w:tcPr>
            <w:tcW w:w="1571"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Yeastar</w:t>
            </w: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TA3200</w:t>
            </w: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cstheme="minorEastAsia"/>
                <w:color w:val="000000"/>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5</w:t>
            </w:r>
          </w:p>
        </w:tc>
        <w:tc>
          <w:tcPr>
            <w:tcW w:w="1837"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语音网关</w:t>
            </w:r>
          </w:p>
        </w:tc>
        <w:tc>
          <w:tcPr>
            <w:tcW w:w="1571"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Yeastar</w:t>
            </w: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eastAsiaTheme="minorEastAsia" w:cstheme="minorEastAsia"/>
                <w:color w:val="000000"/>
                <w:kern w:val="0"/>
                <w:szCs w:val="21"/>
              </w:rPr>
              <w:t>TA1280</w:t>
            </w:r>
          </w:p>
        </w:tc>
        <w:tc>
          <w:tcPr>
            <w:tcW w:w="1705" w:type="dxa"/>
            <w:vAlign w:val="center"/>
          </w:tcPr>
          <w:p>
            <w:pPr>
              <w:widowControl/>
              <w:jc w:val="center"/>
              <w:rPr>
                <w:rFonts w:hint="eastAsia" w:asciiTheme="minorEastAsia" w:hAnsiTheme="minorEastAsia" w:eastAsiaTheme="minorEastAsia" w:cstheme="minorEastAsia"/>
                <w:color w:val="000000"/>
                <w:kern w:val="0"/>
                <w:sz w:val="21"/>
                <w:szCs w:val="21"/>
                <w:lang w:val="en-US" w:eastAsia="zh-CN" w:bidi="ar-SA"/>
              </w:rPr>
            </w:pPr>
            <w:r>
              <w:rPr>
                <w:rFonts w:hint="eastAsia" w:asciiTheme="minorEastAsia" w:hAnsiTheme="minorEastAsia" w:cstheme="minorEastAsia"/>
                <w:color w:val="000000"/>
                <w:kern w:val="0"/>
                <w:szCs w:val="21"/>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idowControl/>
              <w:jc w:val="center"/>
              <w:rPr>
                <w:rFonts w:hint="eastAsia" w:asciiTheme="minorEastAsia" w:hAnsiTheme="minorEastAsia" w:eastAsiaTheme="minorEastAsia" w:cstheme="minorEastAsia"/>
                <w:color w:val="000000"/>
                <w:kern w:val="0"/>
                <w:szCs w:val="21"/>
                <w:lang w:val="en-US" w:eastAsia="zh-CN"/>
              </w:rPr>
            </w:pPr>
            <w:r>
              <w:rPr>
                <w:rFonts w:hint="eastAsia" w:asciiTheme="minorEastAsia" w:hAnsiTheme="minorEastAsia" w:cstheme="minorEastAsia"/>
                <w:color w:val="000000"/>
                <w:kern w:val="0"/>
                <w:szCs w:val="21"/>
                <w:lang w:val="en-US" w:eastAsia="zh-CN"/>
              </w:rPr>
              <w:t>6</w:t>
            </w:r>
          </w:p>
        </w:tc>
        <w:tc>
          <w:tcPr>
            <w:tcW w:w="1837"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b w:val="0"/>
                <w:bCs/>
                <w:snapToGrid w:val="0"/>
                <w:kern w:val="21"/>
                <w:sz w:val="21"/>
                <w:szCs w:val="21"/>
                <w:lang w:val="en-US" w:eastAsia="zh-CN" w:bidi="ar-SA"/>
              </w:rPr>
              <w:t>电话</w:t>
            </w:r>
            <w:r>
              <w:rPr>
                <w:rFonts w:hint="eastAsia" w:asciiTheme="minorEastAsia" w:hAnsiTheme="minorEastAsia" w:cstheme="minorEastAsia"/>
                <w:b w:val="0"/>
                <w:bCs/>
                <w:snapToGrid w:val="0"/>
                <w:kern w:val="21"/>
                <w:sz w:val="21"/>
                <w:szCs w:val="21"/>
                <w:lang w:val="en-US" w:eastAsia="zh-CN" w:bidi="ar-SA"/>
              </w:rPr>
              <w:t>系统维修操作</w:t>
            </w:r>
          </w:p>
        </w:tc>
        <w:tc>
          <w:tcPr>
            <w:tcW w:w="1571" w:type="dxa"/>
            <w:vAlign w:val="center"/>
          </w:tcPr>
          <w:p>
            <w:pPr>
              <w:widowControl/>
              <w:jc w:val="center"/>
              <w:rPr>
                <w:rFonts w:hint="eastAsia" w:asciiTheme="minorEastAsia" w:hAnsiTheme="minorEastAsia" w:eastAsiaTheme="minorEastAsia" w:cstheme="minorEastAsia"/>
                <w:color w:val="000000"/>
                <w:kern w:val="0"/>
                <w:szCs w:val="21"/>
              </w:rPr>
            </w:pPr>
          </w:p>
        </w:tc>
        <w:tc>
          <w:tcPr>
            <w:tcW w:w="1705" w:type="dxa"/>
            <w:vAlign w:val="center"/>
          </w:tcPr>
          <w:p>
            <w:pPr>
              <w:widowControl/>
              <w:jc w:val="center"/>
              <w:rPr>
                <w:rFonts w:hint="eastAsia" w:asciiTheme="minorEastAsia" w:hAnsiTheme="minorEastAsia" w:eastAsiaTheme="minorEastAsia" w:cstheme="minorEastAsia"/>
                <w:color w:val="000000"/>
                <w:kern w:val="0"/>
                <w:szCs w:val="21"/>
              </w:rPr>
            </w:pPr>
          </w:p>
        </w:tc>
        <w:tc>
          <w:tcPr>
            <w:tcW w:w="1705" w:type="dxa"/>
            <w:vAlign w:val="center"/>
          </w:tcPr>
          <w:p>
            <w:pPr>
              <w:widowControl/>
              <w:jc w:val="center"/>
              <w:rPr>
                <w:rFonts w:hint="default" w:asciiTheme="minorEastAsia" w:hAnsiTheme="minorEastAsia" w:cstheme="minorEastAsia"/>
                <w:color w:val="000000"/>
                <w:kern w:val="0"/>
                <w:szCs w:val="21"/>
                <w:lang w:val="en-US" w:eastAsia="zh-CN"/>
              </w:rPr>
            </w:pPr>
            <w:r>
              <w:rPr>
                <w:rFonts w:hint="eastAsia" w:asciiTheme="minorEastAsia" w:hAnsiTheme="minorEastAsia" w:cstheme="minorEastAsia"/>
                <w:color w:val="000000"/>
                <w:kern w:val="0"/>
                <w:szCs w:val="21"/>
                <w:lang w:val="en-US" w:eastAsia="zh-CN"/>
              </w:rPr>
              <w:t>/</w:t>
            </w:r>
          </w:p>
        </w:tc>
      </w:tr>
    </w:tbl>
    <w:p>
      <w:pPr>
        <w:pStyle w:val="34"/>
        <w:numPr>
          <w:ilvl w:val="0"/>
          <w:numId w:val="0"/>
        </w:numPr>
        <w:rPr>
          <w:rFonts w:hint="eastAsia"/>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十、评标方法和评审标准</w:t>
      </w:r>
      <w:bookmarkEnd w:id="0"/>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1.评标方法</w:t>
      </w:r>
    </w:p>
    <w:p>
      <w:pPr>
        <w:pStyle w:val="20"/>
        <w:spacing w:line="240" w:lineRule="auto"/>
        <w:ind w:firstLine="440" w:firstLineChars="200"/>
        <w:rPr>
          <w:rFonts w:hint="eastAsia" w:ascii="幼圆" w:hAnsi="幼圆" w:eastAsia="幼圆" w:cs="幼圆"/>
          <w:lang w:val="en-US" w:eastAsia="zh-CN"/>
        </w:rPr>
      </w:pPr>
      <w:r>
        <w:rPr>
          <w:rFonts w:hint="eastAsia" w:ascii="幼圆" w:hAnsi="幼圆" w:eastAsia="幼圆" w:cs="幼圆"/>
          <w:lang w:val="en-US" w:eastAsia="zh-CN"/>
        </w:rPr>
        <w:t>本次评标采用</w:t>
      </w:r>
      <w:r>
        <w:rPr>
          <w:rFonts w:hint="eastAsia" w:ascii="幼圆" w:hAnsi="幼圆" w:eastAsia="幼圆" w:cs="幼圆"/>
          <w:b/>
          <w:bCs/>
          <w:lang w:val="en-US" w:eastAsia="zh-CN"/>
        </w:rPr>
        <w:t>综合评分法</w:t>
      </w:r>
      <w:r>
        <w:rPr>
          <w:rFonts w:hint="eastAsia" w:ascii="幼圆" w:hAnsi="幼圆" w:eastAsia="幼圆" w:cs="幼圆"/>
          <w:lang w:val="en-US" w:eastAsia="zh-CN"/>
        </w:rPr>
        <w:t>，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keepNext w:val="0"/>
        <w:keepLines w:val="0"/>
        <w:pageBreakBefore w:val="0"/>
        <w:widowControl/>
        <w:numPr>
          <w:ilvl w:val="0"/>
          <w:numId w:val="0"/>
        </w:numPr>
        <w:wordWrap/>
        <w:topLinePunct w:val="0"/>
        <w:bidi w:val="0"/>
        <w:spacing w:after="0" w:line="240" w:lineRule="auto"/>
        <w:ind w:leftChars="0" w:firstLine="482" w:firstLineChars="200"/>
        <w:jc w:val="both"/>
        <w:rPr>
          <w:rFonts w:hint="eastAsia" w:ascii="幼圆" w:hAnsi="幼圆" w:eastAsia="幼圆" w:cs="幼圆"/>
          <w:b/>
          <w:bCs/>
          <w:color w:val="FF0000"/>
          <w:sz w:val="24"/>
          <w:szCs w:val="20"/>
        </w:rPr>
      </w:pPr>
      <w:r>
        <w:rPr>
          <w:rFonts w:hint="eastAsia" w:ascii="幼圆" w:hAnsi="幼圆" w:eastAsia="幼圆" w:cs="幼圆"/>
          <w:b/>
          <w:bCs/>
          <w:color w:val="FF0000"/>
          <w:sz w:val="24"/>
          <w:szCs w:val="20"/>
        </w:rPr>
        <w:t>投标最低报价不作为中标的唯一理由</w:t>
      </w:r>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2</w:t>
      </w:r>
      <w:r>
        <w:rPr>
          <w:rFonts w:hint="eastAsia" w:ascii="幼圆" w:hAnsi="幼圆" w:eastAsia="幼圆" w:cs="幼圆"/>
          <w:b/>
          <w:bCs/>
          <w:sz w:val="24"/>
          <w:szCs w:val="20"/>
        </w:rPr>
        <w:t>.</w:t>
      </w:r>
      <w:r>
        <w:rPr>
          <w:rFonts w:hint="eastAsia" w:ascii="幼圆" w:hAnsi="幼圆" w:eastAsia="幼圆" w:cs="幼圆"/>
          <w:b/>
          <w:bCs/>
          <w:sz w:val="24"/>
          <w:szCs w:val="20"/>
          <w:lang w:val="en-US" w:eastAsia="zh-CN"/>
        </w:rPr>
        <w:t>评分标准</w:t>
      </w:r>
    </w:p>
    <w:tbl>
      <w:tblPr>
        <w:tblStyle w:val="35"/>
        <w:tblW w:w="940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12"/>
        <w:gridCol w:w="776"/>
        <w:gridCol w:w="1665"/>
        <w:gridCol w:w="574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b/>
                <w:bCs/>
                <w:highlight w:val="none"/>
              </w:rPr>
            </w:pPr>
            <w:bookmarkStart w:id="3" w:name="_Hlk536608376"/>
            <w:r>
              <w:rPr>
                <w:rFonts w:hint="eastAsia" w:ascii="幼圆" w:hAnsi="幼圆" w:eastAsia="幼圆" w:cs="幼圆"/>
                <w:b/>
                <w:bCs/>
                <w:highlight w:val="none"/>
              </w:rPr>
              <w:t>内容</w:t>
            </w:r>
          </w:p>
        </w:tc>
        <w:tc>
          <w:tcPr>
            <w:tcW w:w="776"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分值</w:t>
            </w:r>
          </w:p>
        </w:tc>
        <w:tc>
          <w:tcPr>
            <w:tcW w:w="1665"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评分因素分项</w:t>
            </w:r>
          </w:p>
        </w:tc>
        <w:tc>
          <w:tcPr>
            <w:tcW w:w="5749"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价格部分</w:t>
            </w:r>
          </w:p>
        </w:tc>
        <w:tc>
          <w:tcPr>
            <w:tcW w:w="776" w:type="dxa"/>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lang w:val="en-US" w:eastAsia="zh-CN"/>
              </w:rPr>
              <w:t>20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评标价格</w:t>
            </w:r>
          </w:p>
        </w:tc>
        <w:tc>
          <w:tcPr>
            <w:tcW w:w="5749" w:type="dxa"/>
            <w:vAlign w:val="center"/>
          </w:tcPr>
          <w:p>
            <w:pPr>
              <w:pStyle w:val="20"/>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lang w:eastAsia="zh-CN"/>
              </w:rPr>
            </w:pPr>
            <w:r>
              <w:rPr>
                <w:rFonts w:hint="eastAsia" w:ascii="幼圆" w:hAnsi="幼圆" w:eastAsia="幼圆" w:cs="幼圆"/>
                <w:highlight w:val="none"/>
                <w:lang w:eastAsia="zh-CN"/>
              </w:rPr>
              <w:t>满足招标文件要求且投标价格最低的投标报价为评标基准价，其价格分为满分。其他投标人的价格分统一按照下列公式计算：</w:t>
            </w:r>
          </w:p>
          <w:p>
            <w:pPr>
              <w:pStyle w:val="20"/>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rPr>
            </w:pPr>
            <w:r>
              <w:rPr>
                <w:rFonts w:hint="eastAsia" w:ascii="幼圆" w:hAnsi="幼圆" w:eastAsia="幼圆" w:cs="幼圆"/>
                <w:highlight w:val="none"/>
                <w:lang w:eastAsia="zh-CN"/>
              </w:rPr>
              <w:t>投标报价得分=(评标基准价／投标报价)×</w:t>
            </w:r>
            <w:r>
              <w:rPr>
                <w:rFonts w:hint="eastAsia" w:ascii="幼圆" w:hAnsi="幼圆" w:eastAsia="幼圆" w:cs="幼圆"/>
                <w:highlight w:val="none"/>
                <w:lang w:val="en-US" w:eastAsia="zh-CN"/>
              </w:rPr>
              <w:t>20</w:t>
            </w:r>
            <w:r>
              <w:rPr>
                <w:rFonts w:hint="eastAsia" w:ascii="幼圆" w:hAnsi="幼圆" w:eastAsia="幼圆" w:cs="幼圆"/>
                <w:highlight w:val="none"/>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商务部分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类似业绩</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自202</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年</w:t>
            </w:r>
            <w:r>
              <w:rPr>
                <w:rFonts w:hint="eastAsia" w:ascii="幼圆" w:hAnsi="幼圆" w:eastAsia="幼圆" w:cs="幼圆"/>
                <w:highlight w:val="none"/>
                <w:lang w:val="en-US" w:eastAsia="zh-CN"/>
              </w:rPr>
              <w:t>2</w:t>
            </w:r>
            <w:r>
              <w:rPr>
                <w:rFonts w:hint="eastAsia" w:ascii="幼圆" w:hAnsi="幼圆" w:eastAsia="幼圆" w:cs="幼圆"/>
                <w:highlight w:val="none"/>
                <w:lang w:eastAsia="zh-CN"/>
              </w:rPr>
              <w:t>月1日至今（按合同签订时间计算），投标人每提供一个</w:t>
            </w:r>
            <w:r>
              <w:rPr>
                <w:rFonts w:hint="eastAsia" w:ascii="幼圆" w:hAnsi="幼圆" w:eastAsia="幼圆" w:cs="幼圆"/>
                <w:highlight w:val="none"/>
                <w:lang w:val="en-US" w:eastAsia="zh-CN"/>
              </w:rPr>
              <w:t>同类</w:t>
            </w:r>
            <w:r>
              <w:rPr>
                <w:rFonts w:hint="eastAsia" w:ascii="幼圆" w:hAnsi="幼圆" w:eastAsia="幼圆" w:cs="幼圆"/>
                <w:highlight w:val="none"/>
                <w:lang w:eastAsia="zh-CN"/>
              </w:rPr>
              <w:t>项目</w:t>
            </w:r>
            <w:r>
              <w:rPr>
                <w:rFonts w:hint="eastAsia" w:ascii="幼圆" w:hAnsi="幼圆" w:eastAsia="幼圆" w:cs="幼圆"/>
                <w:highlight w:val="none"/>
                <w:lang w:val="en-US" w:eastAsia="zh-CN"/>
              </w:rPr>
              <w:t>的</w:t>
            </w:r>
            <w:r>
              <w:rPr>
                <w:rFonts w:hint="eastAsia" w:ascii="幼圆" w:hAnsi="幼圆" w:eastAsia="幼圆" w:cs="幼圆"/>
                <w:highlight w:val="none"/>
                <w:lang w:eastAsia="zh-CN"/>
              </w:rPr>
              <w:t>业绩，得</w:t>
            </w:r>
            <w:r>
              <w:rPr>
                <w:rFonts w:hint="eastAsia" w:ascii="幼圆" w:hAnsi="幼圆" w:eastAsia="幼圆" w:cs="幼圆"/>
                <w:highlight w:val="none"/>
                <w:lang w:val="en-US" w:eastAsia="zh-CN"/>
              </w:rPr>
              <w:t>2</w:t>
            </w:r>
            <w:r>
              <w:rPr>
                <w:rFonts w:hint="eastAsia" w:ascii="幼圆" w:hAnsi="幼圆" w:eastAsia="幼圆" w:cs="幼圆"/>
                <w:highlight w:val="none"/>
                <w:lang w:eastAsia="zh-CN"/>
              </w:rPr>
              <w:t>分，最高得</w:t>
            </w:r>
            <w:r>
              <w:rPr>
                <w:rFonts w:hint="eastAsia" w:ascii="幼圆" w:hAnsi="幼圆" w:eastAsia="幼圆" w:cs="幼圆"/>
                <w:highlight w:val="none"/>
                <w:lang w:val="en-US" w:eastAsia="zh-CN"/>
              </w:rPr>
              <w:t>10</w:t>
            </w:r>
            <w:r>
              <w:rPr>
                <w:rFonts w:hint="eastAsia" w:ascii="幼圆" w:hAnsi="幼圆" w:eastAsia="幼圆" w:cs="幼圆"/>
                <w:highlight w:val="none"/>
                <w:lang w:eastAsia="zh-CN"/>
              </w:rPr>
              <w:t>分。须提供合同复印件，内容能体现合同名称、主要服务内容以及双方签字盖章页。未按上述要求提供合同复印件的不得分。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技术部分</w:t>
            </w:r>
          </w:p>
        </w:tc>
        <w:tc>
          <w:tcPr>
            <w:tcW w:w="776"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lang w:val="en-US" w:eastAsia="zh-CN"/>
              </w:rPr>
              <w:t>27</w:t>
            </w:r>
          </w:p>
        </w:tc>
        <w:tc>
          <w:tcPr>
            <w:tcW w:w="1665"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rPr>
              <w:t>对文件技术要求的响应程度</w:t>
            </w:r>
          </w:p>
        </w:tc>
        <w:tc>
          <w:tcPr>
            <w:tcW w:w="5749" w:type="dxa"/>
            <w:shd w:val="clear" w:color="auto" w:fill="auto"/>
            <w:vAlign w:val="center"/>
          </w:tcPr>
          <w:p>
            <w:pPr>
              <w:widowControl/>
              <w:spacing w:line="240" w:lineRule="auto"/>
              <w:jc w:val="both"/>
              <w:rPr>
                <w:rFonts w:hint="eastAsia" w:ascii="幼圆" w:hAnsi="幼圆" w:eastAsia="幼圆" w:cs="幼圆"/>
                <w:highlight w:val="none"/>
              </w:rPr>
            </w:pPr>
            <w:r>
              <w:rPr>
                <w:rFonts w:hint="eastAsia" w:ascii="幼圆" w:hAnsi="幼圆" w:eastAsia="幼圆" w:cs="幼圆"/>
                <w:highlight w:val="none"/>
              </w:rPr>
              <w:t>投标人完全满足【技术要求及评分标准】中“</w:t>
            </w:r>
            <w:r>
              <w:rPr>
                <w:rFonts w:hint="eastAsia" w:ascii="幼圆" w:hAnsi="幼圆" w:eastAsia="幼圆" w:cs="幼圆"/>
                <w:highlight w:val="none"/>
                <w:lang w:val="en-US" w:eastAsia="zh-CN"/>
              </w:rPr>
              <w:t>五</w:t>
            </w:r>
            <w:r>
              <w:rPr>
                <w:rFonts w:hint="eastAsia" w:ascii="幼圆" w:hAnsi="幼圆" w:eastAsia="幼圆" w:cs="幼圆"/>
                <w:highlight w:val="none"/>
              </w:rPr>
              <w:t>、</w:t>
            </w:r>
            <w:r>
              <w:rPr>
                <w:rFonts w:hint="eastAsia" w:ascii="幼圆" w:hAnsi="幼圆" w:eastAsia="幼圆" w:cs="幼圆"/>
                <w:highlight w:val="none"/>
                <w:lang w:val="en-US" w:eastAsia="zh-CN"/>
              </w:rPr>
              <w:t>维保内容</w:t>
            </w:r>
            <w:r>
              <w:rPr>
                <w:rFonts w:hint="eastAsia" w:ascii="幼圆" w:hAnsi="幼圆" w:eastAsia="幼圆" w:cs="幼圆"/>
                <w:highlight w:val="none"/>
              </w:rPr>
              <w:t>”的得</w:t>
            </w:r>
            <w:r>
              <w:rPr>
                <w:rFonts w:hint="eastAsia" w:ascii="幼圆" w:hAnsi="幼圆" w:eastAsia="幼圆" w:cs="幼圆"/>
                <w:highlight w:val="none"/>
                <w:lang w:val="en-US" w:eastAsia="zh-CN"/>
              </w:rPr>
              <w:t>27</w:t>
            </w:r>
            <w:r>
              <w:rPr>
                <w:rFonts w:hint="eastAsia" w:ascii="幼圆" w:hAnsi="幼圆" w:eastAsia="幼圆" w:cs="幼圆"/>
                <w:highlight w:val="none"/>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rPr>
              <w:t>共有</w:t>
            </w:r>
            <w:r>
              <w:rPr>
                <w:rFonts w:hint="eastAsia" w:ascii="幼圆" w:hAnsi="幼圆" w:eastAsia="幼圆" w:cs="幼圆"/>
                <w:highlight w:val="none"/>
                <w:lang w:val="en-US" w:eastAsia="zh-CN"/>
              </w:rPr>
              <w:t>15</w:t>
            </w:r>
            <w:r>
              <w:rPr>
                <w:rFonts w:hint="eastAsia" w:ascii="幼圆" w:hAnsi="幼圆" w:eastAsia="幼圆" w:cs="幼圆"/>
                <w:highlight w:val="none"/>
              </w:rPr>
              <w:t>项指标，每满足一项得</w:t>
            </w:r>
            <w:r>
              <w:rPr>
                <w:rFonts w:hint="eastAsia" w:ascii="幼圆" w:hAnsi="幼圆" w:eastAsia="幼圆" w:cs="幼圆"/>
                <w:highlight w:val="none"/>
                <w:lang w:val="en-US" w:eastAsia="zh-CN"/>
              </w:rPr>
              <w:t>1.8</w:t>
            </w:r>
            <w:r>
              <w:rPr>
                <w:rFonts w:hint="eastAsia" w:ascii="幼圆" w:hAnsi="幼圆" w:eastAsia="幼圆" w:cs="幼圆"/>
                <w:highlight w:val="none"/>
              </w:rPr>
              <w:t>分，共</w:t>
            </w:r>
            <w:r>
              <w:rPr>
                <w:rFonts w:hint="eastAsia" w:ascii="幼圆" w:hAnsi="幼圆" w:eastAsia="幼圆" w:cs="幼圆"/>
                <w:highlight w:val="none"/>
                <w:lang w:val="en-US" w:eastAsia="zh-CN"/>
              </w:rPr>
              <w:t>27</w:t>
            </w:r>
            <w:r>
              <w:rPr>
                <w:rFonts w:hint="eastAsia" w:ascii="幼圆" w:hAnsi="幼圆" w:eastAsia="幼圆" w:cs="幼圆"/>
                <w:highlight w:val="none"/>
              </w:rPr>
              <w:t>分</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b/>
                <w:bCs/>
                <w:highlight w:val="none"/>
                <w:lang w:eastAsia="zh-CN"/>
              </w:rPr>
              <w:t>注：</w:t>
            </w:r>
            <w:r>
              <w:rPr>
                <w:rFonts w:hint="eastAsia" w:ascii="幼圆" w:hAnsi="幼圆" w:eastAsia="幼圆" w:cs="幼圆"/>
                <w:b/>
                <w:bCs/>
                <w:highlight w:val="none"/>
                <w:lang w:val="en-US" w:eastAsia="zh-CN"/>
              </w:rPr>
              <w:t>1</w:t>
            </w:r>
            <w:r>
              <w:rPr>
                <w:rFonts w:hint="eastAsia" w:ascii="幼圆" w:hAnsi="幼圆" w:eastAsia="幼圆" w:cs="幼圆"/>
                <w:b/>
                <w:bCs/>
                <w:highlight w:val="none"/>
                <w:lang w:eastAsia="zh-CN"/>
              </w:rPr>
              <w:t>）“</w:t>
            </w:r>
            <w:r>
              <w:rPr>
                <w:rFonts w:hint="eastAsia" w:ascii="幼圆" w:hAnsi="幼圆" w:eastAsia="幼圆" w:cs="幼圆"/>
                <w:b/>
                <w:bCs/>
                <w:highlight w:val="none"/>
                <w:lang w:val="en-US" w:eastAsia="zh-CN"/>
              </w:rPr>
              <w:t>维保内容</w:t>
            </w:r>
            <w:r>
              <w:rPr>
                <w:rFonts w:hint="eastAsia" w:ascii="幼圆" w:hAnsi="幼圆" w:eastAsia="幼圆" w:cs="幼圆"/>
                <w:b/>
                <w:bCs/>
                <w:highlight w:val="none"/>
                <w:lang w:eastAsia="zh-CN"/>
              </w:rPr>
              <w:t>”以“ 附件《技术规格偏离表》”响应为准，否则不得分。</w:t>
            </w:r>
          </w:p>
          <w:p>
            <w:pPr>
              <w:spacing w:line="240" w:lineRule="auto"/>
              <w:jc w:val="both"/>
              <w:rPr>
                <w:rFonts w:hint="eastAsia" w:ascii="幼圆" w:hAnsi="幼圆" w:eastAsia="幼圆" w:cs="幼圆"/>
                <w:b/>
                <w:bCs/>
                <w:highlight w:val="none"/>
                <w:lang w:val="en-US" w:eastAsia="zh-CN"/>
              </w:rPr>
            </w:pPr>
            <w:r>
              <w:rPr>
                <w:rFonts w:hint="eastAsia" w:ascii="幼圆" w:hAnsi="幼圆" w:eastAsia="幼圆" w:cs="幼圆"/>
                <w:b/>
                <w:bCs/>
                <w:highlight w:val="none"/>
              </w:rPr>
              <w:t>2）以“</w:t>
            </w:r>
            <w:r>
              <w:rPr>
                <w:rFonts w:hint="eastAsia" w:ascii="幼圆" w:hAnsi="幼圆" w:eastAsia="幼圆" w:cs="幼圆"/>
                <w:b/>
                <w:bCs/>
                <w:highlight w:val="none"/>
                <w:lang w:val="en-US" w:eastAsia="zh-CN"/>
              </w:rPr>
              <w:t>维保内容</w:t>
            </w:r>
            <w:r>
              <w:rPr>
                <w:rFonts w:hint="eastAsia" w:ascii="幼圆" w:hAnsi="幼圆" w:eastAsia="幼圆" w:cs="幼圆"/>
                <w:b/>
                <w:bCs/>
                <w:highlight w:val="none"/>
              </w:rPr>
              <w:t>”中的“序号”作为指标项的计算依据，无论该指标项包含几条技术参数。如该指标项中有任意一条指标不满足招标文件要求或负偏离，则该项不得分；漏报该项不得分。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rPr>
            </w:pPr>
          </w:p>
        </w:tc>
        <w:tc>
          <w:tcPr>
            <w:tcW w:w="776"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内部管理制度及培训方案</w:t>
            </w:r>
          </w:p>
        </w:tc>
        <w:tc>
          <w:tcPr>
            <w:tcW w:w="5749" w:type="dxa"/>
            <w:shd w:val="clear" w:color="auto" w:fill="auto"/>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val="en-US" w:eastAsia="zh-CN"/>
              </w:rPr>
              <w:t>内部管理制度及培训方案</w:t>
            </w:r>
            <w:r>
              <w:rPr>
                <w:rFonts w:hint="eastAsia" w:ascii="幼圆" w:hAnsi="幼圆" w:eastAsia="幼圆" w:cs="幼圆"/>
                <w:highlight w:val="none"/>
                <w:lang w:eastAsia="zh-CN"/>
              </w:rPr>
              <w:t>合理、详细，</w:t>
            </w:r>
            <w:r>
              <w:rPr>
                <w:rFonts w:hint="eastAsia" w:ascii="幼圆" w:hAnsi="幼圆" w:eastAsia="幼圆" w:cs="幼圆"/>
                <w:highlight w:val="none"/>
                <w:lang w:val="en-US" w:eastAsia="zh-CN"/>
              </w:rPr>
              <w:t>培训</w:t>
            </w:r>
            <w:r>
              <w:rPr>
                <w:rFonts w:hint="eastAsia" w:ascii="幼圆" w:hAnsi="幼圆" w:eastAsia="幼圆" w:cs="幼圆"/>
                <w:highlight w:val="none"/>
                <w:lang w:eastAsia="zh-CN"/>
              </w:rPr>
              <w:t>服务承诺周到，具有完善的</w:t>
            </w:r>
            <w:r>
              <w:rPr>
                <w:rFonts w:hint="eastAsia" w:ascii="幼圆" w:hAnsi="幼圆" w:eastAsia="幼圆" w:cs="幼圆"/>
                <w:highlight w:val="none"/>
                <w:lang w:val="en-US" w:eastAsia="zh-CN"/>
              </w:rPr>
              <w:t>管理</w:t>
            </w:r>
            <w:r>
              <w:rPr>
                <w:rFonts w:hint="eastAsia" w:ascii="幼圆" w:hAnsi="幼圆" w:eastAsia="幼圆" w:cs="幼圆"/>
                <w:highlight w:val="none"/>
                <w:lang w:eastAsia="zh-CN"/>
              </w:rPr>
              <w:t>体系：</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方案合理、</w:t>
            </w:r>
            <w:r>
              <w:rPr>
                <w:rFonts w:hint="eastAsia" w:ascii="幼圆" w:hAnsi="幼圆" w:eastAsia="幼圆" w:cs="幼圆"/>
                <w:highlight w:val="none"/>
                <w:lang w:val="en-US" w:eastAsia="zh-CN"/>
              </w:rPr>
              <w:t>详细，体系完善的，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5</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较为</w:t>
            </w:r>
            <w:r>
              <w:rPr>
                <w:rFonts w:hint="eastAsia" w:ascii="幼圆" w:hAnsi="幼圆" w:eastAsia="幼圆" w:cs="幼圆"/>
                <w:highlight w:val="none"/>
                <w:lang w:eastAsia="zh-CN"/>
              </w:rPr>
              <w:t>合理、</w:t>
            </w:r>
            <w:r>
              <w:rPr>
                <w:rFonts w:hint="eastAsia" w:ascii="幼圆" w:hAnsi="幼圆" w:eastAsia="幼圆" w:cs="幼圆"/>
                <w:highlight w:val="none"/>
                <w:lang w:val="en-US" w:eastAsia="zh-CN"/>
              </w:rPr>
              <w:t>详细，体系较为完善的，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一般，体系基本完善的，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highlight w:val="none"/>
                <w:lang w:val="en-US" w:eastAsia="zh-CN"/>
              </w:rPr>
              <w:t>未提供，</w:t>
            </w:r>
            <w:r>
              <w:rPr>
                <w:rFonts w:hint="eastAsia" w:ascii="幼圆" w:hAnsi="幼圆" w:eastAsia="幼圆" w:cs="幼圆"/>
                <w:highlight w:val="none"/>
                <w:lang w:eastAsia="zh-CN"/>
              </w:rPr>
              <w:t>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服务部分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Merge w:val="restart"/>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rPr>
              <w:t>服务方案及人员配备方案</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根据投标人提供的</w:t>
            </w:r>
            <w:r>
              <w:rPr>
                <w:rFonts w:hint="eastAsia" w:ascii="幼圆" w:hAnsi="幼圆" w:eastAsia="幼圆" w:cs="幼圆"/>
                <w:highlight w:val="none"/>
                <w:lang w:val="en-US" w:eastAsia="zh-CN"/>
              </w:rPr>
              <w:t>总体设计方案进行评价</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设计方案亮点突出、针对性强、内容全面、规划统筹考虑充分，得</w:t>
            </w:r>
            <w:r>
              <w:rPr>
                <w:rFonts w:hint="eastAsia" w:ascii="幼圆" w:hAnsi="幼圆" w:eastAsia="幼圆" w:cs="幼圆"/>
                <w:highlight w:val="none"/>
                <w:lang w:val="en-US" w:eastAsia="zh-CN"/>
              </w:rPr>
              <w:t>7</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基本全面</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一般</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中规中矩</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4</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简单</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欠妥</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欠佳</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未提供该方案不得分。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11</w:t>
            </w:r>
          </w:p>
        </w:tc>
        <w:tc>
          <w:tcPr>
            <w:tcW w:w="1665" w:type="dxa"/>
            <w:vMerge w:val="continue"/>
            <w:vAlign w:val="center"/>
          </w:tcPr>
          <w:p>
            <w:pPr>
              <w:widowControl/>
              <w:spacing w:line="240" w:lineRule="auto"/>
              <w:jc w:val="center"/>
              <w:rPr>
                <w:rFonts w:hint="eastAsia" w:ascii="幼圆" w:hAnsi="幼圆" w:eastAsia="幼圆" w:cs="幼圆"/>
                <w:highlight w:val="none"/>
                <w:lang w:eastAsia="zh-CN"/>
              </w:rPr>
            </w:pPr>
          </w:p>
        </w:tc>
        <w:tc>
          <w:tcPr>
            <w:tcW w:w="5749" w:type="dxa"/>
            <w:vAlign w:val="center"/>
          </w:tcPr>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（1）根据各投标人按照采购需求提供的维保团队的规模、专业度、架构方面进行打分。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人员架构科学合理，数量充足，专业度高的，完全满足项目需求的，得7分；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人员架构基本科学合理，数量一般，专业度普通的，得4分；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人员架构不合理，数量稀少，专业度低的，得1分；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未提供不得分。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（2）根据团队成员的专业</w:t>
            </w:r>
            <w:bookmarkStart w:id="7" w:name="_GoBack"/>
            <w:bookmarkEnd w:id="7"/>
            <w:r>
              <w:rPr>
                <w:rFonts w:hint="eastAsia" w:ascii="幼圆" w:hAnsi="幼圆" w:eastAsia="幼圆" w:cs="幼圆"/>
                <w:lang w:val="en-US" w:eastAsia="zh-CN"/>
              </w:rPr>
              <w:t>能力进行评价：</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1）具有中华人民共和国应急管理部门颁发的特种作业操作证（</w:t>
            </w:r>
            <w:r>
              <w:rPr>
                <w:rFonts w:hint="eastAsia" w:asciiTheme="minorEastAsia" w:hAnsiTheme="minorEastAsia" w:eastAsiaTheme="minorEastAsia" w:cstheme="minorEastAsia"/>
                <w:spacing w:val="14"/>
                <w:sz w:val="21"/>
                <w:szCs w:val="21"/>
                <w:highlight w:val="none"/>
                <w:lang w:val="en-US" w:eastAsia="zh-CN"/>
              </w:rPr>
              <w:t>电工</w:t>
            </w:r>
            <w:r>
              <w:rPr>
                <w:rFonts w:hint="eastAsia" w:asciiTheme="minorEastAsia" w:hAnsiTheme="minorEastAsia" w:cstheme="minorEastAsia"/>
                <w:spacing w:val="14"/>
                <w:sz w:val="21"/>
                <w:szCs w:val="21"/>
                <w:highlight w:val="none"/>
                <w:lang w:val="en-US" w:eastAsia="zh-CN"/>
              </w:rPr>
              <w:t>证</w:t>
            </w:r>
            <w:r>
              <w:rPr>
                <w:rFonts w:hint="eastAsia" w:ascii="幼圆" w:hAnsi="幼圆" w:eastAsia="幼圆" w:cs="幼圆"/>
                <w:lang w:val="en-US" w:eastAsia="zh-CN"/>
              </w:rPr>
              <w:t>），每提供一人得1分，最高5分。</w:t>
            </w:r>
          </w:p>
          <w:p>
            <w:pPr>
              <w:pStyle w:val="34"/>
              <w:ind w:left="0" w:leftChars="0" w:firstLine="0" w:firstLineChars="0"/>
              <w:rPr>
                <w:rFonts w:hint="eastAsia" w:ascii="幼圆" w:hAnsi="幼圆" w:eastAsia="幼圆" w:cs="幼圆"/>
                <w:lang w:val="en-US" w:eastAsia="zh-CN"/>
              </w:rPr>
            </w:pPr>
            <w:r>
              <w:rPr>
                <w:rFonts w:hint="eastAsia" w:ascii="幼圆" w:hAnsi="幼圆" w:eastAsia="幼圆" w:cs="幼圆"/>
                <w:b/>
                <w:bCs/>
                <w:highlight w:val="none"/>
                <w:lang w:val="en-US" w:eastAsia="zh-CN"/>
              </w:rPr>
              <w:t>注：以上证书需提供有效的证书复印件，并加盖投标单位公章，否则视为无效</w:t>
            </w:r>
            <w:r>
              <w:rPr>
                <w:rFonts w:hint="eastAsia" w:ascii="幼圆" w:hAnsi="幼圆" w:eastAsia="幼圆" w:cs="幼圆"/>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服务响应时间及质量保障措施</w:t>
            </w:r>
          </w:p>
        </w:tc>
        <w:tc>
          <w:tcPr>
            <w:tcW w:w="5749" w:type="dxa"/>
            <w:vAlign w:val="center"/>
          </w:tcPr>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响应时间及时、保障措施到位、分工明确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得7分；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响应时间基本满足需求、保障措施基本到位、分工较为明确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得4分；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响应时间滞后、保障措施欠缺、分工混乱</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得1分；</w:t>
            </w:r>
          </w:p>
          <w:p>
            <w:pPr>
              <w:keepNext w:val="0"/>
              <w:keepLines w:val="0"/>
              <w:pageBreakBefore w:val="0"/>
              <w:widowControl/>
              <w:kinsoku/>
              <w:wordWrap/>
              <w:overflowPunct/>
              <w:topLinePunct w:val="0"/>
              <w:autoSpaceDE/>
              <w:autoSpaceDN/>
              <w:bidi w:val="0"/>
              <w:snapToGrid/>
              <w:spacing w:line="240" w:lineRule="auto"/>
              <w:rPr>
                <w:rFonts w:hint="eastAsia" w:ascii="幼圆" w:hAnsi="幼圆" w:eastAsia="幼圆" w:cs="幼圆"/>
                <w:highlight w:val="none"/>
              </w:rPr>
            </w:pPr>
            <w:r>
              <w:rPr>
                <w:rFonts w:hint="eastAsia" w:ascii="幼圆" w:hAnsi="幼圆" w:eastAsia="幼圆" w:cs="幼圆"/>
                <w:sz w:val="24"/>
                <w:szCs w:val="24"/>
                <w:highlight w:val="none"/>
                <w:lang w:val="en-US" w:eastAsia="zh-CN"/>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后续服务承诺</w:t>
            </w:r>
          </w:p>
        </w:tc>
        <w:tc>
          <w:tcPr>
            <w:tcW w:w="5749" w:type="dxa"/>
            <w:vAlign w:val="center"/>
          </w:tcPr>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根据投标人提供的服务承诺进行打分：内容应包含但不限于售后服务及其他情况介绍；</w:t>
            </w:r>
            <w:r>
              <w:rPr>
                <w:rFonts w:hint="eastAsia" w:ascii="幼圆" w:hAnsi="幼圆" w:eastAsia="幼圆" w:cs="幼圆"/>
                <w:b/>
                <w:highlight w:val="none"/>
              </w:rPr>
              <w:t>可提供的优惠条件；突发状况服务时间承诺。</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服务承诺完全满足项目需求的，得</w:t>
            </w:r>
            <w:r>
              <w:rPr>
                <w:rFonts w:hint="eastAsia" w:ascii="幼圆" w:hAnsi="幼圆" w:eastAsia="幼圆" w:cs="幼圆"/>
                <w:highlight w:val="none"/>
                <w:lang w:val="en-US" w:eastAsia="zh-CN"/>
              </w:rPr>
              <w:t>7</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服务承诺基本满足项目需求的，得</w:t>
            </w:r>
            <w:r>
              <w:rPr>
                <w:rFonts w:hint="eastAsia" w:ascii="幼圆" w:hAnsi="幼圆" w:eastAsia="幼圆" w:cs="幼圆"/>
                <w:highlight w:val="none"/>
                <w:lang w:val="en-US" w:eastAsia="zh-CN"/>
              </w:rPr>
              <w:t>4</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服务承诺不满足项目需求的，得1分；</w:t>
            </w:r>
          </w:p>
          <w:p>
            <w:pPr>
              <w:widowControl/>
              <w:spacing w:line="240" w:lineRule="auto"/>
              <w:rPr>
                <w:rFonts w:hint="eastAsia" w:ascii="幼圆" w:hAnsi="幼圆" w:eastAsia="幼圆" w:cs="幼圆"/>
                <w:highlight w:val="none"/>
              </w:rPr>
            </w:pPr>
            <w:r>
              <w:rPr>
                <w:rFonts w:hint="eastAsia" w:ascii="幼圆" w:hAnsi="幼圆" w:eastAsia="幼圆" w:cs="幼圆"/>
                <w:highlight w:val="none"/>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其他</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拟投入设备</w:t>
            </w:r>
          </w:p>
        </w:tc>
        <w:tc>
          <w:tcPr>
            <w:tcW w:w="5749" w:type="dxa"/>
            <w:vAlign w:val="center"/>
          </w:tcPr>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设备齐全，完全满足项目需要的，得5分；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设备基本满足项目需要的，得3分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设备无法满足项目需要的，得1分；</w:t>
            </w:r>
          </w:p>
          <w:p>
            <w:pPr>
              <w:widowControl/>
              <w:spacing w:line="240" w:lineRule="auto"/>
              <w:rPr>
                <w:rFonts w:hint="eastAsia" w:ascii="幼圆" w:hAnsi="幼圆" w:eastAsia="幼圆" w:cs="幼圆"/>
                <w:highlight w:val="none"/>
                <w:lang w:eastAsia="zh-CN"/>
              </w:rPr>
            </w:pPr>
            <w:r>
              <w:rPr>
                <w:rFonts w:hint="eastAsia" w:ascii="幼圆" w:hAnsi="幼圆" w:eastAsia="幼圆" w:cs="幼圆"/>
                <w:highlight w:val="none"/>
                <w:lang w:val="en-US" w:eastAsia="zh-CN"/>
              </w:rPr>
              <w:t>不满足项目需要或未提供，不得分。</w:t>
            </w:r>
          </w:p>
        </w:tc>
      </w:tr>
      <w:bookmarkEnd w:id="3"/>
    </w:tbl>
    <w:p>
      <w:pPr>
        <w:keepNext w:val="0"/>
        <w:keepLines w:val="0"/>
        <w:pageBreakBefore w:val="0"/>
        <w:widowControl/>
        <w:wordWrap/>
        <w:topLinePunct w:val="0"/>
        <w:bidi w:val="0"/>
        <w:spacing w:line="240" w:lineRule="auto"/>
        <w:rPr>
          <w:rFonts w:hint="eastAsia" w:ascii="幼圆" w:hAnsi="幼圆" w:eastAsia="幼圆" w:cs="幼圆"/>
          <w:b/>
          <w:bCs/>
          <w:sz w:val="24"/>
          <w:szCs w:val="20"/>
        </w:rPr>
      </w:pPr>
    </w:p>
    <w:p>
      <w:pPr>
        <w:spacing w:line="240" w:lineRule="auto"/>
        <w:rPr>
          <w:rFonts w:hint="eastAsia" w:ascii="幼圆" w:hAnsi="幼圆" w:eastAsia="幼圆" w:cs="幼圆"/>
          <w:color w:val="FF0000"/>
          <w:kern w:val="2"/>
          <w:highlight w:val="none"/>
          <w:lang w:val="en-US" w:eastAsia="zh-CN" w:bidi="zh-CN"/>
        </w:rPr>
      </w:pPr>
      <w:r>
        <w:rPr>
          <w:rFonts w:hint="eastAsia" w:ascii="幼圆" w:hAnsi="幼圆" w:eastAsia="幼圆" w:cs="幼圆"/>
          <w:color w:val="FF0000"/>
          <w:kern w:val="2"/>
          <w:highlight w:val="none"/>
          <w:lang w:val="en-US" w:eastAsia="zh-CN" w:bidi="zh-CN"/>
        </w:rPr>
        <w:br w:type="page"/>
      </w:r>
    </w:p>
    <w:p>
      <w:pPr>
        <w:snapToGrid w:val="0"/>
        <w:spacing w:line="240" w:lineRule="auto"/>
        <w:textAlignment w:val="auto"/>
        <w:outlineLvl w:val="0"/>
        <w:rPr>
          <w:rFonts w:hint="eastAsia" w:ascii="幼圆" w:hAnsi="幼圆" w:eastAsia="幼圆" w:cs="幼圆"/>
          <w:b/>
          <w:szCs w:val="20"/>
          <w:highlight w:val="none"/>
        </w:rPr>
      </w:pPr>
      <w:bookmarkStart w:id="4" w:name="_Toc70433717"/>
      <w:bookmarkStart w:id="5" w:name="_Toc955"/>
      <w:bookmarkStart w:id="6" w:name="_Toc73536577"/>
      <w:r>
        <w:rPr>
          <w:rFonts w:hint="eastAsia" w:ascii="幼圆" w:hAnsi="幼圆" w:eastAsia="幼圆" w:cs="幼圆"/>
          <w:b/>
          <w:szCs w:val="20"/>
          <w:highlight w:val="none"/>
        </w:rPr>
        <w:t>附件</w:t>
      </w:r>
      <w:r>
        <w:rPr>
          <w:rFonts w:hint="eastAsia" w:ascii="幼圆" w:hAnsi="幼圆" w:eastAsia="幼圆" w:cs="幼圆"/>
          <w:b/>
          <w:szCs w:val="20"/>
          <w:highlight w:val="none"/>
          <w:lang w:eastAsia="zh-CN"/>
        </w:rPr>
        <w:t>（</w:t>
      </w:r>
      <w:r>
        <w:rPr>
          <w:rFonts w:hint="eastAsia" w:ascii="幼圆" w:hAnsi="幼圆" w:eastAsia="幼圆" w:cs="幼圆"/>
          <w:b/>
          <w:szCs w:val="20"/>
          <w:highlight w:val="none"/>
          <w:lang w:val="en-US" w:eastAsia="zh-CN"/>
        </w:rPr>
        <w:t>偏离表示例</w:t>
      </w:r>
      <w:r>
        <w:rPr>
          <w:rFonts w:hint="eastAsia" w:ascii="幼圆" w:hAnsi="幼圆" w:eastAsia="幼圆" w:cs="幼圆"/>
          <w:b/>
          <w:szCs w:val="20"/>
          <w:highlight w:val="none"/>
          <w:lang w:eastAsia="zh-CN"/>
        </w:rPr>
        <w:t>）</w:t>
      </w:r>
      <w:r>
        <w:rPr>
          <w:rFonts w:hint="eastAsia" w:ascii="幼圆" w:hAnsi="幼圆" w:eastAsia="幼圆" w:cs="幼圆"/>
          <w:b/>
          <w:szCs w:val="20"/>
          <w:highlight w:val="none"/>
        </w:rPr>
        <w:t>：</w:t>
      </w:r>
      <w:bookmarkEnd w:id="4"/>
      <w:bookmarkEnd w:id="5"/>
      <w:bookmarkEnd w:id="6"/>
    </w:p>
    <w:p>
      <w:pPr>
        <w:widowControl/>
        <w:snapToGrid w:val="0"/>
        <w:spacing w:line="240" w:lineRule="auto"/>
        <w:textAlignment w:val="auto"/>
        <w:rPr>
          <w:rFonts w:hint="eastAsia" w:ascii="幼圆" w:hAnsi="幼圆" w:eastAsia="幼圆" w:cs="幼圆"/>
          <w:b/>
          <w:highlight w:val="none"/>
        </w:rPr>
      </w:pPr>
    </w:p>
    <w:p>
      <w:pPr>
        <w:snapToGrid w:val="0"/>
        <w:spacing w:line="240" w:lineRule="auto"/>
        <w:jc w:val="center"/>
        <w:rPr>
          <w:rFonts w:hint="eastAsia" w:ascii="幼圆" w:hAnsi="幼圆" w:eastAsia="幼圆" w:cs="幼圆"/>
          <w:caps/>
          <w:sz w:val="36"/>
          <w:szCs w:val="36"/>
          <w:highlight w:val="none"/>
        </w:rPr>
      </w:pPr>
      <w:r>
        <w:rPr>
          <w:rFonts w:hint="eastAsia" w:ascii="幼圆" w:hAnsi="幼圆" w:eastAsia="幼圆" w:cs="幼圆"/>
          <w:caps/>
          <w:sz w:val="36"/>
          <w:szCs w:val="36"/>
          <w:highlight w:val="none"/>
        </w:rPr>
        <w:t>技术规格偏离表</w:t>
      </w:r>
    </w:p>
    <w:p>
      <w:pPr>
        <w:snapToGrid w:val="0"/>
        <w:spacing w:before="120" w:beforeLines="50" w:line="240" w:lineRule="auto"/>
        <w:rPr>
          <w:rFonts w:hint="eastAsia" w:ascii="幼圆" w:hAnsi="幼圆" w:eastAsia="幼圆" w:cs="幼圆"/>
          <w:highlight w:val="none"/>
        </w:rPr>
      </w:pPr>
    </w:p>
    <w:p>
      <w:pPr>
        <w:snapToGrid w:val="0"/>
        <w:spacing w:after="120" w:afterLines="50" w:line="240" w:lineRule="auto"/>
        <w:rPr>
          <w:rFonts w:hint="eastAsia" w:ascii="幼圆" w:hAnsi="幼圆" w:eastAsia="幼圆" w:cs="幼圆"/>
          <w:highlight w:val="none"/>
          <w:u w:val="single"/>
        </w:rPr>
      </w:pPr>
      <w:r>
        <w:rPr>
          <w:rFonts w:hint="eastAsia" w:ascii="幼圆" w:hAnsi="幼圆" w:eastAsia="幼圆" w:cs="幼圆"/>
          <w:highlight w:val="none"/>
        </w:rPr>
        <w:t>项目名称：</w:t>
      </w:r>
    </w:p>
    <w:tbl>
      <w:tblPr>
        <w:tblStyle w:val="35"/>
        <w:tblW w:w="850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2977"/>
        <w:gridCol w:w="2586"/>
        <w:gridCol w:w="166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招标文件条目号</w:t>
            </w:r>
          </w:p>
        </w:tc>
        <w:tc>
          <w:tcPr>
            <w:tcW w:w="2977"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招标文件采购需求的内容与数值</w:t>
            </w:r>
          </w:p>
        </w:tc>
        <w:tc>
          <w:tcPr>
            <w:tcW w:w="258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投标人的采购需求响应内容与数值</w:t>
            </w:r>
          </w:p>
        </w:tc>
        <w:tc>
          <w:tcPr>
            <w:tcW w:w="166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偏差说明</w:t>
            </w:r>
          </w:p>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（是否偏离/满足）</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bl>
    <w:p>
      <w:pPr>
        <w:snapToGrid w:val="0"/>
        <w:spacing w:line="240" w:lineRule="auto"/>
        <w:ind w:left="540" w:hanging="495" w:hangingChars="225"/>
        <w:rPr>
          <w:rFonts w:hint="eastAsia" w:ascii="幼圆" w:hAnsi="幼圆" w:eastAsia="幼圆" w:cs="幼圆"/>
          <w:highlight w:val="none"/>
        </w:rPr>
      </w:pP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注：1.投标人应对招标文件第三章采购需求要求的内容给予逐条响应，以投标服务所能达到的内容予以填写，而不应复印采购需求作为响应内容，有具体需求的应填写具体要求。</w:t>
      </w: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ab/>
      </w:r>
      <w:r>
        <w:rPr>
          <w:rFonts w:hint="eastAsia" w:ascii="幼圆" w:hAnsi="幼圆" w:eastAsia="幼圆" w:cs="幼圆"/>
          <w:highlight w:val="none"/>
        </w:rPr>
        <w:t>2. 偏差说明处：技术、服务内容满足招标文件相应要求填写：“满足招标文件要求”、或“无偏离”；技术、服务内容不满足招标文件相应要求填写：“不满足招标文件要求”或“负偏离”。</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投标人名称：（单位公章）</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法定代表人或授权代表：（签字）</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日期：</w:t>
      </w:r>
    </w:p>
    <w:p>
      <w:pPr>
        <w:spacing w:line="240" w:lineRule="auto"/>
        <w:rPr>
          <w:rFonts w:hint="eastAsia" w:ascii="幼圆" w:hAnsi="幼圆" w:eastAsia="幼圆" w:cs="幼圆"/>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auto"/>
    <w:pitch w:val="default"/>
    <w:sig w:usb0="E00002FF" w:usb1="6AC7FDFB" w:usb2="00000012" w:usb3="00000000" w:csb0="4002009F" w:csb1="DFD70000"/>
  </w:font>
  <w:font w:name="Courier">
    <w:panose1 w:val="02060409020205020404"/>
    <w:charset w:val="00"/>
    <w:family w:val="auto"/>
    <w:pitch w:val="default"/>
    <w:sig w:usb0="00000007" w:usb1="00000000" w:usb2="00000000" w:usb3="00000000" w:csb0="00000093" w:csb1="00000000"/>
  </w:font>
  <w:font w:name="MS Mincho">
    <w:panose1 w:val="02020609040205080304"/>
    <w:charset w:val="80"/>
    <w:family w:val="auto"/>
    <w:pitch w:val="default"/>
    <w:sig w:usb0="E00002FF" w:usb1="6AC7FDFB" w:usb2="00000012" w:usb3="00000000" w:csb0="4002009F" w:csb1="DFD70000"/>
  </w:font>
  <w:font w:name="Cambria">
    <w:panose1 w:val="02040503050406030204"/>
    <w:charset w:val="00"/>
    <w:family w:val="auto"/>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幼圆">
    <w:altName w:val="宋体"/>
    <w:panose1 w:val="0201050906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2C6442"/>
    <w:multiLevelType w:val="singleLevel"/>
    <w:tmpl w:val="822C6442"/>
    <w:lvl w:ilvl="0" w:tentative="0">
      <w:start w:val="1"/>
      <w:numFmt w:val="decimal"/>
      <w:lvlText w:val="%1."/>
      <w:lvlJc w:val="left"/>
      <w:pPr>
        <w:ind w:left="425" w:hanging="425"/>
      </w:pPr>
      <w:rPr>
        <w:rFonts w:hint="default"/>
      </w:rPr>
    </w:lvl>
  </w:abstractNum>
  <w:abstractNum w:abstractNumId="1">
    <w:nsid w:val="B801158A"/>
    <w:multiLevelType w:val="singleLevel"/>
    <w:tmpl w:val="B801158A"/>
    <w:lvl w:ilvl="0" w:tentative="0">
      <w:start w:val="2"/>
      <w:numFmt w:val="chineseCounting"/>
      <w:suff w:val="nothing"/>
      <w:lvlText w:val="%1、"/>
      <w:lvlJc w:val="left"/>
      <w:rPr>
        <w:rFonts w:hint="eastAsia"/>
      </w:rPr>
    </w:lvl>
  </w:abstractNum>
  <w:abstractNum w:abstractNumId="2">
    <w:nsid w:val="E9D502EE"/>
    <w:multiLevelType w:val="singleLevel"/>
    <w:tmpl w:val="E9D502EE"/>
    <w:lvl w:ilvl="0" w:tentative="0">
      <w:start w:val="5"/>
      <w:numFmt w:val="chineseCounting"/>
      <w:suff w:val="nothing"/>
      <w:lvlText w:val="%1、"/>
      <w:lvlJc w:val="left"/>
      <w:rPr>
        <w:rFonts w:hint="eastAsia"/>
      </w:rPr>
    </w:lvl>
  </w:abstractNum>
  <w:abstractNum w:abstractNumId="3">
    <w:nsid w:val="FFFFFF7E"/>
    <w:multiLevelType w:val="singleLevel"/>
    <w:tmpl w:val="FFFFFF7E"/>
    <w:lvl w:ilvl="0" w:tentative="0">
      <w:start w:val="1"/>
      <w:numFmt w:val="decimal"/>
      <w:pStyle w:val="23"/>
      <w:lvlText w:val="%1."/>
      <w:lvlJc w:val="left"/>
      <w:pPr>
        <w:tabs>
          <w:tab w:val="left" w:pos="1080"/>
        </w:tabs>
        <w:ind w:left="1080" w:hanging="360"/>
      </w:pPr>
    </w:lvl>
  </w:abstractNum>
  <w:abstractNum w:abstractNumId="4">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5">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6">
    <w:nsid w:val="FFFFFF83"/>
    <w:multiLevelType w:val="singleLevel"/>
    <w:tmpl w:val="FFFFFF83"/>
    <w:lvl w:ilvl="0" w:tentative="0">
      <w:start w:val="1"/>
      <w:numFmt w:val="bullet"/>
      <w:pStyle w:val="26"/>
      <w:lvlText w:val=""/>
      <w:lvlJc w:val="left"/>
      <w:pPr>
        <w:tabs>
          <w:tab w:val="left" w:pos="720"/>
        </w:tabs>
        <w:ind w:left="720" w:hanging="360"/>
      </w:pPr>
      <w:rPr>
        <w:rFonts w:hint="default" w:ascii="Symbol" w:hAnsi="Symbol"/>
      </w:rPr>
    </w:lvl>
  </w:abstractNum>
  <w:abstractNum w:abstractNumId="7">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8">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9">
    <w:nsid w:val="01135CE0"/>
    <w:multiLevelType w:val="singleLevel"/>
    <w:tmpl w:val="01135CE0"/>
    <w:lvl w:ilvl="0" w:tentative="0">
      <w:start w:val="1"/>
      <w:numFmt w:val="decimal"/>
      <w:lvlText w:val="%1."/>
      <w:lvlJc w:val="left"/>
      <w:pPr>
        <w:ind w:left="425" w:hanging="425"/>
      </w:pPr>
      <w:rPr>
        <w:rFonts w:hint="default"/>
      </w:rPr>
    </w:lvl>
  </w:abstractNum>
  <w:abstractNum w:abstractNumId="10">
    <w:nsid w:val="0E0A9788"/>
    <w:multiLevelType w:val="singleLevel"/>
    <w:tmpl w:val="0E0A9788"/>
    <w:lvl w:ilvl="0" w:tentative="0">
      <w:start w:val="1"/>
      <w:numFmt w:val="decimal"/>
      <w:suff w:val="nothing"/>
      <w:lvlText w:val="（%1）"/>
      <w:lvlJc w:val="left"/>
    </w:lvl>
  </w:abstractNum>
  <w:abstractNum w:abstractNumId="11">
    <w:nsid w:val="2E9F03DA"/>
    <w:multiLevelType w:val="multilevel"/>
    <w:tmpl w:val="2E9F03DA"/>
    <w:lvl w:ilvl="0" w:tentative="0">
      <w:start w:val="1"/>
      <w:numFmt w:val="decimal"/>
      <w:suff w:val="nothing"/>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2">
    <w:nsid w:val="433F00E0"/>
    <w:multiLevelType w:val="multilevel"/>
    <w:tmpl w:val="433F00E0"/>
    <w:lvl w:ilvl="0" w:tentative="0">
      <w:start w:val="1"/>
      <w:numFmt w:val="decimal"/>
      <w:pStyle w:val="172"/>
      <w:suff w:val="nothing"/>
      <w:lvlText w:val="（%1）"/>
      <w:lvlJc w:val="left"/>
      <w:pPr>
        <w:ind w:left="1413"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6FA19528"/>
    <w:multiLevelType w:val="singleLevel"/>
    <w:tmpl w:val="6FA19528"/>
    <w:lvl w:ilvl="0" w:tentative="0">
      <w:start w:val="1"/>
      <w:numFmt w:val="decimal"/>
      <w:lvlText w:val="%1."/>
      <w:lvlJc w:val="left"/>
      <w:pPr>
        <w:ind w:left="425" w:hanging="425"/>
      </w:pPr>
      <w:rPr>
        <w:rFonts w:hint="default"/>
      </w:rPr>
    </w:lvl>
  </w:abstractNum>
  <w:abstractNum w:abstractNumId="14">
    <w:nsid w:val="74FB7E6E"/>
    <w:multiLevelType w:val="multilevel"/>
    <w:tmpl w:val="74FB7E6E"/>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leftChars="0" w:hanging="420" w:firstLineChars="0"/>
      </w:pPr>
      <w:rPr>
        <w:rFonts w:hint="default" w:ascii="宋体" w:hAnsi="宋体" w:eastAsia="宋体" w:cs="宋体"/>
        <w:b w:val="0"/>
        <w:bCs w:val="0"/>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4"/>
  </w:num>
  <w:num w:numId="2">
    <w:abstractNumId w:val="7"/>
  </w:num>
  <w:num w:numId="3">
    <w:abstractNumId w:val="8"/>
  </w:num>
  <w:num w:numId="4">
    <w:abstractNumId w:val="5"/>
  </w:num>
  <w:num w:numId="5">
    <w:abstractNumId w:val="3"/>
  </w:num>
  <w:num w:numId="6">
    <w:abstractNumId w:val="6"/>
  </w:num>
  <w:num w:numId="7">
    <w:abstractNumId w:val="12"/>
  </w:num>
  <w:num w:numId="8">
    <w:abstractNumId w:val="1"/>
  </w:num>
  <w:num w:numId="9">
    <w:abstractNumId w:val="2"/>
  </w:num>
  <w:num w:numId="10">
    <w:abstractNumId w:val="13"/>
  </w:num>
  <w:num w:numId="11">
    <w:abstractNumId w:val="10"/>
  </w:num>
  <w:num w:numId="12">
    <w:abstractNumId w:val="11"/>
  </w:num>
  <w:num w:numId="13">
    <w:abstractNumId w:val="0"/>
  </w:num>
  <w:num w:numId="14">
    <w:abstractNumId w:val="1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39276B"/>
    <w:rsid w:val="005F224A"/>
    <w:rsid w:val="008369C7"/>
    <w:rsid w:val="009C7AE2"/>
    <w:rsid w:val="00AA1D8D"/>
    <w:rsid w:val="00B47730"/>
    <w:rsid w:val="00CB0664"/>
    <w:rsid w:val="00FC693F"/>
    <w:rsid w:val="015A556D"/>
    <w:rsid w:val="039B035C"/>
    <w:rsid w:val="03DC6164"/>
    <w:rsid w:val="04BF5B95"/>
    <w:rsid w:val="05B922DB"/>
    <w:rsid w:val="06247180"/>
    <w:rsid w:val="08CA0C86"/>
    <w:rsid w:val="0A4A3DA1"/>
    <w:rsid w:val="0ADE0A96"/>
    <w:rsid w:val="0B9760F9"/>
    <w:rsid w:val="0D32706A"/>
    <w:rsid w:val="0F553938"/>
    <w:rsid w:val="0F6F40AA"/>
    <w:rsid w:val="0FB81739"/>
    <w:rsid w:val="106611D9"/>
    <w:rsid w:val="113329E6"/>
    <w:rsid w:val="117F262B"/>
    <w:rsid w:val="12A90D4E"/>
    <w:rsid w:val="12C56763"/>
    <w:rsid w:val="12EA542F"/>
    <w:rsid w:val="15901876"/>
    <w:rsid w:val="15B1627B"/>
    <w:rsid w:val="163A71AE"/>
    <w:rsid w:val="172A7912"/>
    <w:rsid w:val="1990077F"/>
    <w:rsid w:val="1BE71C78"/>
    <w:rsid w:val="1F3C1C4F"/>
    <w:rsid w:val="1F5F6D41"/>
    <w:rsid w:val="202408C8"/>
    <w:rsid w:val="205F522A"/>
    <w:rsid w:val="210C0BC6"/>
    <w:rsid w:val="229B3C09"/>
    <w:rsid w:val="22BF180F"/>
    <w:rsid w:val="22E24F49"/>
    <w:rsid w:val="24392B0D"/>
    <w:rsid w:val="24A75DD1"/>
    <w:rsid w:val="24AB1841"/>
    <w:rsid w:val="24F414B1"/>
    <w:rsid w:val="25AF67D6"/>
    <w:rsid w:val="25D77D3F"/>
    <w:rsid w:val="25E54A8E"/>
    <w:rsid w:val="26B26BA7"/>
    <w:rsid w:val="27372964"/>
    <w:rsid w:val="27BD3A55"/>
    <w:rsid w:val="28357004"/>
    <w:rsid w:val="28A9226C"/>
    <w:rsid w:val="2994584A"/>
    <w:rsid w:val="2B745DF2"/>
    <w:rsid w:val="2BE26EA2"/>
    <w:rsid w:val="2C5F3B91"/>
    <w:rsid w:val="2D056703"/>
    <w:rsid w:val="2D26536C"/>
    <w:rsid w:val="2DA44891"/>
    <w:rsid w:val="2F1D0548"/>
    <w:rsid w:val="2F6E5F01"/>
    <w:rsid w:val="2FF57743"/>
    <w:rsid w:val="30286D46"/>
    <w:rsid w:val="31321010"/>
    <w:rsid w:val="313F5CD8"/>
    <w:rsid w:val="3225199F"/>
    <w:rsid w:val="335911B0"/>
    <w:rsid w:val="347B53E1"/>
    <w:rsid w:val="34813790"/>
    <w:rsid w:val="349013E9"/>
    <w:rsid w:val="34B64844"/>
    <w:rsid w:val="3543266F"/>
    <w:rsid w:val="35A3178F"/>
    <w:rsid w:val="35BA5B31"/>
    <w:rsid w:val="35C02C5D"/>
    <w:rsid w:val="36710DAA"/>
    <w:rsid w:val="374D3D49"/>
    <w:rsid w:val="377C3B60"/>
    <w:rsid w:val="381A7AE8"/>
    <w:rsid w:val="386E2923"/>
    <w:rsid w:val="39577622"/>
    <w:rsid w:val="397720D5"/>
    <w:rsid w:val="399036C4"/>
    <w:rsid w:val="3AA1560E"/>
    <w:rsid w:val="3B2C3D25"/>
    <w:rsid w:val="3D3FEA48"/>
    <w:rsid w:val="3DAB702F"/>
    <w:rsid w:val="3DBFD295"/>
    <w:rsid w:val="3DF35805"/>
    <w:rsid w:val="3E543B04"/>
    <w:rsid w:val="3E9B6EC4"/>
    <w:rsid w:val="3EB16A0E"/>
    <w:rsid w:val="3EBA3A53"/>
    <w:rsid w:val="40E40ADC"/>
    <w:rsid w:val="411538B7"/>
    <w:rsid w:val="41536D26"/>
    <w:rsid w:val="41BE02EE"/>
    <w:rsid w:val="41EB7473"/>
    <w:rsid w:val="41F027BE"/>
    <w:rsid w:val="420A5259"/>
    <w:rsid w:val="43F67691"/>
    <w:rsid w:val="44DB5B25"/>
    <w:rsid w:val="455507B5"/>
    <w:rsid w:val="45A307A5"/>
    <w:rsid w:val="45A40BA1"/>
    <w:rsid w:val="45A73923"/>
    <w:rsid w:val="469F2EE7"/>
    <w:rsid w:val="47091014"/>
    <w:rsid w:val="4709160B"/>
    <w:rsid w:val="472B3D0B"/>
    <w:rsid w:val="476165B4"/>
    <w:rsid w:val="480333C8"/>
    <w:rsid w:val="48153C8D"/>
    <w:rsid w:val="48482E26"/>
    <w:rsid w:val="4875046F"/>
    <w:rsid w:val="48D90193"/>
    <w:rsid w:val="48EC7183"/>
    <w:rsid w:val="491E21A3"/>
    <w:rsid w:val="49B06B72"/>
    <w:rsid w:val="49F927E9"/>
    <w:rsid w:val="4A695CBB"/>
    <w:rsid w:val="4AEF402B"/>
    <w:rsid w:val="4B4C63A6"/>
    <w:rsid w:val="4B5410CE"/>
    <w:rsid w:val="4C0D4686"/>
    <w:rsid w:val="4D5C393A"/>
    <w:rsid w:val="4E737776"/>
    <w:rsid w:val="4E922C96"/>
    <w:rsid w:val="4EDD3079"/>
    <w:rsid w:val="4F884709"/>
    <w:rsid w:val="4FC375E6"/>
    <w:rsid w:val="502A0955"/>
    <w:rsid w:val="5257047F"/>
    <w:rsid w:val="529C7846"/>
    <w:rsid w:val="537D6985"/>
    <w:rsid w:val="53ED7FA3"/>
    <w:rsid w:val="548B5756"/>
    <w:rsid w:val="562D069E"/>
    <w:rsid w:val="5656504D"/>
    <w:rsid w:val="56A9ACE5"/>
    <w:rsid w:val="56DB758F"/>
    <w:rsid w:val="574D52F6"/>
    <w:rsid w:val="57F124B8"/>
    <w:rsid w:val="586B0DA0"/>
    <w:rsid w:val="5B5150A4"/>
    <w:rsid w:val="5E4C798F"/>
    <w:rsid w:val="5E75216F"/>
    <w:rsid w:val="5F165949"/>
    <w:rsid w:val="5F1C45FF"/>
    <w:rsid w:val="5FEFBD42"/>
    <w:rsid w:val="62BB227D"/>
    <w:rsid w:val="63A6046B"/>
    <w:rsid w:val="64690EAB"/>
    <w:rsid w:val="64F50F92"/>
    <w:rsid w:val="6653074D"/>
    <w:rsid w:val="678C0E2E"/>
    <w:rsid w:val="68860CA5"/>
    <w:rsid w:val="69281BE2"/>
    <w:rsid w:val="6A177E9C"/>
    <w:rsid w:val="6A5C38C9"/>
    <w:rsid w:val="6BBC5FCE"/>
    <w:rsid w:val="6BD25936"/>
    <w:rsid w:val="6FBD2579"/>
    <w:rsid w:val="6FED3F9B"/>
    <w:rsid w:val="701139EA"/>
    <w:rsid w:val="703B2526"/>
    <w:rsid w:val="70712FCD"/>
    <w:rsid w:val="72014FA3"/>
    <w:rsid w:val="720472B3"/>
    <w:rsid w:val="72E4478C"/>
    <w:rsid w:val="74B344DD"/>
    <w:rsid w:val="755F72B5"/>
    <w:rsid w:val="75C51121"/>
    <w:rsid w:val="75DF8964"/>
    <w:rsid w:val="75F106A5"/>
    <w:rsid w:val="761942CF"/>
    <w:rsid w:val="773A2CDF"/>
    <w:rsid w:val="787B4E47"/>
    <w:rsid w:val="78EF290F"/>
    <w:rsid w:val="79EFCB93"/>
    <w:rsid w:val="7A7F7A06"/>
    <w:rsid w:val="7B1D2D88"/>
    <w:rsid w:val="7B4D01D8"/>
    <w:rsid w:val="7BBE4424"/>
    <w:rsid w:val="7CE1176F"/>
    <w:rsid w:val="7DFB6C40"/>
    <w:rsid w:val="7E8A62A7"/>
    <w:rsid w:val="7EDEDA8C"/>
    <w:rsid w:val="7EE782B8"/>
    <w:rsid w:val="7F1BE675"/>
    <w:rsid w:val="7F7794D2"/>
    <w:rsid w:val="7F791B22"/>
    <w:rsid w:val="7F830290"/>
    <w:rsid w:val="7FB72751"/>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imes New Roman" w:hAnsi="Times New Roman" w:eastAsia="宋体" w:cstheme="minorBidi"/>
      <w:sz w:val="22"/>
      <w:szCs w:val="22"/>
      <w:lang w:val="en-US" w:eastAsia="en-US" w:bidi="ar-SA"/>
    </w:rPr>
  </w:style>
  <w:style w:type="paragraph" w:styleId="4">
    <w:name w:val="heading 1"/>
    <w:basedOn w:val="1"/>
    <w:next w:val="1"/>
    <w:link w:val="141"/>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2">
    <w:name w:val="heading 2"/>
    <w:basedOn w:val="1"/>
    <w:next w:val="1"/>
    <w:link w:val="14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4"/>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5"/>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6"/>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7"/>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8"/>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5">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3">
    <w:name w:val="macro"/>
    <w:link w:val="150"/>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annotation text"/>
    <w:basedOn w:val="1"/>
    <w:semiHidden/>
    <w:unhideWhenUsed/>
    <w:qFormat/>
    <w:uiPriority w:val="99"/>
    <w:pPr>
      <w:jc w:val="left"/>
    </w:pPr>
  </w:style>
  <w:style w:type="paragraph" w:styleId="18">
    <w:name w:val="Body Text 3"/>
    <w:basedOn w:val="1"/>
    <w:link w:val="149"/>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next w:val="21"/>
    <w:link w:val="147"/>
    <w:unhideWhenUsed/>
    <w:qFormat/>
    <w:uiPriority w:val="99"/>
    <w:pPr>
      <w:spacing w:after="120"/>
    </w:pPr>
  </w:style>
  <w:style w:type="paragraph" w:styleId="21">
    <w:name w:val="Body Text 2"/>
    <w:basedOn w:val="1"/>
    <w:link w:val="148"/>
    <w:unhideWhenUsed/>
    <w:qFormat/>
    <w:uiPriority w:val="99"/>
    <w:pPr>
      <w:spacing w:after="120" w:line="480" w:lineRule="auto"/>
    </w:pPr>
  </w:style>
  <w:style w:type="paragraph" w:styleId="22">
    <w:name w:val="Body Text Indent"/>
    <w:basedOn w:val="1"/>
    <w:unhideWhenUsed/>
    <w:qFormat/>
    <w:uiPriority w:val="99"/>
    <w:pPr>
      <w:spacing w:after="120"/>
      <w:ind w:left="420" w:leftChars="200"/>
    </w:pPr>
  </w:style>
  <w:style w:type="paragraph" w:styleId="23">
    <w:name w:val="List Number 3"/>
    <w:basedOn w:val="1"/>
    <w:unhideWhenUsed/>
    <w:qFormat/>
    <w:uiPriority w:val="99"/>
    <w:pPr>
      <w:numPr>
        <w:ilvl w:val="0"/>
        <w:numId w:val="5"/>
      </w:numPr>
      <w:contextualSpacing/>
    </w:pPr>
  </w:style>
  <w:style w:type="paragraph" w:styleId="24">
    <w:name w:val="List 2"/>
    <w:basedOn w:val="1"/>
    <w:unhideWhenUsed/>
    <w:qFormat/>
    <w:uiPriority w:val="99"/>
    <w:pPr>
      <w:ind w:left="720" w:hanging="360"/>
      <w:contextualSpacing/>
    </w:pPr>
  </w:style>
  <w:style w:type="paragraph" w:styleId="25">
    <w:name w:val="List Continue"/>
    <w:basedOn w:val="1"/>
    <w:unhideWhenUsed/>
    <w:qFormat/>
    <w:uiPriority w:val="99"/>
    <w:pPr>
      <w:spacing w:after="120"/>
      <w:ind w:left="360"/>
      <w:contextualSpacing/>
    </w:pPr>
  </w:style>
  <w:style w:type="paragraph" w:styleId="26">
    <w:name w:val="List Bullet 2"/>
    <w:basedOn w:val="1"/>
    <w:unhideWhenUsed/>
    <w:qFormat/>
    <w:uiPriority w:val="99"/>
    <w:pPr>
      <w:numPr>
        <w:ilvl w:val="0"/>
        <w:numId w:val="6"/>
      </w:numPr>
      <w:contextualSpacing/>
    </w:pPr>
  </w:style>
  <w:style w:type="paragraph" w:styleId="27">
    <w:name w:val="footer"/>
    <w:basedOn w:val="1"/>
    <w:link w:val="139"/>
    <w:unhideWhenUsed/>
    <w:qFormat/>
    <w:uiPriority w:val="99"/>
    <w:pPr>
      <w:tabs>
        <w:tab w:val="center" w:pos="4680"/>
        <w:tab w:val="right" w:pos="9360"/>
      </w:tabs>
      <w:spacing w:after="0" w:line="240" w:lineRule="auto"/>
    </w:pPr>
  </w:style>
  <w:style w:type="paragraph" w:styleId="28">
    <w:name w:val="header"/>
    <w:basedOn w:val="1"/>
    <w:link w:val="138"/>
    <w:unhideWhenUsed/>
    <w:qFormat/>
    <w:uiPriority w:val="99"/>
    <w:pPr>
      <w:tabs>
        <w:tab w:val="center" w:pos="4680"/>
        <w:tab w:val="right" w:pos="9360"/>
      </w:tabs>
      <w:spacing w:after="0" w:line="240" w:lineRule="auto"/>
    </w:pPr>
  </w:style>
  <w:style w:type="paragraph" w:styleId="29">
    <w:name w:val="Subtitle"/>
    <w:basedOn w:val="1"/>
    <w:next w:val="1"/>
    <w:link w:val="14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30">
    <w:name w:val="List"/>
    <w:basedOn w:val="1"/>
    <w:unhideWhenUsed/>
    <w:qFormat/>
    <w:uiPriority w:val="99"/>
    <w:pPr>
      <w:ind w:left="360" w:hanging="360"/>
      <w:contextualSpacing/>
    </w:pPr>
  </w:style>
  <w:style w:type="paragraph" w:styleId="31">
    <w:name w:val="List Continue 2"/>
    <w:basedOn w:val="1"/>
    <w:unhideWhenUsed/>
    <w:qFormat/>
    <w:uiPriority w:val="99"/>
    <w:pPr>
      <w:spacing w:after="120"/>
      <w:ind w:left="720"/>
      <w:contextualSpacing/>
    </w:pPr>
  </w:style>
  <w:style w:type="paragraph" w:styleId="32">
    <w:name w:val="List Continue 3"/>
    <w:basedOn w:val="1"/>
    <w:unhideWhenUsed/>
    <w:qFormat/>
    <w:uiPriority w:val="99"/>
    <w:pPr>
      <w:spacing w:after="120"/>
      <w:ind w:left="1080"/>
      <w:contextualSpacing/>
    </w:pPr>
  </w:style>
  <w:style w:type="paragraph" w:styleId="33">
    <w:name w:val="Title"/>
    <w:basedOn w:val="1"/>
    <w:next w:val="1"/>
    <w:link w:val="144"/>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34">
    <w:name w:val="Body Text First Indent 2"/>
    <w:basedOn w:val="22"/>
    <w:unhideWhenUsed/>
    <w:qFormat/>
    <w:uiPriority w:val="99"/>
    <w:pPr>
      <w:spacing w:line="360" w:lineRule="auto"/>
      <w:ind w:firstLine="200" w:firstLineChars="200"/>
    </w:pPr>
  </w:style>
  <w:style w:type="table" w:styleId="36">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7">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35"/>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35"/>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35"/>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35"/>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35"/>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35"/>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35"/>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35"/>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35"/>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35"/>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35"/>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35"/>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35"/>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35"/>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35"/>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35"/>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35"/>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35"/>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35"/>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35"/>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35"/>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6">
    <w:name w:val="Strong"/>
    <w:basedOn w:val="135"/>
    <w:qFormat/>
    <w:uiPriority w:val="22"/>
    <w:rPr>
      <w:b/>
      <w:bCs/>
    </w:rPr>
  </w:style>
  <w:style w:type="character" w:styleId="137">
    <w:name w:val="Emphasis"/>
    <w:basedOn w:val="135"/>
    <w:qFormat/>
    <w:uiPriority w:val="20"/>
    <w:rPr>
      <w:i/>
      <w:iCs/>
    </w:rPr>
  </w:style>
  <w:style w:type="character" w:customStyle="1" w:styleId="138">
    <w:name w:val="Header Char"/>
    <w:basedOn w:val="135"/>
    <w:link w:val="28"/>
    <w:qFormat/>
    <w:uiPriority w:val="99"/>
  </w:style>
  <w:style w:type="character" w:customStyle="1" w:styleId="139">
    <w:name w:val="Footer Char"/>
    <w:basedOn w:val="135"/>
    <w:link w:val="27"/>
    <w:qFormat/>
    <w:uiPriority w:val="99"/>
  </w:style>
  <w:style w:type="paragraph" w:styleId="140">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1">
    <w:name w:val="Heading 1 Char"/>
    <w:basedOn w:val="135"/>
    <w:link w:val="4"/>
    <w:qFormat/>
    <w:uiPriority w:val="9"/>
    <w:rPr>
      <w:rFonts w:asciiTheme="majorHAnsi" w:hAnsiTheme="majorHAnsi" w:eastAsiaTheme="majorEastAsia" w:cstheme="majorBidi"/>
      <w:b/>
      <w:bCs/>
      <w:color w:val="376092" w:themeColor="accent1" w:themeShade="BF"/>
      <w:sz w:val="28"/>
      <w:szCs w:val="28"/>
    </w:rPr>
  </w:style>
  <w:style w:type="character" w:customStyle="1" w:styleId="142">
    <w:name w:val="Heading 2 Char"/>
    <w:basedOn w:val="135"/>
    <w:link w:val="2"/>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3">
    <w:name w:val="Heading 3 Char"/>
    <w:basedOn w:val="135"/>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4">
    <w:name w:val="Title Char"/>
    <w:basedOn w:val="135"/>
    <w:link w:val="33"/>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5">
    <w:name w:val="Subtitle Char"/>
    <w:basedOn w:val="135"/>
    <w:link w:val="2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6">
    <w:name w:val="List Paragraph"/>
    <w:basedOn w:val="1"/>
    <w:qFormat/>
    <w:uiPriority w:val="34"/>
    <w:pPr>
      <w:ind w:left="720"/>
      <w:contextualSpacing/>
    </w:pPr>
  </w:style>
  <w:style w:type="character" w:customStyle="1" w:styleId="147">
    <w:name w:val="Body Text Char"/>
    <w:basedOn w:val="135"/>
    <w:link w:val="20"/>
    <w:qFormat/>
    <w:uiPriority w:val="99"/>
  </w:style>
  <w:style w:type="character" w:customStyle="1" w:styleId="148">
    <w:name w:val="Body Text 2 Char"/>
    <w:basedOn w:val="135"/>
    <w:link w:val="21"/>
    <w:qFormat/>
    <w:uiPriority w:val="99"/>
  </w:style>
  <w:style w:type="character" w:customStyle="1" w:styleId="149">
    <w:name w:val="Body Text 3 Char"/>
    <w:basedOn w:val="135"/>
    <w:link w:val="18"/>
    <w:qFormat/>
    <w:uiPriority w:val="99"/>
    <w:rPr>
      <w:sz w:val="16"/>
      <w:szCs w:val="16"/>
    </w:rPr>
  </w:style>
  <w:style w:type="character" w:customStyle="1" w:styleId="150">
    <w:name w:val="Macro Text Char"/>
    <w:basedOn w:val="135"/>
    <w:link w:val="3"/>
    <w:qFormat/>
    <w:uiPriority w:val="99"/>
    <w:rPr>
      <w:rFonts w:ascii="Courier" w:hAnsi="Courier"/>
      <w:sz w:val="20"/>
      <w:szCs w:val="20"/>
    </w:rPr>
  </w:style>
  <w:style w:type="paragraph" w:styleId="151">
    <w:name w:val="Quote"/>
    <w:basedOn w:val="1"/>
    <w:next w:val="1"/>
    <w:link w:val="152"/>
    <w:qFormat/>
    <w:uiPriority w:val="29"/>
    <w:rPr>
      <w:i/>
      <w:iCs/>
      <w:color w:val="000000" w:themeColor="text1"/>
      <w14:textFill>
        <w14:solidFill>
          <w14:schemeClr w14:val="tx1"/>
        </w14:solidFill>
      </w14:textFill>
    </w:rPr>
  </w:style>
  <w:style w:type="character" w:customStyle="1" w:styleId="152">
    <w:name w:val="Quote Char"/>
    <w:basedOn w:val="135"/>
    <w:link w:val="151"/>
    <w:qFormat/>
    <w:uiPriority w:val="29"/>
    <w:rPr>
      <w:i/>
      <w:iCs/>
      <w:color w:val="000000" w:themeColor="text1"/>
      <w14:textFill>
        <w14:solidFill>
          <w14:schemeClr w14:val="tx1"/>
        </w14:solidFill>
      </w14:textFill>
    </w:rPr>
  </w:style>
  <w:style w:type="character" w:customStyle="1" w:styleId="153">
    <w:name w:val="Heading 4 Char"/>
    <w:basedOn w:val="135"/>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4">
    <w:name w:val="Heading 5 Char"/>
    <w:basedOn w:val="135"/>
    <w:link w:val="7"/>
    <w:semiHidden/>
    <w:qFormat/>
    <w:uiPriority w:val="9"/>
    <w:rPr>
      <w:rFonts w:asciiTheme="majorHAnsi" w:hAnsiTheme="majorHAnsi" w:eastAsiaTheme="majorEastAsia" w:cstheme="majorBidi"/>
      <w:color w:val="254061" w:themeColor="accent1" w:themeShade="80"/>
    </w:rPr>
  </w:style>
  <w:style w:type="character" w:customStyle="1" w:styleId="155">
    <w:name w:val="Heading 6 Char"/>
    <w:basedOn w:val="135"/>
    <w:link w:val="8"/>
    <w:semiHidden/>
    <w:qFormat/>
    <w:uiPriority w:val="9"/>
    <w:rPr>
      <w:rFonts w:asciiTheme="majorHAnsi" w:hAnsiTheme="majorHAnsi" w:eastAsiaTheme="majorEastAsia" w:cstheme="majorBidi"/>
      <w:i/>
      <w:iCs/>
      <w:color w:val="254061" w:themeColor="accent1" w:themeShade="80"/>
    </w:rPr>
  </w:style>
  <w:style w:type="character" w:customStyle="1" w:styleId="156">
    <w:name w:val="Heading 7 Char"/>
    <w:basedOn w:val="135"/>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7">
    <w:name w:val="Heading 8 Char"/>
    <w:basedOn w:val="135"/>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8">
    <w:name w:val="Heading 9 Char"/>
    <w:basedOn w:val="135"/>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9">
    <w:name w:val="Intense Quote"/>
    <w:basedOn w:val="1"/>
    <w:next w:val="1"/>
    <w:link w:val="160"/>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0">
    <w:name w:val="Intense Quote Char"/>
    <w:basedOn w:val="135"/>
    <w:link w:val="159"/>
    <w:qFormat/>
    <w:uiPriority w:val="30"/>
    <w:rPr>
      <w:b/>
      <w:bCs/>
      <w:i/>
      <w:iCs/>
      <w:color w:val="4F81BD" w:themeColor="accent1"/>
      <w14:textFill>
        <w14:solidFill>
          <w14:schemeClr w14:val="accent1"/>
        </w14:solidFill>
      </w14:textFill>
    </w:rPr>
  </w:style>
  <w:style w:type="character" w:customStyle="1" w:styleId="161">
    <w:name w:val="Subtle Emphasis"/>
    <w:basedOn w:val="135"/>
    <w:qFormat/>
    <w:uiPriority w:val="19"/>
    <w:rPr>
      <w:i/>
      <w:iCs/>
      <w:color w:val="808080" w:themeColor="text1" w:themeTint="80"/>
      <w14:textFill>
        <w14:solidFill>
          <w14:schemeClr w14:val="tx1">
            <w14:lumMod w14:val="50000"/>
            <w14:lumOff w14:val="50000"/>
          </w14:schemeClr>
        </w14:solidFill>
      </w14:textFill>
    </w:rPr>
  </w:style>
  <w:style w:type="character" w:customStyle="1" w:styleId="162">
    <w:name w:val="Intense Emphasis"/>
    <w:basedOn w:val="135"/>
    <w:qFormat/>
    <w:uiPriority w:val="21"/>
    <w:rPr>
      <w:b/>
      <w:bCs/>
      <w:i/>
      <w:iCs/>
      <w:color w:val="4F81BD" w:themeColor="accent1"/>
      <w14:textFill>
        <w14:solidFill>
          <w14:schemeClr w14:val="accent1"/>
        </w14:solidFill>
      </w14:textFill>
    </w:rPr>
  </w:style>
  <w:style w:type="character" w:customStyle="1" w:styleId="163">
    <w:name w:val="Subtle Reference"/>
    <w:basedOn w:val="135"/>
    <w:qFormat/>
    <w:uiPriority w:val="31"/>
    <w:rPr>
      <w:smallCaps/>
      <w:color w:val="C0504D" w:themeColor="accent2"/>
      <w:u w:val="single"/>
      <w14:textFill>
        <w14:solidFill>
          <w14:schemeClr w14:val="accent2"/>
        </w14:solidFill>
      </w14:textFill>
    </w:rPr>
  </w:style>
  <w:style w:type="character" w:customStyle="1" w:styleId="164">
    <w:name w:val="Intense Reference"/>
    <w:basedOn w:val="135"/>
    <w:qFormat/>
    <w:uiPriority w:val="32"/>
    <w:rPr>
      <w:b/>
      <w:bCs/>
      <w:smallCaps/>
      <w:color w:val="C0504D" w:themeColor="accent2"/>
      <w:spacing w:val="5"/>
      <w:u w:val="single"/>
      <w14:textFill>
        <w14:solidFill>
          <w14:schemeClr w14:val="accent2"/>
        </w14:solidFill>
      </w14:textFill>
    </w:rPr>
  </w:style>
  <w:style w:type="character" w:customStyle="1" w:styleId="165">
    <w:name w:val="Book Title"/>
    <w:basedOn w:val="135"/>
    <w:qFormat/>
    <w:uiPriority w:val="33"/>
    <w:rPr>
      <w:b/>
      <w:bCs/>
      <w:smallCaps/>
      <w:spacing w:val="5"/>
    </w:rPr>
  </w:style>
  <w:style w:type="paragraph" w:customStyle="1" w:styleId="166">
    <w:name w:val="TOC Heading"/>
    <w:basedOn w:val="4"/>
    <w:next w:val="1"/>
    <w:semiHidden/>
    <w:unhideWhenUsed/>
    <w:qFormat/>
    <w:uiPriority w:val="39"/>
    <w:pPr>
      <w:outlineLvl w:val="9"/>
    </w:pPr>
  </w:style>
  <w:style w:type="paragraph" w:customStyle="1" w:styleId="167">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8">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9">
    <w:name w:val="王越的表头"/>
    <w:basedOn w:val="170"/>
    <w:qFormat/>
    <w:uiPriority w:val="0"/>
    <w:pPr>
      <w:spacing w:line="240" w:lineRule="auto"/>
      <w:ind w:firstLine="0" w:firstLineChars="0"/>
      <w:jc w:val="center"/>
    </w:pPr>
    <w:rPr>
      <w:b/>
    </w:rPr>
  </w:style>
  <w:style w:type="paragraph" w:customStyle="1" w:styleId="170">
    <w:name w:val="王越的正文"/>
    <w:basedOn w:val="1"/>
    <w:qFormat/>
    <w:uiPriority w:val="0"/>
    <w:pPr>
      <w:ind w:firstLine="480"/>
      <w:jc w:val="left"/>
    </w:pPr>
    <w:rPr>
      <w:rFonts w:ascii="宋体" w:hAnsi="宋体"/>
    </w:rPr>
  </w:style>
  <w:style w:type="paragraph" w:customStyle="1" w:styleId="171">
    <w:name w:val="王越的表格"/>
    <w:basedOn w:val="170"/>
    <w:qFormat/>
    <w:uiPriority w:val="0"/>
    <w:pPr>
      <w:spacing w:line="240" w:lineRule="auto"/>
      <w:ind w:firstLine="0" w:firstLineChars="0"/>
    </w:pPr>
  </w:style>
  <w:style w:type="paragraph" w:customStyle="1" w:styleId="172">
    <w:name w:val="正文-（1）"/>
    <w:qFormat/>
    <w:uiPriority w:val="0"/>
    <w:pPr>
      <w:widowControl w:val="0"/>
      <w:numPr>
        <w:ilvl w:val="0"/>
        <w:numId w:val="7"/>
      </w:numPr>
      <w:spacing w:line="360" w:lineRule="auto"/>
      <w:ind w:left="0" w:firstLine="200" w:firstLineChars="200"/>
      <w:jc w:val="both"/>
    </w:pPr>
    <w:rPr>
      <w:rFonts w:ascii="Times New Roman" w:hAnsi="Times New Roman" w:eastAsia="宋体" w:cs="Times New Roman"/>
      <w:kern w:val="2"/>
      <w:sz w:val="24"/>
      <w:szCs w:val="22"/>
      <w:lang w:val="en-US" w:eastAsia="zh-CN" w:bidi="ar-SA"/>
    </w:rPr>
  </w:style>
  <w:style w:type="paragraph" w:customStyle="1" w:styleId="173">
    <w:name w:val="首行缩进"/>
    <w:basedOn w:val="1"/>
    <w:qFormat/>
    <w:uiPriority w:val="0"/>
    <w:pPr>
      <w:spacing w:line="360" w:lineRule="auto"/>
      <w:ind w:firstLine="480" w:firstLineChars="200"/>
    </w:pPr>
    <w:rPr>
      <w:rFonts w:ascii="Calibri" w:hAnsi="Calibri"/>
      <w:sz w:val="24"/>
      <w:szCs w:val="22"/>
      <w:lang w:val="zh-CN"/>
    </w:rPr>
  </w:style>
  <w:style w:type="paragraph" w:customStyle="1" w:styleId="174">
    <w:name w:val="列出段落11"/>
    <w:basedOn w:val="1"/>
    <w:qFormat/>
    <w:uiPriority w:val="99"/>
    <w:pPr>
      <w:widowControl/>
      <w:adjustRightInd/>
      <w:spacing w:before="40" w:after="160" w:line="240" w:lineRule="auto"/>
      <w:ind w:firstLine="420" w:firstLineChars="200"/>
      <w:textAlignment w:val="auto"/>
    </w:pPr>
    <w:rPr>
      <w:rFonts w:ascii="Cambria" w:hAnsi="Cambria" w:eastAsia="微软雅黑" w:cs="Cambria"/>
      <w:color w:val="565656"/>
      <w:kern w:val="20"/>
      <w:sz w:val="21"/>
      <w:szCs w:val="21"/>
      <w:lang w:val="zh-CN"/>
    </w:rPr>
  </w:style>
  <w:style w:type="character" w:customStyle="1" w:styleId="175">
    <w:name w:val="font31"/>
    <w:basedOn w:val="135"/>
    <w:qFormat/>
    <w:uiPriority w:val="0"/>
    <w:rPr>
      <w:rFonts w:hint="eastAsia" w:ascii="宋体" w:hAnsi="宋体" w:eastAsia="宋体" w:cs="宋体"/>
      <w:color w:val="FF0000"/>
      <w:sz w:val="18"/>
      <w:szCs w:val="18"/>
      <w:u w:val="none"/>
    </w:rPr>
  </w:style>
  <w:style w:type="character" w:customStyle="1" w:styleId="176">
    <w:name w:val="font11"/>
    <w:basedOn w:val="135"/>
    <w:qFormat/>
    <w:uiPriority w:val="0"/>
    <w:rPr>
      <w:rFonts w:hint="eastAsia" w:ascii="宋体" w:hAnsi="宋体" w:eastAsia="宋体" w:cs="宋体"/>
      <w:color w:val="000000"/>
      <w:sz w:val="18"/>
      <w:szCs w:val="18"/>
      <w:u w:val="none"/>
    </w:rPr>
  </w:style>
  <w:style w:type="character" w:customStyle="1" w:styleId="177">
    <w:name w:val="font41"/>
    <w:basedOn w:val="135"/>
    <w:qFormat/>
    <w:uiPriority w:val="0"/>
    <w:rPr>
      <w:rFonts w:ascii="Calibri" w:hAnsi="Calibri" w:cs="Calibri"/>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2</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cp:lastPrinted>2025-12-31T00:47:00Z</cp:lastPrinted>
  <dcterms:modified xsi:type="dcterms:W3CDTF">2026-03-17T09:04:27Z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