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480" w:beforeLines="200" w:after="480" w:afterLines="200" w:line="240" w:lineRule="auto"/>
        <w:jc w:val="center"/>
        <w:textAlignment w:val="auto"/>
        <w:rPr>
          <w:rFonts w:hint="eastAsia" w:ascii="宋体" w:hAnsi="宋体"/>
          <w:b/>
          <w:sz w:val="44"/>
          <w:szCs w:val="44"/>
        </w:rPr>
      </w:pPr>
      <w:bookmarkStart w:id="0" w:name="_Toc313024522"/>
      <w:bookmarkStart w:id="1" w:name="_Toc390356286"/>
      <w:bookmarkStart w:id="2" w:name="_Toc444181945"/>
      <w:bookmarkStart w:id="3" w:name="_Toc309048657"/>
      <w:bookmarkStart w:id="4" w:name="_Toc27502861"/>
      <w:r>
        <w:rPr>
          <w:rFonts w:hint="eastAsia" w:ascii="宋体" w:hAnsi="宋体"/>
          <w:b/>
          <w:sz w:val="44"/>
          <w:szCs w:val="44"/>
        </w:rPr>
        <w:t>北京清华长庚医院</w:t>
      </w:r>
      <w:r>
        <w:rPr>
          <w:rFonts w:hint="eastAsia" w:ascii="宋体" w:hAnsi="宋体"/>
          <w:b/>
          <w:sz w:val="44"/>
          <w:szCs w:val="44"/>
          <w:lang w:val="en-US" w:eastAsia="zh-CN"/>
        </w:rPr>
        <w:t>-</w:t>
      </w:r>
      <w:r>
        <w:rPr>
          <w:rFonts w:hint="eastAsia" w:ascii="宋体" w:hAnsi="宋体"/>
          <w:b/>
          <w:sz w:val="44"/>
          <w:szCs w:val="44"/>
        </w:rPr>
        <w:t>消防安全评估服务</w:t>
      </w:r>
    </w:p>
    <w:p>
      <w:pPr>
        <w:keepNext w:val="0"/>
        <w:keepLines w:val="0"/>
        <w:pageBreakBefore w:val="0"/>
        <w:widowControl w:val="0"/>
        <w:kinsoku/>
        <w:wordWrap/>
        <w:overflowPunct/>
        <w:topLinePunct w:val="0"/>
        <w:autoSpaceDE/>
        <w:autoSpaceDN/>
        <w:bidi w:val="0"/>
        <w:adjustRightInd/>
        <w:snapToGrid/>
        <w:spacing w:before="480" w:beforeLines="200" w:after="480" w:afterLines="200" w:line="240" w:lineRule="auto"/>
        <w:jc w:val="center"/>
        <w:textAlignment w:val="auto"/>
        <w:rPr>
          <w:rFonts w:hint="eastAsia" w:ascii="宋体" w:hAnsi="宋体"/>
          <w:b/>
          <w:sz w:val="44"/>
          <w:szCs w:val="44"/>
        </w:rPr>
      </w:pPr>
      <w:r>
        <w:rPr>
          <w:rFonts w:hint="eastAsia" w:ascii="宋体" w:hAnsi="宋体"/>
          <w:b/>
          <w:sz w:val="44"/>
          <w:szCs w:val="44"/>
        </w:rPr>
        <w:t>院内遴选</w:t>
      </w:r>
      <w:bookmarkEnd w:id="0"/>
      <w:bookmarkEnd w:id="1"/>
      <w:bookmarkEnd w:id="2"/>
      <w:bookmarkEnd w:id="3"/>
    </w:p>
    <w:p>
      <w:pPr>
        <w:pageBreakBefore w:val="0"/>
        <w:numPr>
          <w:ilvl w:val="0"/>
          <w:numId w:val="1"/>
        </w:numPr>
        <w:kinsoku/>
        <w:wordWrap/>
        <w:overflowPunct/>
        <w:topLinePunct w:val="0"/>
        <w:autoSpaceDE/>
        <w:autoSpaceDN/>
        <w:bidi w:val="0"/>
        <w:spacing w:before="240" w:beforeLines="100" w:after="240" w:afterLines="100" w:line="360" w:lineRule="auto"/>
        <w:jc w:val="center"/>
        <w:rPr>
          <w:rFonts w:hint="eastAsia" w:ascii="宋体" w:hAnsi="宋体" w:eastAsia="宋体" w:cs="宋体"/>
          <w:sz w:val="24"/>
          <w:szCs w:val="24"/>
          <w:highlight w:val="none"/>
        </w:rPr>
      </w:pPr>
      <w:r>
        <w:rPr>
          <w:rFonts w:hint="eastAsia" w:ascii="宋体" w:hAnsi="宋体" w:eastAsia="宋体" w:cs="宋体"/>
          <w:sz w:val="36"/>
          <w:szCs w:val="36"/>
        </w:rPr>
        <w:t>项目概况及</w:t>
      </w:r>
      <w:r>
        <w:rPr>
          <w:rFonts w:hint="eastAsia" w:ascii="宋体" w:hAnsi="宋体" w:eastAsia="宋体" w:cs="宋体"/>
          <w:sz w:val="36"/>
          <w:szCs w:val="36"/>
          <w:highlight w:val="none"/>
        </w:rPr>
        <w:t>资质要求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1.项目简介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1.1项目名称：北京清华长庚医院消防安全评估服务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需求</w:t>
      </w:r>
      <w:r>
        <w:rPr>
          <w:rFonts w:hint="eastAsia" w:ascii="宋体" w:hAnsi="宋体" w:eastAsia="宋体" w:cs="宋体"/>
          <w:sz w:val="24"/>
          <w:szCs w:val="24"/>
        </w:rPr>
        <w:t>人：北京清华长庚医院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1.3项目资金落实情况：自筹资金，已落实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1.4项目概况：本次</w:t>
      </w:r>
      <w:r>
        <w:rPr>
          <w:rFonts w:hint="eastAsia" w:ascii="宋体" w:hAnsi="宋体" w:eastAsia="宋体" w:cs="宋体"/>
          <w:sz w:val="24"/>
          <w:szCs w:val="24"/>
          <w:lang w:val="en-US" w:eastAsia="zh-CN"/>
        </w:rPr>
        <w:t>院内遴选</w:t>
      </w:r>
      <w:r>
        <w:rPr>
          <w:rFonts w:hint="eastAsia" w:ascii="宋体" w:hAnsi="宋体" w:eastAsia="宋体" w:cs="宋体"/>
          <w:sz w:val="24"/>
          <w:szCs w:val="24"/>
        </w:rPr>
        <w:t xml:space="preserve">为北京清华长庚医院消防安全评估服务。通过开展消防安全评估，查找出当前消防工作的薄弱环节，提出有针对性的对策和措施，进一步加强和规范消防安全管理，消除火灾隐患。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1.5成交供应商数量及成交份额：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☑一家，成交份额：100%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1.6 </w:t>
      </w:r>
      <w:r>
        <w:rPr>
          <w:rFonts w:hint="eastAsia" w:ascii="宋体" w:hAnsi="宋体" w:eastAsia="宋体" w:cs="宋体"/>
          <w:sz w:val="24"/>
          <w:szCs w:val="24"/>
        </w:rPr>
        <w:t>服务期限：自合同签订后起60个工作日内完成全部工作，并出具评估报告。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1.7 </w:t>
      </w:r>
      <w:r>
        <w:rPr>
          <w:rFonts w:hint="eastAsia" w:ascii="宋体" w:hAnsi="宋体" w:eastAsia="宋体" w:cs="宋体"/>
          <w:sz w:val="24"/>
          <w:szCs w:val="24"/>
        </w:rPr>
        <w:t>服务地点：</w:t>
      </w:r>
      <w:r>
        <w:rPr>
          <w:rFonts w:hint="eastAsia" w:ascii="宋体" w:hAnsi="宋体" w:cs="宋体"/>
          <w:sz w:val="24"/>
          <w:szCs w:val="24"/>
          <w:lang w:val="en-US" w:eastAsia="zh-CN"/>
        </w:rPr>
        <w:t>北京</w:t>
      </w:r>
      <w:r>
        <w:rPr>
          <w:rFonts w:hint="eastAsia" w:ascii="宋体" w:hAnsi="宋体" w:eastAsia="宋体" w:cs="宋体"/>
          <w:sz w:val="24"/>
          <w:szCs w:val="24"/>
          <w:lang w:val="en-US" w:eastAsia="zh-CN"/>
        </w:rPr>
        <w:t>清华长庚</w:t>
      </w:r>
      <w:r>
        <w:rPr>
          <w:rFonts w:hint="eastAsia" w:ascii="宋体" w:hAnsi="宋体" w:eastAsia="宋体" w:cs="宋体"/>
          <w:sz w:val="24"/>
          <w:szCs w:val="24"/>
        </w:rPr>
        <w:t>医院范围内（北京市昌平区立汤路168号）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1.8 </w:t>
      </w:r>
      <w:r>
        <w:rPr>
          <w:rFonts w:hint="eastAsia" w:ascii="宋体" w:hAnsi="宋体" w:eastAsia="宋体" w:cs="宋体"/>
          <w:sz w:val="24"/>
          <w:szCs w:val="24"/>
        </w:rPr>
        <w:t>服务标准：本项目最终成果为《北京清华长庚医院 2025年度消防安全评估报告》，要求评估报告科学严谨，符合国家法律法规及标准规范的要求，符合医院实际需求，能够切实提高消防安全管理水平。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1.9 服务面积：</w:t>
      </w:r>
      <w:r>
        <w:rPr>
          <w:rFonts w:hint="eastAsia" w:ascii="宋体" w:hAnsi="宋体" w:eastAsia="宋体" w:cs="宋体"/>
          <w:sz w:val="24"/>
          <w:szCs w:val="24"/>
          <w:highlight w:val="yellow"/>
        </w:rPr>
        <w:t>总建筑面积：</w:t>
      </w:r>
      <w:r>
        <w:rPr>
          <w:rFonts w:hint="eastAsia" w:ascii="宋体" w:hAnsi="宋体" w:eastAsia="宋体" w:cs="宋体"/>
          <w:sz w:val="24"/>
          <w:szCs w:val="24"/>
          <w:highlight w:val="yellow"/>
          <w:u w:val="single"/>
        </w:rPr>
        <w:t>24.47</w:t>
      </w:r>
      <w:r>
        <w:rPr>
          <w:rFonts w:hint="eastAsia" w:ascii="宋体" w:hAnsi="宋体" w:cs="宋体"/>
          <w:sz w:val="24"/>
          <w:szCs w:val="24"/>
          <w:highlight w:val="yellow"/>
          <w:u w:val="single"/>
          <w:lang w:val="en-US" w:eastAsia="zh-CN"/>
        </w:rPr>
        <w:t>万</w:t>
      </w:r>
      <w:r>
        <w:rPr>
          <w:rFonts w:hint="eastAsia" w:ascii="宋体" w:hAnsi="宋体" w:eastAsia="宋体" w:cs="宋体"/>
          <w:sz w:val="24"/>
          <w:szCs w:val="24"/>
          <w:highlight w:val="yellow"/>
        </w:rPr>
        <w:t>平方米</w:t>
      </w:r>
      <w:r>
        <w:rPr>
          <w:rFonts w:hint="eastAsia" w:ascii="宋体" w:hAnsi="宋体" w:eastAsia="宋体" w:cs="宋体"/>
          <w:sz w:val="24"/>
          <w:szCs w:val="24"/>
          <w:highlight w:val="yellow"/>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 项目总预算：</w:t>
      </w:r>
      <w:r>
        <w:rPr>
          <w:rFonts w:hint="eastAsia" w:ascii="宋体" w:hAnsi="宋体" w:eastAsia="宋体" w:cs="宋体"/>
          <w:sz w:val="24"/>
          <w:szCs w:val="24"/>
        </w:rPr>
        <w:t>48</w:t>
      </w:r>
      <w:r>
        <w:rPr>
          <w:rFonts w:hint="eastAsia" w:ascii="宋体" w:hAnsi="宋体" w:eastAsia="宋体" w:cs="宋体"/>
          <w:sz w:val="24"/>
          <w:szCs w:val="24"/>
          <w:lang w:val="en-US" w:eastAsia="zh-CN"/>
        </w:rPr>
        <w:t>.</w:t>
      </w:r>
      <w:r>
        <w:rPr>
          <w:rFonts w:hint="eastAsia" w:ascii="宋体" w:hAnsi="宋体" w:eastAsia="宋体" w:cs="宋体"/>
          <w:sz w:val="24"/>
          <w:szCs w:val="24"/>
        </w:rPr>
        <w:t>9</w:t>
      </w:r>
      <w:r>
        <w:rPr>
          <w:rFonts w:hint="eastAsia" w:ascii="宋体" w:hAnsi="宋体" w:eastAsia="宋体" w:cs="宋体"/>
          <w:sz w:val="24"/>
          <w:szCs w:val="24"/>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2.资质要求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2.1供应商应依法设立且满足如下要求：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sym w:font="Wingdings" w:char="F0AB"/>
      </w:r>
      <w:r>
        <w:rPr>
          <w:rFonts w:hint="eastAsia" w:ascii="宋体" w:hAnsi="宋体" w:eastAsia="宋体" w:cs="宋体"/>
          <w:sz w:val="24"/>
          <w:szCs w:val="24"/>
          <w:lang w:val="en-US" w:eastAsia="zh-CN"/>
        </w:rPr>
        <w:t>（1）资质要求：①供应商需在应急管理部消防救援局备案，且企业备案信息应包含消防安全评估，备案信息可在应急管理部消防救援局官网（https://www.119.gov.cn/），社会消防技术服务机构信息系统中查询。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（2）财务要求：供应商应提供上一年度的审计报告（含财务报表）或近六个月内银行出具的有效资信证明作为证明文件（加盖单位公章）。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（3）业绩要求：供应商须具备/业绩。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（4）信誉要求：①未被国家企业信用信息公示系统列入严重违法失信企业名单；②未在“信用中国”网站被列入失信被执行人名单；③在近三年内供应商及其法定代表人、拟委任的项目负责人无行贿犯罪行为。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承担本项目的主要人员要求：项目组成员不少于3人，项目负责人应当具备相应的注册消防工程师资格，项目技术负责人应具备一级注册消防工程师资质证书，项目评价组成员应具备消防设施操作员中级（含）以上资质证书。项目负责人、项目技术负责人及项目组成员必须参与现场评估工作。所有项目组成员均为本单位在社会消防技术服务机构信息系统中备案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3.2供应商不得存在下列情形之一：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（1）处于被责令停产停业、暂扣或者吊销执照、暂扣或者吊销许可证、吊销资质证书状态；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（2）进入清算程序，或被宣告破产，或其他丧失履约能力的情形；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（3）其他：/</w:t>
      </w:r>
    </w:p>
    <w:bookmarkEnd w:id="4"/>
    <w:p>
      <w:pPr>
        <w:pageBreakBefore w:val="0"/>
        <w:numPr>
          <w:ilvl w:val="0"/>
          <w:numId w:val="1"/>
        </w:numPr>
        <w:kinsoku/>
        <w:wordWrap/>
        <w:overflowPunct/>
        <w:topLinePunct w:val="0"/>
        <w:autoSpaceDE/>
        <w:autoSpaceDN/>
        <w:bidi w:val="0"/>
        <w:spacing w:before="240" w:beforeLines="100" w:after="240" w:afterLines="100" w:line="360" w:lineRule="auto"/>
        <w:jc w:val="center"/>
        <w:rPr>
          <w:rFonts w:hint="eastAsia" w:ascii="宋体" w:hAnsi="宋体" w:eastAsia="宋体" w:cs="宋体"/>
          <w:sz w:val="36"/>
          <w:szCs w:val="36"/>
        </w:rPr>
      </w:pPr>
      <w:r>
        <w:rPr>
          <w:rFonts w:hint="eastAsia" w:ascii="宋体" w:hAnsi="宋体" w:eastAsia="宋体" w:cs="宋体"/>
          <w:sz w:val="36"/>
          <w:szCs w:val="36"/>
          <w:lang w:val="en-US" w:eastAsia="zh-CN"/>
        </w:rPr>
        <w:t>遴选</w:t>
      </w:r>
      <w:r>
        <w:rPr>
          <w:rFonts w:hint="eastAsia" w:ascii="宋体" w:hAnsi="宋体" w:eastAsia="宋体" w:cs="宋体"/>
          <w:sz w:val="36"/>
          <w:szCs w:val="36"/>
        </w:rPr>
        <w:t>需求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项目目的</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为贯彻《北京市医院管理中心关于推进市属医院消防安全评估工作的通知》的要求，通过开展消防安全评估，查找出当前消防工作的薄弱环节，提出有针对性的对策和措施，进一步加强和规范消防安全管理，消除火灾隐患，从而提高企业抗御火灾的能力，保障企业的消防安全。</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项目地点</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北京市昌平区立汤路168号</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项目内容及范围</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val="en-US" w:eastAsia="zh-CN"/>
        </w:rPr>
      </w:pPr>
      <w:r>
        <w:rPr>
          <w:rFonts w:hint="eastAsia" w:ascii="宋体" w:hAnsi="宋体" w:eastAsia="宋体" w:cs="宋体"/>
          <w:sz w:val="24"/>
          <w:szCs w:val="24"/>
          <w:lang w:eastAsia="zh-CN"/>
        </w:rPr>
        <w:t>对医院的建筑防火、消防安全管理及消防设施设备配置情况开展评估，并出具消防评估报告。</w:t>
      </w:r>
      <w:r>
        <w:rPr>
          <w:rFonts w:hint="eastAsia" w:ascii="宋体" w:hAnsi="宋体" w:eastAsia="宋体" w:cs="宋体"/>
          <w:sz w:val="24"/>
          <w:szCs w:val="24"/>
          <w:lang w:val="en-US" w:eastAsia="zh-CN"/>
        </w:rPr>
        <w:t>具体需求面积：</w:t>
      </w:r>
      <w:r>
        <w:rPr>
          <w:rFonts w:hint="eastAsia" w:ascii="宋体" w:hAnsi="宋体" w:eastAsia="宋体" w:cs="宋体"/>
          <w:sz w:val="24"/>
          <w:szCs w:val="24"/>
        </w:rPr>
        <w:t>总建筑面积：</w:t>
      </w:r>
      <w:r>
        <w:rPr>
          <w:rFonts w:hint="eastAsia" w:ascii="宋体" w:hAnsi="宋体" w:eastAsia="宋体" w:cs="宋体"/>
          <w:sz w:val="24"/>
          <w:szCs w:val="24"/>
          <w:u w:val="single"/>
        </w:rPr>
        <w:t>24.47万平方米</w:t>
      </w:r>
      <w:r>
        <w:rPr>
          <w:rFonts w:hint="eastAsia" w:ascii="宋体" w:hAnsi="宋体" w:eastAsia="宋体" w:cs="宋体"/>
          <w:sz w:val="24"/>
          <w:szCs w:val="24"/>
          <w:lang w:eastAsia="zh-CN"/>
        </w:rPr>
        <w:t>。</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项目技术标准及要求</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4.1</w:t>
      </w:r>
      <w:r>
        <w:rPr>
          <w:rFonts w:hint="eastAsia" w:ascii="宋体" w:hAnsi="宋体" w:eastAsia="宋体" w:cs="宋体"/>
          <w:sz w:val="24"/>
          <w:szCs w:val="24"/>
          <w:lang w:eastAsia="zh-CN"/>
        </w:rPr>
        <w:t>消防安全评估主要依据和标准要求</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1.1法律、法规及国务院文件</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1)《中华人民共和国消防法》（第十三届全国人民代表大会常务委员会第二十八次会议修正）</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2)《医疗机构消防安全管理九项规定》国卫办发〔2020〕1号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3)《医疗机构管理条例》（国务院令第149号）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4)《危险化学品安全管理条例》（国务院令第591号）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1.2 地方法规、部门规章及规范性文件</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1)《机关、团体、单位、事业单位消防安全管理规定》（公安部令第61号）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2)《高层民用建筑消防安全管理规定》（应急管理部令第5号）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3)《北京市消防条例》（北京市第十三届人民代表大会常务委员会公告第17号）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4)《北京市火灾高危单位消防安全管理规定》（京政办发[2014]7号）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5)《北京市医院管理局关于加强市属医院危险化学品安全管理工作的通知》（京医管运行〔2016〕7号）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6)《北京市医管局关于加强市属医院安全隐患排查治理建立安全隐患闭环管理机制的通知》（京医管运行[2018]4号）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1.3 国家标准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1)《消防设施通用规范》（GB55036-2022）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2)《建筑防火通用规范》（GB55037-2022）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3)《建筑消防设施的维护管理》（GB25201-2010）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4)《建筑设计防火规范》（GB50016-2014）（2018年版）</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5)《消防给水及消火栓系统技术规范》（GB50974-2014）</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6)《自动喷水灭火系统设计规范》（GB50084-2017）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7)《自动喷水灭火系统施工及验收规范》（GB50261-2017）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8)《火灾自动报警系统设计规范》（GB50116-2013）</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9)《火灾自动报警系统施工及验收规范》（GB50166-2019）</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10)《气体灭火系统设计规范》(GB50370-2005)</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11)《气体灭火系统施工及验收规范》（GB50263-2007）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12)《建筑防烟排烟系统技术标准》（GB51251-2017）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13)《消防控制室通用技术要求》（GB25506-2010）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14)《建筑灭火器配置设计规范》（GB50140-2005）</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15)《建筑灭火器配置验收及检查规范》（GB50444-2008）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16)《建筑内部装修设计防火规范》（GB50222-2017）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17)《医用气体工程技术规范》（GB50751-2012）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18)《综合医院建筑设计规范》（GB51039-2014）</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19)《氧气站设计规范》（GB50030-2013）</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20)《危险化学品仓库储存通则》（GB15603-2022）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21)《气瓶搬运、装卸、储存和使用安全规定》（GB/T34525-2017）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1.4 行业标准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1）《建筑消防设施检测技术规程》（XF503-2004）</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2）《人员密集场所消防安全管理》（GB/T40248-2021）</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3）《医疗机构消防安全管理》（WS308-2019）</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4）《人员密集场所消防安全评估导则》（XF/T 1369-2016）</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7）《单位消防安全评估》（XF/T 3005-2020）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1.5 地方标准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 《安全生产等级评定技术规范 第56部分：医疗卫生机构》（DB11/T 1322.56-2018）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 《危险化学品仓库建设及储存安全规范》(DB11/T 755-2010)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 《医疗机构危险化学品安全管理规范》（DB11/T 1578-2018）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4)《实验室危险化学品安全管理规范 第1部分：工业企业》（DB11/T 1191.1-2018）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5)《电气防火检测技术规范》（DB11/T 065-2022）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《建筑消防设施检测服务规范》（DB11/T 3034-2025）</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消防安全评估方法要求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消防安全评估方法的选择遵循充分性、适应性、系统性、针对性和合理性原则，根据评估目的、要求和评估对象特点，选择适用的评估方法。</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消防安全评估内容要求（要求涵盖但不限于以下内容）</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1．建筑防火评估</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建筑防火评估包括，建筑消防合法性、建筑使用情况、总平面布局、平面布置、安全疏散和消防电梯、建筑内部装修、防火构造、通风空调系统、建筑防爆、配电线路及应急照明等内容，通过评估，查找问题隐患，提出整改建议。</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2. 消防安全管理评估</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消防安全管理评估包括，消防管理制度规定、人员资质、教育培训、安全演练等管理文件的有效性与完整性验证，通过评估，查找问题隐患，提出整改建议。</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3.消防设施设备配置情况评估</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消防设施设备配置情况评估包含各类消防器材、设备设施的配置合规性、可靠性与有效性验证，通过评估，查找问题隐患，提出整改建议。</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4.4 </w:t>
      </w:r>
      <w:r>
        <w:rPr>
          <w:rFonts w:hint="eastAsia" w:ascii="宋体" w:hAnsi="宋体" w:eastAsia="宋体" w:cs="宋体"/>
          <w:sz w:val="24"/>
          <w:szCs w:val="24"/>
          <w:lang w:eastAsia="zh-CN"/>
        </w:rPr>
        <w:t xml:space="preserve">消防安全评估项目成果及质量要求 </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本项目最终成果为《北京清华长庚医院 2025年度消防安全评估报告》，要求评估报告科学严谨，符合国家法律法规及标准规范的要求，符合医院实际需求，能够切实提高医院消防安全管理水平。所出具评消防安全评估报告需经专家论证，方可完成验收。</w:t>
      </w:r>
    </w:p>
    <w:p>
      <w:pPr>
        <w:pageBreakBefore w:val="0"/>
        <w:kinsoku/>
        <w:wordWrap/>
        <w:overflowPunct/>
        <w:topLinePunct w:val="0"/>
        <w:autoSpaceDE/>
        <w:autoSpaceDN/>
        <w:bidi w:val="0"/>
        <w:spacing w:line="360" w:lineRule="auto"/>
        <w:ind w:left="1" w:firstLine="463" w:firstLineChars="192"/>
        <w:rPr>
          <w:rFonts w:hint="eastAsia" w:ascii="宋体" w:hAnsi="宋体" w:eastAsia="宋体" w:cs="宋体"/>
          <w:b/>
          <w:kern w:val="2"/>
          <w:sz w:val="24"/>
          <w:szCs w:val="24"/>
          <w:lang w:eastAsia="zh-CN"/>
        </w:rPr>
      </w:pPr>
      <w:r>
        <w:rPr>
          <w:rFonts w:hint="eastAsia" w:ascii="宋体" w:hAnsi="宋体" w:eastAsia="宋体" w:cs="宋体"/>
          <w:b/>
          <w:kern w:val="2"/>
          <w:sz w:val="24"/>
          <w:szCs w:val="24"/>
          <w:lang w:val="en-US" w:eastAsia="zh-CN"/>
        </w:rPr>
        <w:t>5.</w:t>
      </w:r>
      <w:r>
        <w:rPr>
          <w:rFonts w:hint="eastAsia" w:ascii="宋体" w:hAnsi="宋体" w:eastAsia="宋体" w:cs="宋体"/>
          <w:b/>
          <w:kern w:val="2"/>
          <w:sz w:val="24"/>
          <w:szCs w:val="24"/>
          <w:lang w:eastAsia="zh-CN"/>
        </w:rPr>
        <w:t>服务团队要求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1.供应商应安排拟派的项目负责人作为其授权委托人参与本项目并全面负责履行合同，项目负责人及拟派团队主要人员应保持稳定，未经招标人书面同意不得随意更换，招标人有权更换不称职的项目组人员，更换后的人员专业水平不得低于被更换人员。</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sym w:font="Wingdings" w:char="F0AB"/>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 xml:space="preserve">2. </w:t>
      </w:r>
      <w:r>
        <w:rPr>
          <w:rFonts w:hint="eastAsia" w:ascii="宋体" w:hAnsi="宋体" w:eastAsia="宋体" w:cs="宋体"/>
          <w:sz w:val="24"/>
          <w:szCs w:val="24"/>
          <w:u w:val="single"/>
          <w:lang w:eastAsia="zh-CN"/>
        </w:rPr>
        <w:t>项目组成员不少于3人，项目负责人应当具备相应的注册消防工程师资格，项目技术负责人应具备一级注册消防工程师资质证书，项目评价组成员应具备消防设施操作员中级（含）以上资质证书。项目负责人、项目技术负责人及项目组成员必须参与现场评估工作。所有项目组成员均为本单位在社会消防技术服务机构信息系统中备案人员。</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sym w:font="Wingdings" w:char="F0AB"/>
      </w:r>
      <w:r>
        <w:rPr>
          <w:rFonts w:hint="eastAsia" w:ascii="宋体" w:hAnsi="宋体" w:eastAsia="宋体" w:cs="宋体"/>
          <w:sz w:val="24"/>
          <w:szCs w:val="24"/>
          <w:lang w:eastAsia="zh-CN"/>
        </w:rPr>
        <w:t>3. 所有项目组成员均为本单位在社会消防技术服务机构信息系统中备案人员。</w:t>
      </w:r>
    </w:p>
    <w:p>
      <w:pPr>
        <w:pageBreakBefore w:val="0"/>
        <w:kinsoku/>
        <w:wordWrap/>
        <w:overflowPunct/>
        <w:topLinePunct w:val="0"/>
        <w:autoSpaceDE/>
        <w:autoSpaceDN/>
        <w:bidi w:val="0"/>
        <w:spacing w:line="360" w:lineRule="auto"/>
        <w:ind w:left="1" w:firstLine="463" w:firstLineChars="192"/>
        <w:rPr>
          <w:rFonts w:hint="eastAsia" w:ascii="宋体" w:hAnsi="宋体" w:eastAsia="宋体" w:cs="宋体"/>
          <w:b/>
          <w:kern w:val="2"/>
          <w:sz w:val="24"/>
          <w:szCs w:val="24"/>
          <w:lang w:eastAsia="zh-CN"/>
        </w:rPr>
      </w:pPr>
      <w:r>
        <w:rPr>
          <w:rFonts w:hint="eastAsia" w:ascii="宋体" w:hAnsi="宋体" w:eastAsia="宋体" w:cs="宋体"/>
          <w:b/>
          <w:kern w:val="2"/>
          <w:sz w:val="24"/>
          <w:szCs w:val="24"/>
          <w:lang w:eastAsia="zh-CN"/>
        </w:rPr>
        <w:t>六、实施时间要求：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自合同签订后起60个工作日内完成全部工作，并出具评估报告。</w:t>
      </w:r>
    </w:p>
    <w:p>
      <w:pPr>
        <w:pageBreakBefore w:val="0"/>
        <w:kinsoku/>
        <w:wordWrap/>
        <w:overflowPunct/>
        <w:topLinePunct w:val="0"/>
        <w:autoSpaceDE/>
        <w:autoSpaceDN/>
        <w:bidi w:val="0"/>
        <w:spacing w:line="360" w:lineRule="auto"/>
        <w:ind w:left="1" w:firstLine="463" w:firstLineChars="192"/>
        <w:rPr>
          <w:rFonts w:hint="eastAsia" w:ascii="宋体" w:hAnsi="宋体" w:eastAsia="宋体" w:cs="宋体"/>
          <w:b/>
          <w:kern w:val="2"/>
          <w:sz w:val="24"/>
          <w:szCs w:val="24"/>
          <w:lang w:eastAsia="zh-CN"/>
        </w:rPr>
      </w:pPr>
      <w:r>
        <w:rPr>
          <w:rFonts w:hint="eastAsia" w:ascii="宋体" w:hAnsi="宋体" w:eastAsia="宋体" w:cs="宋体"/>
          <w:b/>
          <w:kern w:val="2"/>
          <w:sz w:val="24"/>
          <w:szCs w:val="24"/>
          <w:lang w:eastAsia="zh-CN"/>
        </w:rPr>
        <w:t>七、付款方式及发票要求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 xml:space="preserve">1.付款方式：先票后款 </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2.发票类型：6%增值税专用发票。</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3.支付方式：电汇。</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highlight w:val="none"/>
          <w:lang w:eastAsia="zh-CN"/>
        </w:rPr>
      </w:pPr>
      <w:r>
        <w:rPr>
          <w:rFonts w:hint="eastAsia" w:ascii="宋体" w:hAnsi="宋体" w:eastAsia="宋体" w:cs="宋体"/>
          <w:bCs/>
          <w:kern w:val="2"/>
          <w:sz w:val="24"/>
          <w:szCs w:val="24"/>
          <w:highlight w:val="none"/>
          <w:lang w:eastAsia="zh-CN"/>
        </w:rPr>
        <w:t>4.发票信息：</w:t>
      </w:r>
    </w:p>
    <w:tbl>
      <w:tblPr>
        <w:tblStyle w:val="33"/>
        <w:tblW w:w="7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5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单位名称</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北京清华长庚医院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纳税人识别号</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地址、电话</w:t>
            </w:r>
          </w:p>
        </w:tc>
        <w:tc>
          <w:tcPr>
            <w:tcW w:w="5122" w:type="dxa"/>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北京市昌平区立汤路168号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开户银行</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帐    号</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p>
        </w:tc>
      </w:tr>
    </w:tbl>
    <w:p>
      <w:pPr>
        <w:pageBreakBefore w:val="0"/>
        <w:kinsoku/>
        <w:wordWrap/>
        <w:overflowPunct/>
        <w:topLinePunct w:val="0"/>
        <w:autoSpaceDE/>
        <w:autoSpaceDN/>
        <w:bidi w:val="0"/>
        <w:spacing w:line="360" w:lineRule="auto"/>
        <w:ind w:firstLine="480" w:firstLineChars="200"/>
        <w:jc w:val="left"/>
        <w:rPr>
          <w:rFonts w:hint="eastAsia" w:ascii="宋体" w:hAnsi="宋体" w:eastAsia="宋体" w:cs="宋体"/>
          <w:sz w:val="24"/>
          <w:szCs w:val="24"/>
          <w:lang w:val="en-US" w:eastAsia="zh-CN"/>
        </w:rPr>
      </w:pPr>
    </w:p>
    <w:p>
      <w:pPr>
        <w:pageBreakBefore w:val="0"/>
        <w:numPr>
          <w:ilvl w:val="0"/>
          <w:numId w:val="1"/>
        </w:numPr>
        <w:kinsoku/>
        <w:wordWrap/>
        <w:overflowPunct/>
        <w:topLinePunct w:val="0"/>
        <w:autoSpaceDE/>
        <w:autoSpaceDN/>
        <w:bidi w:val="0"/>
        <w:spacing w:before="240" w:beforeLines="100" w:after="240" w:afterLines="100" w:line="360" w:lineRule="auto"/>
        <w:jc w:val="center"/>
        <w:rPr>
          <w:rFonts w:hint="eastAsia" w:ascii="宋体" w:hAnsi="宋体" w:eastAsia="宋体" w:cs="宋体"/>
          <w:sz w:val="36"/>
          <w:szCs w:val="36"/>
        </w:rPr>
      </w:pPr>
      <w:r>
        <w:rPr>
          <w:rFonts w:hint="eastAsia" w:ascii="宋体" w:hAnsi="宋体" w:eastAsia="宋体" w:cs="宋体"/>
          <w:sz w:val="36"/>
          <w:szCs w:val="36"/>
        </w:rPr>
        <w:t>评审办法</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1、评</w:t>
      </w:r>
      <w:r>
        <w:rPr>
          <w:rFonts w:hint="eastAsia" w:ascii="宋体" w:hAnsi="宋体" w:eastAsia="宋体" w:cs="宋体"/>
          <w:sz w:val="24"/>
          <w:szCs w:val="24"/>
          <w:lang w:val="en-US" w:eastAsia="zh-CN"/>
        </w:rPr>
        <w:t>审</w:t>
      </w:r>
      <w:r>
        <w:rPr>
          <w:rFonts w:hint="eastAsia" w:ascii="宋体" w:hAnsi="宋体" w:eastAsia="宋体" w:cs="宋体"/>
          <w:sz w:val="24"/>
          <w:szCs w:val="24"/>
        </w:rPr>
        <w:t>方法</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本项目采用综合评分法进行</w:t>
      </w:r>
      <w:r>
        <w:rPr>
          <w:rFonts w:hint="eastAsia" w:ascii="宋体" w:hAnsi="宋体" w:eastAsia="宋体" w:cs="宋体"/>
          <w:sz w:val="24"/>
          <w:szCs w:val="24"/>
          <w:lang w:val="en-US" w:eastAsia="zh-CN"/>
        </w:rPr>
        <w:t>评选</w:t>
      </w:r>
      <w:r>
        <w:rPr>
          <w:rFonts w:hint="eastAsia" w:ascii="宋体" w:hAnsi="宋体" w:eastAsia="宋体" w:cs="宋体"/>
          <w:sz w:val="24"/>
          <w:szCs w:val="24"/>
        </w:rPr>
        <w:t>。综合评分法，是指</w:t>
      </w:r>
      <w:r>
        <w:rPr>
          <w:rFonts w:hint="eastAsia" w:ascii="宋体" w:hAnsi="宋体" w:eastAsia="宋体" w:cs="宋体"/>
          <w:sz w:val="24"/>
          <w:szCs w:val="24"/>
          <w:lang w:val="en-US" w:eastAsia="zh-CN"/>
        </w:rPr>
        <w:t>参与遴选</w:t>
      </w:r>
      <w:r>
        <w:rPr>
          <w:rFonts w:hint="eastAsia" w:ascii="宋体" w:hAnsi="宋体" w:eastAsia="宋体" w:cs="宋体"/>
          <w:sz w:val="24"/>
          <w:szCs w:val="24"/>
        </w:rPr>
        <w:t>文件满足</w:t>
      </w:r>
      <w:r>
        <w:rPr>
          <w:rFonts w:hint="eastAsia" w:ascii="宋体" w:hAnsi="宋体" w:eastAsia="宋体" w:cs="宋体"/>
          <w:sz w:val="24"/>
          <w:szCs w:val="24"/>
          <w:lang w:val="en-US" w:eastAsia="zh-CN"/>
        </w:rPr>
        <w:t>遴选</w:t>
      </w:r>
      <w:r>
        <w:rPr>
          <w:rFonts w:hint="eastAsia" w:ascii="宋体" w:hAnsi="宋体" w:eastAsia="宋体" w:cs="宋体"/>
          <w:sz w:val="24"/>
          <w:szCs w:val="24"/>
        </w:rPr>
        <w:t>文件全部实质性要求且按照评审因素的量化指标评审得分最高的投标人为中标候选人的评</w:t>
      </w:r>
      <w:r>
        <w:rPr>
          <w:rFonts w:hint="eastAsia" w:ascii="宋体" w:hAnsi="宋体" w:eastAsia="宋体" w:cs="宋体"/>
          <w:sz w:val="24"/>
          <w:szCs w:val="24"/>
          <w:lang w:val="en-US" w:eastAsia="zh-CN"/>
        </w:rPr>
        <w:t>选</w:t>
      </w:r>
      <w:r>
        <w:rPr>
          <w:rFonts w:hint="eastAsia" w:ascii="宋体" w:hAnsi="宋体" w:eastAsia="宋体" w:cs="宋体"/>
          <w:sz w:val="24"/>
          <w:szCs w:val="24"/>
        </w:rPr>
        <w:t>方法。</w:t>
      </w:r>
      <w:r>
        <w:rPr>
          <w:rFonts w:hint="eastAsia" w:ascii="宋体" w:hAnsi="宋体" w:eastAsia="宋体" w:cs="宋体"/>
          <w:sz w:val="24"/>
          <w:szCs w:val="24"/>
          <w:lang w:val="en-US" w:eastAsia="zh-CN"/>
        </w:rPr>
        <w:t>参与</w:t>
      </w:r>
      <w:r>
        <w:rPr>
          <w:rFonts w:hint="eastAsia" w:ascii="宋体" w:hAnsi="宋体" w:eastAsia="宋体" w:cs="宋体"/>
          <w:sz w:val="24"/>
          <w:szCs w:val="24"/>
        </w:rPr>
        <w:t>人总得分为价格、商务、技术、服务等评定因素分别按照相应权重值计算分项得分后相加，满分为100分。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2、评分标准</w:t>
      </w:r>
    </w:p>
    <w:tbl>
      <w:tblPr>
        <w:tblStyle w:val="33"/>
        <w:tblW w:w="84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646"/>
        <w:gridCol w:w="1890"/>
        <w:gridCol w:w="4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评审内容</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分值</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评分因素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价格部分</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评</w:t>
            </w:r>
            <w:r>
              <w:rPr>
                <w:rFonts w:hint="eastAsia" w:ascii="宋体" w:hAnsi="宋体" w:eastAsia="宋体" w:cs="宋体"/>
                <w:kern w:val="2"/>
                <w:sz w:val="24"/>
                <w:szCs w:val="24"/>
                <w:lang w:val="en-US" w:eastAsia="zh-CN"/>
              </w:rPr>
              <w:t>审</w:t>
            </w:r>
            <w:r>
              <w:rPr>
                <w:rFonts w:hint="eastAsia" w:ascii="宋体" w:hAnsi="宋体" w:eastAsia="宋体" w:cs="宋体"/>
                <w:kern w:val="2"/>
                <w:sz w:val="24"/>
                <w:szCs w:val="24"/>
                <w:lang w:eastAsia="zh-CN"/>
              </w:rPr>
              <w:t>基准价为各有效</w:t>
            </w:r>
            <w:r>
              <w:rPr>
                <w:rFonts w:hint="eastAsia" w:ascii="宋体" w:hAnsi="宋体" w:eastAsia="宋体" w:cs="宋体"/>
                <w:kern w:val="2"/>
                <w:sz w:val="24"/>
                <w:szCs w:val="24"/>
                <w:lang w:val="en-US" w:eastAsia="zh-CN"/>
              </w:rPr>
              <w:t>参与</w:t>
            </w:r>
            <w:r>
              <w:rPr>
                <w:rFonts w:hint="eastAsia" w:ascii="宋体" w:hAnsi="宋体" w:eastAsia="宋体" w:cs="宋体"/>
                <w:kern w:val="2"/>
                <w:sz w:val="24"/>
                <w:szCs w:val="24"/>
                <w:lang w:eastAsia="zh-CN"/>
              </w:rPr>
              <w:t>人报价（含税）</w:t>
            </w:r>
            <w:r>
              <w:rPr>
                <w:rFonts w:hint="eastAsia" w:ascii="宋体" w:hAnsi="宋体" w:eastAsia="宋体" w:cs="宋体"/>
                <w:kern w:val="2"/>
                <w:sz w:val="24"/>
                <w:szCs w:val="24"/>
                <w:lang w:val="en-US" w:eastAsia="zh-CN"/>
              </w:rPr>
              <w:t>最低价</w:t>
            </w:r>
            <w:r>
              <w:rPr>
                <w:rFonts w:hint="eastAsia" w:ascii="宋体" w:hAnsi="宋体" w:eastAsia="宋体" w:cs="宋体"/>
                <w:kern w:val="2"/>
                <w:sz w:val="24"/>
                <w:szCs w:val="24"/>
                <w:lang w:eastAsia="zh-CN"/>
              </w:rPr>
              <w:t>，供应商的价格分统一按照下列公式计算：报价得分=（基准价/报价）×20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商务部分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省一级消防协会颁发的会员证书及应急局颁发的安全评价资质证书（3分）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具有消防协会颁发的会员证书及应急部门颁发的安全评价资质证书得3分，不具备得0分。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业绩情况（12分）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消防安全评估机构近三年内从事过单体建筑面积3万平方米以上民用或工业建筑消防安全评估。每个得2分。最高得12分。（需提供证书材料并加盖公章）。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技术部分</w:t>
            </w:r>
          </w:p>
        </w:tc>
        <w:tc>
          <w:tcPr>
            <w:tcW w:w="0" w:type="auto"/>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30</w:t>
            </w:r>
          </w:p>
        </w:tc>
        <w:tc>
          <w:tcPr>
            <w:tcW w:w="1893" w:type="dxa"/>
            <w:tcBorders>
              <w:top w:val="single" w:color="000000" w:sz="4" w:space="0"/>
              <w:left w:val="single" w:color="000000" w:sz="4" w:space="0"/>
              <w:bottom w:val="single" w:color="auto"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标准制订</w:t>
            </w:r>
          </w:p>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（15分）</w:t>
            </w:r>
          </w:p>
        </w:tc>
        <w:tc>
          <w:tcPr>
            <w:tcW w:w="4862" w:type="dxa"/>
            <w:tcBorders>
              <w:top w:val="single" w:color="000000" w:sz="4" w:space="0"/>
              <w:left w:val="single" w:color="000000" w:sz="4" w:space="0"/>
              <w:bottom w:val="single" w:color="auto"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参加过消防安全国家、地方标准或行业标准编制工作，每个标准得5分。最高得15分。（提供证明资料）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1893"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eastAsia="zh-CN"/>
              </w:rPr>
              <w:t>技术团队配置（1</w:t>
            </w:r>
            <w:r>
              <w:rPr>
                <w:rFonts w:hint="eastAsia" w:ascii="宋体" w:hAnsi="宋体" w:cs="宋体"/>
                <w:kern w:val="2"/>
                <w:sz w:val="24"/>
                <w:szCs w:val="24"/>
                <w:lang w:val="en-US" w:eastAsia="zh-CN"/>
              </w:rPr>
              <w:t>5</w:t>
            </w:r>
            <w:r>
              <w:rPr>
                <w:rFonts w:hint="eastAsia" w:ascii="宋体" w:hAnsi="宋体" w:eastAsia="宋体" w:cs="宋体"/>
                <w:kern w:val="2"/>
                <w:sz w:val="24"/>
                <w:szCs w:val="24"/>
                <w:lang w:eastAsia="zh-CN"/>
              </w:rPr>
              <w:t>分）</w:t>
            </w:r>
          </w:p>
        </w:tc>
        <w:tc>
          <w:tcPr>
            <w:tcW w:w="4862" w:type="dxa"/>
            <w:tcBorders>
              <w:top w:val="single" w:color="auto" w:sz="4" w:space="0"/>
              <w:left w:val="single" w:color="000000" w:sz="4" w:space="0"/>
              <w:bottom w:val="single" w:color="auto"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eastAsia="zh-CN"/>
              </w:rPr>
              <w:t>（1）供应商提供项目负责人具备高工资格且承担过医院消防安全评估经验。得5分。单项不得分。（提供证明资料）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189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p>
        </w:tc>
        <w:tc>
          <w:tcPr>
            <w:tcW w:w="4862" w:type="dxa"/>
            <w:tcBorders>
              <w:top w:val="single" w:color="auto" w:sz="4" w:space="0"/>
              <w:left w:val="single" w:color="000000" w:sz="4" w:space="0"/>
              <w:bottom w:val="single" w:color="000000"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eastAsia="zh-CN"/>
              </w:rPr>
              <w:t>（2）参与项目评价的项目组成员每增加一名具有一级注册消防工程师资格的人员得2分，每增加一名具有高级消防设施操作员资格的人员得2分，最高得10分。（需提供相关证书复印件、网站截图并加盖公章）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服务部分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35</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前期准备方案（1</w:t>
            </w:r>
            <w:r>
              <w:rPr>
                <w:rFonts w:hint="eastAsia" w:ascii="宋体" w:hAnsi="宋体" w:cs="宋体"/>
                <w:i w:val="0"/>
                <w:iCs w:val="0"/>
                <w:color w:val="000000"/>
                <w:kern w:val="0"/>
                <w:sz w:val="24"/>
                <w:szCs w:val="24"/>
                <w:u w:val="none"/>
                <w:lang w:val="en-US" w:eastAsia="zh-CN" w:bidi="ar"/>
              </w:rPr>
              <w:t>0</w:t>
            </w:r>
            <w:r>
              <w:rPr>
                <w:rFonts w:hint="eastAsia" w:ascii="宋体" w:hAnsi="宋体" w:eastAsia="宋体" w:cs="宋体"/>
                <w:i w:val="0"/>
                <w:iCs w:val="0"/>
                <w:color w:val="000000"/>
                <w:kern w:val="0"/>
                <w:sz w:val="24"/>
                <w:szCs w:val="24"/>
                <w:u w:val="none"/>
                <w:lang w:val="en-US" w:eastAsia="zh-CN" w:bidi="ar"/>
              </w:rPr>
              <w:t>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根据供应商前期准备方案进行综合评定，</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方案内容全面详细、科学、切实可行的得</w:t>
            </w:r>
            <w:r>
              <w:rPr>
                <w:rFonts w:hint="eastAsia" w:ascii="宋体" w:hAnsi="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方案内容较全面、合理可行的得</w:t>
            </w:r>
            <w:r>
              <w:rPr>
                <w:rFonts w:hint="eastAsia" w:ascii="宋体" w:hAnsi="宋体" w:cs="宋体"/>
                <w:i w:val="0"/>
                <w:iCs w:val="0"/>
                <w:color w:val="000000"/>
                <w:kern w:val="0"/>
                <w:sz w:val="24"/>
                <w:szCs w:val="24"/>
                <w:u w:val="none"/>
                <w:lang w:val="en-US" w:eastAsia="zh-CN" w:bidi="ar"/>
              </w:rPr>
              <w:t>4-6</w:t>
            </w:r>
            <w:r>
              <w:rPr>
                <w:rFonts w:hint="eastAsia" w:ascii="宋体" w:hAnsi="宋体" w:eastAsia="宋体" w:cs="宋体"/>
                <w:i w:val="0"/>
                <w:iCs w:val="0"/>
                <w:color w:val="000000"/>
                <w:kern w:val="0"/>
                <w:sz w:val="24"/>
                <w:szCs w:val="24"/>
                <w:u w:val="none"/>
                <w:lang w:val="en-US" w:eastAsia="zh-CN" w:bidi="ar"/>
              </w:rPr>
              <w:t>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方案内容有欠缺、可行性较差的得1-</w:t>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未作说明的得0分。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评估服务方案（</w:t>
            </w: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5分）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1、根据供应商的建筑防火、消防安全管理消防设施设备配置评估服务方案进行综合评定，</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方案内容全面详细、科学，切实可行的得11-15分；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方案内容较为全面、合理可行的得6-10分；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方案内容有欠缺、可行性较差的得1-5分；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2、设备及仪器配备齐全，整体品质优秀得 4-5 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配备较齐全，整体 品质良好得 2-3；</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配备一般得 0-1 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3、工作计划及服务承诺详细、切实可行得4-5分；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合理可行的得2-3分；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可行性较差的得0-1分。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质量保证措施（5分）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根据供应商针对服务方案提出的质量保证措施进行综合评定，</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内容全面、详细、措施合理可靠、可行性高的得4-5分；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内容较为全面、措施合理可行的得2-3分；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内容有欠缺、可行性差的得1分；未做说明的得0分。</w:t>
            </w:r>
          </w:p>
        </w:tc>
      </w:tr>
    </w:tbl>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第四章 合同条款及格式</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spacing w:line="360" w:lineRule="auto"/>
        <w:contextualSpacing/>
        <w:jc w:val="center"/>
        <w:rPr>
          <w:rFonts w:ascii="Times New Roman" w:hAnsi="Times New Roman" w:eastAsia="黑体" w:cs="Times New Roman"/>
          <w:sz w:val="28"/>
          <w:szCs w:val="28"/>
        </w:rPr>
      </w:pPr>
      <w:r>
        <w:rPr>
          <w:rFonts w:hint="eastAsia" w:ascii="Times New Roman" w:hAnsi="Times New Roman" w:eastAsia="黑体" w:cs="Times New Roman"/>
          <w:sz w:val="44"/>
          <w:lang w:val="en-US" w:eastAsia="zh-CN"/>
        </w:rPr>
        <w:t>消防安全评估</w:t>
      </w:r>
      <w:r>
        <w:rPr>
          <w:rFonts w:hint="eastAsia" w:ascii="Times New Roman" w:hAnsi="Times New Roman" w:eastAsia="黑体" w:cs="Times New Roman"/>
          <w:sz w:val="44"/>
        </w:rPr>
        <w:t>技术服务合同</w:t>
      </w:r>
    </w:p>
    <w:p>
      <w:pPr>
        <w:spacing w:line="360" w:lineRule="auto"/>
        <w:contextualSpacing/>
        <w:rPr>
          <w:rFonts w:hint="eastAsia" w:cs="Times New Roman" w:asciiTheme="minorEastAsia" w:hAnsiTheme="minorEastAsia"/>
          <w:b/>
          <w:bCs/>
          <w:sz w:val="22"/>
        </w:rPr>
      </w:pPr>
    </w:p>
    <w:p>
      <w:pPr>
        <w:spacing w:line="360" w:lineRule="auto"/>
        <w:contextualSpacing/>
        <w:rPr>
          <w:rFonts w:cs="Times New Roman" w:asciiTheme="minorEastAsia" w:hAnsiTheme="minorEastAsia"/>
          <w:b/>
          <w:bCs/>
          <w:sz w:val="22"/>
          <w:u w:val="single"/>
        </w:rPr>
      </w:pPr>
      <w:r>
        <w:rPr>
          <w:rFonts w:hint="eastAsia" w:cs="Times New Roman" w:asciiTheme="minorEastAsia" w:hAnsiTheme="minorEastAsia"/>
          <w:b/>
          <w:bCs/>
          <w:sz w:val="22"/>
        </w:rPr>
        <w:t>委托方（甲方）：北京清华长庚医院</w:t>
      </w:r>
    </w:p>
    <w:p>
      <w:pPr>
        <w:spacing w:line="360" w:lineRule="auto"/>
        <w:contextualSpacing/>
        <w:rPr>
          <w:rFonts w:hint="eastAsia" w:cs="Times New Roman" w:asciiTheme="minorEastAsia" w:hAnsiTheme="minorEastAsia"/>
          <w:sz w:val="22"/>
          <w:lang w:val="en-US" w:eastAsia="zh-CN"/>
        </w:rPr>
      </w:pPr>
      <w:r>
        <w:rPr>
          <w:rFonts w:hint="eastAsia" w:cs="Times New Roman" w:asciiTheme="minorEastAsia" w:hAnsiTheme="minorEastAsia"/>
          <w:sz w:val="22"/>
        </w:rPr>
        <w:t>项目联系人：</w:t>
      </w:r>
      <w:r>
        <w:rPr>
          <w:rFonts w:hint="eastAsia" w:cs="Times New Roman" w:asciiTheme="minorEastAsia" w:hAnsiTheme="minorEastAsia"/>
          <w:sz w:val="22"/>
          <w:lang w:val="en-US" w:eastAsia="zh-CN"/>
        </w:rPr>
        <w:t>***</w:t>
      </w:r>
    </w:p>
    <w:p>
      <w:pPr>
        <w:spacing w:line="360" w:lineRule="auto"/>
        <w:contextualSpacing/>
        <w:rPr>
          <w:rFonts w:cs="Times New Roman" w:asciiTheme="minorEastAsia" w:hAnsiTheme="minorEastAsia"/>
          <w:sz w:val="22"/>
          <w:u w:val="single"/>
        </w:rPr>
      </w:pPr>
      <w:r>
        <w:rPr>
          <w:rFonts w:hint="eastAsia" w:cs="Times New Roman" w:asciiTheme="minorEastAsia" w:hAnsiTheme="minorEastAsia"/>
          <w:sz w:val="22"/>
        </w:rPr>
        <w:t>通讯地址：北京市昌平区立汤路168号</w:t>
      </w:r>
    </w:p>
    <w:p>
      <w:pPr>
        <w:spacing w:line="360" w:lineRule="auto"/>
        <w:contextualSpacing/>
        <w:rPr>
          <w:rFonts w:hint="default" w:cs="Times New Roman" w:asciiTheme="minorEastAsia" w:hAnsiTheme="minorEastAsia"/>
          <w:sz w:val="22"/>
          <w:lang w:val="en-US" w:eastAsia="zh-CN"/>
        </w:rPr>
      </w:pPr>
      <w:r>
        <w:rPr>
          <w:rFonts w:hint="eastAsia" w:cs="Times New Roman" w:asciiTheme="minorEastAsia" w:hAnsiTheme="minorEastAsia"/>
          <w:sz w:val="22"/>
        </w:rPr>
        <w:t>电    话：010-5611</w:t>
      </w:r>
      <w:r>
        <w:rPr>
          <w:rFonts w:hint="eastAsia" w:cs="Times New Roman" w:asciiTheme="minorEastAsia" w:hAnsiTheme="minorEastAsia"/>
          <w:sz w:val="22"/>
          <w:lang w:val="en-US" w:eastAsia="zh-CN"/>
        </w:rPr>
        <w:t>****</w:t>
      </w:r>
    </w:p>
    <w:p>
      <w:pPr>
        <w:spacing w:line="360" w:lineRule="auto"/>
        <w:contextualSpacing/>
        <w:rPr>
          <w:rFonts w:hint="default" w:cs="Times New Roman" w:asciiTheme="minorEastAsia" w:hAnsiTheme="minorEastAsia" w:eastAsiaTheme="minorEastAsia"/>
          <w:sz w:val="22"/>
          <w:lang w:val="en-US" w:eastAsia="zh-CN"/>
        </w:rPr>
      </w:pPr>
      <w:r>
        <w:rPr>
          <w:rFonts w:hint="eastAsia" w:cs="Times New Roman" w:asciiTheme="minorEastAsia" w:hAnsiTheme="minorEastAsia"/>
          <w:sz w:val="22"/>
          <w:lang w:val="en-US" w:eastAsia="zh-CN"/>
        </w:rPr>
        <w:t>电子邮箱：</w:t>
      </w:r>
      <w:r>
        <w:rPr>
          <w:rFonts w:hint="eastAsia"/>
          <w:lang w:val="en-US" w:eastAsia="zh-CN"/>
        </w:rPr>
        <w:t>*****@btch.edu.cn</w:t>
      </w:r>
    </w:p>
    <w:p>
      <w:pPr>
        <w:spacing w:line="360" w:lineRule="auto"/>
        <w:contextualSpacing/>
        <w:rPr>
          <w:rFonts w:cs="Times New Roman" w:asciiTheme="minorEastAsia" w:hAnsiTheme="minorEastAsia"/>
          <w:sz w:val="22"/>
        </w:rPr>
      </w:pPr>
    </w:p>
    <w:p>
      <w:pPr>
        <w:spacing w:line="360" w:lineRule="auto"/>
        <w:contextualSpacing/>
        <w:rPr>
          <w:rFonts w:hint="default" w:cs="Times New Roman" w:asciiTheme="minorEastAsia" w:hAnsiTheme="minorEastAsia" w:eastAsiaTheme="minorEastAsia"/>
          <w:b/>
          <w:bCs/>
          <w:sz w:val="22"/>
          <w:u w:val="single"/>
          <w:lang w:val="en-US" w:eastAsia="zh-CN"/>
        </w:rPr>
      </w:pPr>
      <w:r>
        <w:rPr>
          <w:rFonts w:hint="eastAsia" w:cs="Times New Roman" w:asciiTheme="minorEastAsia" w:hAnsiTheme="minorEastAsia"/>
          <w:b/>
          <w:bCs/>
          <w:sz w:val="22"/>
        </w:rPr>
        <w:t>受托方（乙方）：</w:t>
      </w:r>
      <w:r>
        <w:rPr>
          <w:rFonts w:hint="eastAsia" w:cs="Times New Roman" w:asciiTheme="minorEastAsia" w:hAnsiTheme="minorEastAsia"/>
          <w:b/>
          <w:bCs/>
          <w:sz w:val="22"/>
          <w:u w:val="single"/>
          <w:lang w:val="en-US" w:eastAsia="zh-CN"/>
        </w:rPr>
        <w:t xml:space="preserve">                              </w:t>
      </w:r>
    </w:p>
    <w:p>
      <w:pPr>
        <w:spacing w:line="360" w:lineRule="auto"/>
        <w:contextualSpacing/>
        <w:rPr>
          <w:rFonts w:cs="Times New Roman" w:asciiTheme="minorEastAsia" w:hAnsiTheme="minorEastAsia"/>
          <w:sz w:val="22"/>
          <w:u w:val="single"/>
        </w:rPr>
      </w:pPr>
      <w:r>
        <w:rPr>
          <w:rFonts w:hint="eastAsia" w:cs="Times New Roman" w:asciiTheme="minorEastAsia" w:hAnsiTheme="minorEastAsia"/>
          <w:sz w:val="22"/>
        </w:rPr>
        <w:t>住  所  地：</w:t>
      </w:r>
      <w:r>
        <w:rPr>
          <w:rFonts w:hint="eastAsia" w:cs="Times New Roman" w:asciiTheme="minorEastAsia" w:hAnsiTheme="minorEastAsia"/>
          <w:b/>
          <w:bCs/>
          <w:sz w:val="22"/>
          <w:u w:val="single"/>
          <w:lang w:val="en-US" w:eastAsia="zh-CN"/>
        </w:rPr>
        <w:t xml:space="preserve">                              </w:t>
      </w:r>
    </w:p>
    <w:p>
      <w:pPr>
        <w:spacing w:line="360" w:lineRule="auto"/>
        <w:contextualSpacing/>
        <w:rPr>
          <w:rFonts w:hint="default" w:cs="Times New Roman" w:asciiTheme="minorEastAsia" w:hAnsiTheme="minorEastAsia" w:eastAsiaTheme="minorEastAsia"/>
          <w:sz w:val="22"/>
          <w:u w:val="single"/>
          <w:lang w:val="en-US" w:eastAsia="zh-CN"/>
        </w:rPr>
      </w:pPr>
      <w:r>
        <w:rPr>
          <w:rFonts w:hint="eastAsia" w:cs="Times New Roman" w:asciiTheme="minorEastAsia" w:hAnsiTheme="minorEastAsia"/>
          <w:sz w:val="22"/>
        </w:rPr>
        <w:t>法定代表人：</w:t>
      </w:r>
      <w:r>
        <w:rPr>
          <w:rFonts w:hint="eastAsia" w:cs="Times New Roman" w:asciiTheme="minorEastAsia" w:hAnsiTheme="minorEastAsia"/>
          <w:sz w:val="22"/>
          <w:u w:val="single"/>
          <w:lang w:val="en-US" w:eastAsia="zh-CN"/>
        </w:rPr>
        <w:t xml:space="preserve">      </w:t>
      </w:r>
      <w:r>
        <w:rPr>
          <w:rFonts w:hint="eastAsia" w:cs="Times New Roman" w:asciiTheme="minorEastAsia" w:hAnsiTheme="minorEastAsia"/>
          <w:sz w:val="22"/>
        </w:rPr>
        <w:t xml:space="preserve">               项目联系人：</w:t>
      </w:r>
      <w:r>
        <w:rPr>
          <w:rFonts w:hint="eastAsia" w:cs="Times New Roman" w:asciiTheme="minorEastAsia" w:hAnsiTheme="minorEastAsia"/>
          <w:sz w:val="22"/>
          <w:u w:val="single"/>
          <w:lang w:val="en-US" w:eastAsia="zh-CN"/>
        </w:rPr>
        <w:t xml:space="preserve">      </w:t>
      </w:r>
    </w:p>
    <w:p>
      <w:pPr>
        <w:spacing w:line="360" w:lineRule="auto"/>
        <w:contextualSpacing/>
        <w:rPr>
          <w:rFonts w:hint="default" w:cs="Times New Roman" w:asciiTheme="minorEastAsia" w:hAnsiTheme="minorEastAsia"/>
          <w:sz w:val="22"/>
          <w:u w:val="single"/>
          <w:lang w:val="en-US"/>
        </w:rPr>
      </w:pPr>
      <w:r>
        <w:rPr>
          <w:rFonts w:hint="eastAsia" w:cs="Times New Roman" w:asciiTheme="minorEastAsia" w:hAnsiTheme="minorEastAsia"/>
          <w:sz w:val="22"/>
        </w:rPr>
        <w:t>通讯地址：</w:t>
      </w:r>
      <w:r>
        <w:rPr>
          <w:rFonts w:hint="eastAsia" w:cs="Times New Roman" w:asciiTheme="minorEastAsia" w:hAnsiTheme="minorEastAsia"/>
          <w:b/>
          <w:bCs/>
          <w:sz w:val="22"/>
          <w:u w:val="single"/>
          <w:lang w:val="en-US" w:eastAsia="zh-CN"/>
        </w:rPr>
        <w:t xml:space="preserve">                                    </w:t>
      </w:r>
    </w:p>
    <w:p>
      <w:pPr>
        <w:spacing w:line="360" w:lineRule="auto"/>
        <w:contextualSpacing/>
        <w:rPr>
          <w:rFonts w:hint="eastAsia" w:cs="Times New Roman" w:asciiTheme="minorEastAsia" w:hAnsiTheme="minorEastAsia" w:eastAsiaTheme="minorEastAsia"/>
          <w:sz w:val="22"/>
          <w:u w:val="single"/>
          <w:lang w:eastAsia="zh-CN"/>
        </w:rPr>
      </w:pPr>
      <w:r>
        <w:rPr>
          <w:rFonts w:hint="eastAsia" w:cs="Times New Roman" w:asciiTheme="minorEastAsia" w:hAnsiTheme="minorEastAsia"/>
          <w:sz w:val="22"/>
        </w:rPr>
        <w:t>电    话：         传    真：</w:t>
      </w:r>
      <w:r>
        <w:rPr>
          <w:rFonts w:hint="eastAsia" w:cs="Times New Roman" w:asciiTheme="minorEastAsia" w:hAnsiTheme="minorEastAsia"/>
          <w:sz w:val="22"/>
          <w:lang w:val="en-US" w:eastAsia="zh-CN"/>
        </w:rPr>
        <w:t xml:space="preserve"> </w:t>
      </w:r>
    </w:p>
    <w:p>
      <w:pPr>
        <w:spacing w:line="360" w:lineRule="auto"/>
        <w:contextualSpacing/>
        <w:rPr>
          <w:rFonts w:hint="eastAsia" w:cs="Times New Roman" w:asciiTheme="minorEastAsia" w:hAnsiTheme="minorEastAsia" w:eastAsiaTheme="minorEastAsia"/>
          <w:sz w:val="22"/>
          <w:lang w:eastAsia="zh-CN"/>
        </w:rPr>
      </w:pPr>
      <w:r>
        <w:rPr>
          <w:rFonts w:hint="eastAsia" w:cs="Times New Roman" w:asciiTheme="minorEastAsia" w:hAnsiTheme="minorEastAsia"/>
          <w:sz w:val="22"/>
        </w:rPr>
        <w:t>电子</w:t>
      </w:r>
      <w:r>
        <w:rPr>
          <w:rFonts w:hint="eastAsia" w:cs="Times New Roman" w:asciiTheme="minorEastAsia" w:hAnsiTheme="minorEastAsia"/>
          <w:sz w:val="22"/>
          <w:lang w:val="en-US" w:eastAsia="zh-CN"/>
        </w:rPr>
        <w:t>邮</w:t>
      </w:r>
      <w:r>
        <w:rPr>
          <w:rFonts w:hint="eastAsia" w:cs="Times New Roman" w:asciiTheme="minorEastAsia" w:hAnsiTheme="minorEastAsia"/>
          <w:sz w:val="22"/>
        </w:rPr>
        <w:t>箱：</w:t>
      </w:r>
      <w:r>
        <w:rPr>
          <w:rFonts w:hint="eastAsia"/>
          <w:lang w:val="en-US" w:eastAsia="zh-CN"/>
        </w:rPr>
        <w:t xml:space="preserve"> </w:t>
      </w:r>
    </w:p>
    <w:p>
      <w:pPr>
        <w:spacing w:line="360" w:lineRule="auto"/>
        <w:contextualSpacing/>
        <w:rPr>
          <w:rFonts w:cs="Times New Roman" w:asciiTheme="minorEastAsia" w:hAnsiTheme="minorEastAsia"/>
          <w:sz w:val="22"/>
          <w:u w:val="single"/>
        </w:rPr>
      </w:pPr>
    </w:p>
    <w:p>
      <w:pPr>
        <w:spacing w:line="360" w:lineRule="auto"/>
        <w:ind w:firstLine="480" w:firstLineChars="200"/>
        <w:contextualSpacing/>
        <w:jc w:val="left"/>
        <w:rPr>
          <w:rFonts w:cs="Times New Roman" w:asciiTheme="minorEastAsia" w:hAnsiTheme="minorEastAsia"/>
          <w:sz w:val="24"/>
          <w:szCs w:val="24"/>
        </w:rPr>
      </w:pPr>
      <w:r>
        <w:rPr>
          <w:rFonts w:hint="eastAsia" w:cs="Times New Roman" w:asciiTheme="minorEastAsia" w:hAnsiTheme="minorEastAsia"/>
          <w:sz w:val="24"/>
          <w:szCs w:val="24"/>
        </w:rPr>
        <w:t>本合同甲方委托乙方就“</w:t>
      </w:r>
      <w:r>
        <w:rPr>
          <w:rFonts w:hint="eastAsia" w:ascii="宋体" w:hAnsi="宋体" w:eastAsia="宋体" w:cs="宋体"/>
          <w:sz w:val="24"/>
          <w:szCs w:val="24"/>
        </w:rPr>
        <w:t>北京清华长庚医院202</w:t>
      </w:r>
      <w:r>
        <w:rPr>
          <w:rFonts w:hint="eastAsia" w:ascii="宋体" w:hAnsi="宋体" w:eastAsia="宋体" w:cs="宋体"/>
          <w:sz w:val="24"/>
          <w:szCs w:val="24"/>
          <w:lang w:val="en-US" w:eastAsia="zh-CN"/>
        </w:rPr>
        <w:t>6</w:t>
      </w:r>
      <w:r>
        <w:rPr>
          <w:rFonts w:hint="eastAsia" w:ascii="宋体" w:hAnsi="宋体" w:eastAsia="宋体" w:cs="宋体"/>
          <w:sz w:val="24"/>
          <w:szCs w:val="24"/>
        </w:rPr>
        <w:t>年度消防安全评估服务”项目开展工作，</w:t>
      </w:r>
      <w:r>
        <w:rPr>
          <w:rFonts w:hint="eastAsia" w:cs="Times New Roman" w:asciiTheme="minorEastAsia" w:hAnsiTheme="minorEastAsia"/>
          <w:sz w:val="24"/>
          <w:szCs w:val="24"/>
        </w:rPr>
        <w:t>并支付消防安全评估报酬。双方经过平等协商，在真实、充分地表达各自意愿的基础上，根据《中华人民共和国民法典》的规定，达成如下协议，并由双方共同恪守。</w:t>
      </w:r>
    </w:p>
    <w:p>
      <w:pPr>
        <w:spacing w:line="360" w:lineRule="auto"/>
        <w:ind w:firstLine="482" w:firstLineChars="200"/>
        <w:contextualSpacing/>
        <w:rPr>
          <w:rFonts w:cs="Times New Roman" w:asciiTheme="minorEastAsia" w:hAnsiTheme="minorEastAsia"/>
          <w:b/>
          <w:sz w:val="24"/>
          <w:szCs w:val="24"/>
        </w:rPr>
      </w:pPr>
      <w:r>
        <w:rPr>
          <w:rFonts w:hint="eastAsia" w:cs="Times New Roman" w:asciiTheme="minorEastAsia" w:hAnsiTheme="minorEastAsia"/>
          <w:b/>
          <w:sz w:val="24"/>
          <w:szCs w:val="24"/>
        </w:rPr>
        <w:t>第一条  乙方进行技术服务的内容、要求和方式：</w:t>
      </w:r>
    </w:p>
    <w:p>
      <w:pPr>
        <w:spacing w:line="360" w:lineRule="auto"/>
        <w:ind w:firstLine="480" w:firstLineChars="200"/>
        <w:contextualSpacing/>
        <w:jc w:val="left"/>
        <w:rPr>
          <w:rFonts w:cs="Times New Roman" w:asciiTheme="minorEastAsia" w:hAnsiTheme="minorEastAsia"/>
          <w:sz w:val="24"/>
          <w:szCs w:val="24"/>
          <w:u w:val="single"/>
        </w:rPr>
      </w:pPr>
      <w:r>
        <w:rPr>
          <w:rFonts w:hint="eastAsia" w:cs="Times New Roman" w:asciiTheme="minorEastAsia" w:hAnsiTheme="minorEastAsia"/>
          <w:sz w:val="24"/>
          <w:szCs w:val="24"/>
        </w:rPr>
        <w:t>1</w:t>
      </w:r>
      <w:r>
        <w:rPr>
          <w:rFonts w:cs="Times New Roman" w:asciiTheme="minorEastAsia" w:hAnsiTheme="minorEastAsia"/>
          <w:sz w:val="24"/>
          <w:szCs w:val="24"/>
        </w:rPr>
        <w:t>.</w:t>
      </w:r>
      <w:r>
        <w:rPr>
          <w:rFonts w:hint="eastAsia" w:cs="Times New Roman" w:asciiTheme="minorEastAsia" w:hAnsiTheme="minorEastAsia"/>
          <w:sz w:val="24"/>
          <w:szCs w:val="24"/>
        </w:rPr>
        <w:t>技术服务内容：</w:t>
      </w:r>
      <w:r>
        <w:rPr>
          <w:rFonts w:hint="eastAsia" w:ascii="宋体" w:hAnsi="宋体" w:eastAsia="宋体" w:cs="宋体"/>
          <w:sz w:val="24"/>
          <w:szCs w:val="24"/>
          <w:u w:val="single"/>
        </w:rPr>
        <w:t>为北京清华长庚医院开展消防安全评估服务。通过开展消防安全评估，查找出当前消防工作的薄弱环节，提出有针对性的对策和措施，进一步加强和规范消防安全管理，消除火灾隐患。并出具《北京清华长庚医院 20</w:t>
      </w:r>
      <w:r>
        <w:rPr>
          <w:rFonts w:hint="eastAsia" w:ascii="宋体" w:hAnsi="宋体" w:eastAsia="宋体" w:cs="宋体"/>
          <w:sz w:val="24"/>
          <w:szCs w:val="24"/>
          <w:u w:val="single"/>
          <w:lang w:val="en-US" w:eastAsia="zh-CN"/>
        </w:rPr>
        <w:t>26</w:t>
      </w:r>
      <w:r>
        <w:rPr>
          <w:rFonts w:hint="eastAsia" w:ascii="宋体" w:hAnsi="宋体" w:eastAsia="宋体" w:cs="宋体"/>
          <w:sz w:val="24"/>
          <w:szCs w:val="24"/>
          <w:u w:val="single"/>
        </w:rPr>
        <w:t>年度消防安全评估报告》</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组织专家论证</w:t>
      </w:r>
      <w:r>
        <w:rPr>
          <w:rFonts w:hint="eastAsia" w:ascii="宋体" w:hAnsi="宋体" w:eastAsia="宋体" w:cs="宋体"/>
          <w:sz w:val="24"/>
          <w:szCs w:val="24"/>
          <w:u w:val="single"/>
        </w:rPr>
        <w:t>。</w:t>
      </w:r>
    </w:p>
    <w:p>
      <w:pPr>
        <w:spacing w:line="360" w:lineRule="auto"/>
        <w:ind w:firstLine="480" w:firstLineChars="200"/>
        <w:contextualSpacing/>
        <w:jc w:val="left"/>
        <w:rPr>
          <w:rFonts w:cs="Times New Roman" w:asciiTheme="minorEastAsia" w:hAnsiTheme="minorEastAsia"/>
          <w:sz w:val="24"/>
          <w:szCs w:val="24"/>
          <w:u w:val="single"/>
        </w:rPr>
      </w:pPr>
      <w:r>
        <w:rPr>
          <w:rFonts w:hint="eastAsia" w:cs="Times New Roman" w:asciiTheme="minorEastAsia" w:hAnsiTheme="minorEastAsia"/>
          <w:sz w:val="24"/>
          <w:szCs w:val="24"/>
        </w:rPr>
        <w:t>2</w:t>
      </w:r>
      <w:r>
        <w:rPr>
          <w:rFonts w:cs="Times New Roman" w:asciiTheme="minorEastAsia" w:hAnsiTheme="minorEastAsia"/>
          <w:sz w:val="24"/>
          <w:szCs w:val="24"/>
        </w:rPr>
        <w:t>.</w:t>
      </w:r>
      <w:r>
        <w:rPr>
          <w:rFonts w:hint="eastAsia" w:cs="Times New Roman" w:asciiTheme="minorEastAsia" w:hAnsiTheme="minorEastAsia"/>
          <w:sz w:val="24"/>
          <w:szCs w:val="24"/>
        </w:rPr>
        <w:t>技术服务要求：（1）在本合同签订生效后20日内，根据甲方上级主管部门北京市医管中心下发的《关于推进市属医院消防安全评估工作的通知》要求，向甲方提交本项目评估方案一份，明确项目准备阶段、实施评估阶段、报告撰写阶段等各阶段的计划工作时限及成果产出等；（2）</w:t>
      </w:r>
      <w:r>
        <w:rPr>
          <w:rFonts w:hint="eastAsia" w:cs="Times New Roman" w:asciiTheme="minorEastAsia" w:hAnsiTheme="minorEastAsia"/>
          <w:sz w:val="24"/>
          <w:szCs w:val="24"/>
          <w:u w:val="single"/>
        </w:rPr>
        <w:t>依据国家和地方现行的消防法规和技术标准、规范的要求，乙方对甲方进行消防安全评估，通过对甲方的建筑防火、消防设施</w:t>
      </w:r>
      <w:r>
        <w:rPr>
          <w:rFonts w:hint="eastAsia" w:cs="Times New Roman" w:asciiTheme="minorEastAsia" w:hAnsiTheme="minorEastAsia"/>
          <w:sz w:val="24"/>
          <w:szCs w:val="24"/>
          <w:u w:val="single"/>
          <w:lang w:val="en-US" w:eastAsia="zh-CN"/>
        </w:rPr>
        <w:t>设备配置情况</w:t>
      </w:r>
      <w:r>
        <w:rPr>
          <w:rFonts w:hint="eastAsia" w:cs="Times New Roman" w:asciiTheme="minorEastAsia" w:hAnsiTheme="minorEastAsia"/>
          <w:sz w:val="24"/>
          <w:szCs w:val="24"/>
          <w:u w:val="single"/>
        </w:rPr>
        <w:t>和消防安全管理等方面进行检查，记录检查情况并列明消防安全问题、火灾隐患的整改意见和完善消防管理的措施，指导甲方制定火灾隐患整改方案，并按照评估标准向甲方提交</w:t>
      </w:r>
      <w:r>
        <w:rPr>
          <w:rFonts w:hint="eastAsia" w:ascii="宋体" w:hAnsi="宋体" w:eastAsia="宋体" w:cs="宋体"/>
          <w:sz w:val="24"/>
          <w:szCs w:val="24"/>
          <w:u w:val="single"/>
        </w:rPr>
        <w:t>《北京清华长庚医院 202</w:t>
      </w:r>
      <w:r>
        <w:rPr>
          <w:rFonts w:hint="eastAsia" w:ascii="宋体" w:hAnsi="宋体" w:eastAsia="宋体" w:cs="宋体"/>
          <w:sz w:val="24"/>
          <w:szCs w:val="24"/>
          <w:u w:val="single"/>
          <w:lang w:val="en-US" w:eastAsia="zh-CN"/>
        </w:rPr>
        <w:t>6</w:t>
      </w:r>
      <w:r>
        <w:rPr>
          <w:rFonts w:hint="eastAsia" w:ascii="宋体" w:hAnsi="宋体" w:eastAsia="宋体" w:cs="宋体"/>
          <w:sz w:val="24"/>
          <w:szCs w:val="24"/>
          <w:u w:val="single"/>
        </w:rPr>
        <w:t>年度消防安全评估报告》，该报告需经专家论证并按要求修改后通过甲方审核验收</w:t>
      </w:r>
      <w:r>
        <w:rPr>
          <w:rFonts w:hint="eastAsia" w:cs="Times New Roman" w:asciiTheme="minorEastAsia" w:hAnsiTheme="minorEastAsia"/>
          <w:sz w:val="24"/>
          <w:szCs w:val="24"/>
          <w:u w:val="single"/>
        </w:rPr>
        <w:t>。</w:t>
      </w:r>
    </w:p>
    <w:p>
      <w:pPr>
        <w:spacing w:line="360" w:lineRule="auto"/>
        <w:ind w:firstLine="480" w:firstLineChars="200"/>
        <w:contextualSpacing/>
        <w:jc w:val="left"/>
        <w:rPr>
          <w:rFonts w:cs="Times New Roman" w:asciiTheme="minorEastAsia" w:hAnsiTheme="minorEastAsia"/>
          <w:sz w:val="24"/>
          <w:szCs w:val="24"/>
        </w:rPr>
      </w:pPr>
      <w:r>
        <w:rPr>
          <w:rFonts w:hint="eastAsia" w:cs="Times New Roman" w:asciiTheme="minorEastAsia" w:hAnsiTheme="minorEastAsia"/>
          <w:sz w:val="24"/>
          <w:szCs w:val="24"/>
        </w:rPr>
        <w:t>3.技术服务方式：</w:t>
      </w:r>
      <w:r>
        <w:rPr>
          <w:rFonts w:hint="eastAsia" w:cs="Times New Roman" w:asciiTheme="minorEastAsia" w:hAnsiTheme="minorEastAsia"/>
          <w:sz w:val="24"/>
          <w:szCs w:val="24"/>
          <w:u w:val="single"/>
        </w:rPr>
        <w:t>乙方组织专家现场勘查，综合分析，编制形成消防安全评估报告，通过甲方审核后提交纸质报告一式三份，电子版1份</w:t>
      </w:r>
      <w:r>
        <w:rPr>
          <w:rFonts w:hint="eastAsia" w:cs="Times New Roman" w:asciiTheme="minorEastAsia" w:hAnsiTheme="minorEastAsia"/>
          <w:sz w:val="24"/>
          <w:szCs w:val="24"/>
          <w:u w:val="single"/>
          <w:lang w:eastAsia="zh-CN"/>
        </w:rPr>
        <w:t>（</w:t>
      </w:r>
      <w:r>
        <w:rPr>
          <w:rFonts w:hint="eastAsia" w:cs="Times New Roman" w:asciiTheme="minorEastAsia" w:hAnsiTheme="minorEastAsia"/>
          <w:sz w:val="24"/>
          <w:szCs w:val="24"/>
          <w:u w:val="single"/>
          <w:lang w:val="en-US" w:eastAsia="zh-CN"/>
        </w:rPr>
        <w:t>且纸质版和电子版一致</w:t>
      </w:r>
      <w:r>
        <w:rPr>
          <w:rFonts w:hint="eastAsia" w:cs="Times New Roman" w:asciiTheme="minorEastAsia" w:hAnsiTheme="minorEastAsia"/>
          <w:sz w:val="24"/>
          <w:szCs w:val="24"/>
          <w:u w:val="single"/>
          <w:lang w:eastAsia="zh-CN"/>
        </w:rPr>
        <w:t>），</w:t>
      </w:r>
      <w:r>
        <w:rPr>
          <w:rFonts w:hint="eastAsia" w:cs="Times New Roman" w:asciiTheme="minorEastAsia" w:hAnsiTheme="minorEastAsia"/>
          <w:sz w:val="24"/>
          <w:szCs w:val="24"/>
          <w:u w:val="single"/>
          <w:lang w:val="en-US" w:eastAsia="zh-CN"/>
        </w:rPr>
        <w:t>指定接收邮箱见合同首部记载</w:t>
      </w:r>
      <w:r>
        <w:rPr>
          <w:rFonts w:hint="eastAsia" w:cs="Times New Roman" w:asciiTheme="minorEastAsia" w:hAnsiTheme="minorEastAsia"/>
          <w:sz w:val="24"/>
          <w:szCs w:val="24"/>
          <w:u w:val="single"/>
        </w:rPr>
        <w:t>。</w:t>
      </w:r>
    </w:p>
    <w:p>
      <w:pPr>
        <w:spacing w:line="360" w:lineRule="auto"/>
        <w:ind w:firstLine="482" w:firstLineChars="200"/>
        <w:contextualSpacing/>
        <w:jc w:val="left"/>
        <w:rPr>
          <w:rFonts w:cs="Times New Roman" w:asciiTheme="minorEastAsia" w:hAnsiTheme="minorEastAsia"/>
          <w:sz w:val="24"/>
          <w:szCs w:val="24"/>
        </w:rPr>
      </w:pPr>
      <w:r>
        <w:rPr>
          <w:rFonts w:hint="eastAsia" w:cs="Times New Roman" w:asciiTheme="minorEastAsia" w:hAnsiTheme="minorEastAsia"/>
          <w:b/>
          <w:sz w:val="24"/>
          <w:szCs w:val="24"/>
        </w:rPr>
        <w:t>第二条  乙方应当按照下列要求进行本合同项目的技术服务工作</w:t>
      </w:r>
      <w:r>
        <w:rPr>
          <w:rFonts w:hint="eastAsia" w:cs="Times New Roman" w:asciiTheme="minorEastAsia" w:hAnsiTheme="minorEastAsia"/>
          <w:sz w:val="24"/>
          <w:szCs w:val="24"/>
        </w:rPr>
        <w:t>：</w:t>
      </w:r>
    </w:p>
    <w:p>
      <w:pPr>
        <w:widowControl/>
        <w:spacing w:line="360" w:lineRule="auto"/>
        <w:ind w:firstLine="480" w:firstLineChars="200"/>
        <w:jc w:val="left"/>
        <w:rPr>
          <w:rFonts w:cs="Times New Roman" w:asciiTheme="minorEastAsia" w:hAnsiTheme="minorEastAsia"/>
          <w:sz w:val="24"/>
          <w:szCs w:val="24"/>
          <w:u w:val="single"/>
        </w:rPr>
      </w:pPr>
      <w:r>
        <w:rPr>
          <w:rFonts w:hint="eastAsia" w:cs="Times New Roman" w:asciiTheme="minorEastAsia" w:hAnsiTheme="minorEastAsia"/>
          <w:sz w:val="24"/>
          <w:szCs w:val="24"/>
        </w:rPr>
        <w:t>1.技术服务进度：</w:t>
      </w:r>
      <w:r>
        <w:rPr>
          <w:rFonts w:hint="eastAsia" w:cs="Times New Roman" w:asciiTheme="minorEastAsia" w:hAnsiTheme="minorEastAsia"/>
          <w:sz w:val="24"/>
          <w:szCs w:val="24"/>
          <w:u w:val="single"/>
        </w:rPr>
        <w:t>与本项目工作进度及甲方要求相适应。包括但不限于：</w:t>
      </w:r>
      <w:r>
        <w:rPr>
          <w:rFonts w:hint="eastAsia" w:ascii="宋体" w:hAnsi="宋体" w:eastAsia="宋体" w:cs="宋体"/>
          <w:sz w:val="24"/>
          <w:szCs w:val="24"/>
          <w:u w:val="single"/>
        </w:rPr>
        <w:t>乙方须于双方签定合同后3日内，按</w:t>
      </w:r>
      <w:r>
        <w:rPr>
          <w:rFonts w:hint="eastAsia" w:cs="Times New Roman" w:asciiTheme="minorEastAsia" w:hAnsiTheme="minorEastAsia"/>
          <w:sz w:val="24"/>
          <w:szCs w:val="24"/>
          <w:u w:val="single"/>
        </w:rPr>
        <w:t>项目评估方案和</w:t>
      </w:r>
      <w:r>
        <w:rPr>
          <w:rFonts w:hint="eastAsia" w:ascii="宋体" w:hAnsi="宋体" w:eastAsia="宋体" w:cs="宋体"/>
          <w:sz w:val="24"/>
          <w:szCs w:val="24"/>
          <w:u w:val="single"/>
        </w:rPr>
        <w:t>《项目推进计划表》推进各环节工作进度，并结合项目实际情况及现场进度进行调整。</w:t>
      </w:r>
    </w:p>
    <w:p>
      <w:pPr>
        <w:spacing w:line="360" w:lineRule="auto"/>
        <w:ind w:firstLine="480" w:firstLineChars="20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2.技术服务阶段：</w:t>
      </w:r>
      <w:r>
        <w:rPr>
          <w:rFonts w:cs="Times New Roman" w:asciiTheme="minorEastAsia" w:hAnsiTheme="minorEastAsia"/>
          <w:sz w:val="24"/>
          <w:szCs w:val="24"/>
          <w:u w:val="single"/>
        </w:rPr>
        <w:t>准备阶段</w:t>
      </w:r>
      <w:r>
        <w:rPr>
          <w:rFonts w:hint="eastAsia" w:cs="Times New Roman" w:asciiTheme="minorEastAsia" w:hAnsiTheme="minorEastAsia"/>
          <w:sz w:val="24"/>
          <w:szCs w:val="24"/>
          <w:u w:val="single"/>
        </w:rPr>
        <w:t>、实施评估</w:t>
      </w:r>
      <w:r>
        <w:rPr>
          <w:rFonts w:cs="Times New Roman" w:asciiTheme="minorEastAsia" w:hAnsiTheme="minorEastAsia"/>
          <w:sz w:val="24"/>
          <w:szCs w:val="24"/>
          <w:u w:val="single"/>
        </w:rPr>
        <w:t>阶段</w:t>
      </w:r>
      <w:r>
        <w:rPr>
          <w:rFonts w:hint="eastAsia" w:cs="Times New Roman" w:asciiTheme="minorEastAsia" w:hAnsiTheme="minorEastAsia"/>
          <w:sz w:val="24"/>
          <w:szCs w:val="24"/>
          <w:u w:val="single"/>
        </w:rPr>
        <w:t>、报告撰写阶段</w:t>
      </w:r>
      <w:r>
        <w:rPr>
          <w:rFonts w:hint="eastAsia" w:asciiTheme="minorEastAsia" w:hAnsiTheme="minorEastAsia"/>
          <w:sz w:val="24"/>
          <w:szCs w:val="24"/>
          <w:u w:val="single"/>
        </w:rPr>
        <w:t>、报告交付阶段</w:t>
      </w:r>
      <w:r>
        <w:rPr>
          <w:rFonts w:hint="eastAsia" w:cs="Times New Roman" w:asciiTheme="minorEastAsia" w:hAnsiTheme="minorEastAsia"/>
          <w:sz w:val="24"/>
          <w:szCs w:val="24"/>
          <w:u w:val="single"/>
        </w:rPr>
        <w:t>。</w:t>
      </w:r>
    </w:p>
    <w:p>
      <w:pPr>
        <w:widowControl/>
        <w:spacing w:line="360" w:lineRule="auto"/>
        <w:ind w:firstLine="480" w:firstLineChars="200"/>
        <w:contextualSpacing/>
        <w:jc w:val="left"/>
        <w:outlineLvl w:val="0"/>
        <w:rPr>
          <w:rFonts w:ascii="宋体" w:hAnsi="宋体" w:eastAsia="宋体" w:cs="宋体"/>
          <w:sz w:val="24"/>
          <w:szCs w:val="24"/>
          <w:u w:val="single"/>
        </w:rPr>
      </w:pPr>
      <w:r>
        <w:rPr>
          <w:rFonts w:hint="eastAsia" w:cs="Times New Roman" w:asciiTheme="minorEastAsia" w:hAnsiTheme="minorEastAsia"/>
          <w:sz w:val="24"/>
          <w:szCs w:val="24"/>
        </w:rPr>
        <w:t>3.技术服务期限：</w:t>
      </w:r>
      <w:r>
        <w:rPr>
          <w:rFonts w:hint="eastAsia" w:cs="Times New Roman" w:asciiTheme="minorEastAsia" w:hAnsiTheme="minorEastAsia"/>
          <w:sz w:val="24"/>
          <w:szCs w:val="24"/>
          <w:u w:val="single"/>
        </w:rPr>
        <w:t>2</w:t>
      </w:r>
      <w:r>
        <w:rPr>
          <w:rFonts w:cs="Times New Roman" w:asciiTheme="minorEastAsia" w:hAnsiTheme="minorEastAsia"/>
          <w:sz w:val="24"/>
          <w:szCs w:val="24"/>
          <w:u w:val="single"/>
        </w:rPr>
        <w:t>02</w:t>
      </w:r>
      <w:r>
        <w:rPr>
          <w:rFonts w:hint="eastAsia" w:cs="Times New Roman" w:asciiTheme="minorEastAsia" w:hAnsiTheme="minorEastAsia"/>
          <w:sz w:val="24"/>
          <w:szCs w:val="24"/>
          <w:u w:val="single"/>
          <w:lang w:val="en-US" w:eastAsia="zh-CN"/>
        </w:rPr>
        <w:t>6</w:t>
      </w:r>
      <w:r>
        <w:rPr>
          <w:rFonts w:hint="eastAsia" w:cs="Times New Roman" w:asciiTheme="minorEastAsia" w:hAnsiTheme="minorEastAsia"/>
          <w:sz w:val="24"/>
          <w:szCs w:val="24"/>
          <w:u w:val="single"/>
        </w:rPr>
        <w:t>年</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u w:val="single"/>
        </w:rPr>
        <w:t>月</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u w:val="single"/>
        </w:rPr>
        <w:t>日前完成。服务期满，若委托工作尚未全部完成，甲方同意延期的，乙方应当继续完成服务工作直至最终成果验收合格。</w:t>
      </w:r>
    </w:p>
    <w:p>
      <w:pPr>
        <w:widowControl/>
        <w:spacing w:line="360" w:lineRule="auto"/>
        <w:ind w:firstLine="482" w:firstLineChars="200"/>
        <w:jc w:val="center"/>
        <w:rPr>
          <w:rFonts w:ascii="宋体" w:hAnsi="宋体" w:eastAsia="宋体" w:cs="宋体"/>
          <w:b/>
          <w:bCs/>
          <w:sz w:val="24"/>
          <w:szCs w:val="24"/>
        </w:rPr>
      </w:pPr>
      <w:r>
        <w:rPr>
          <w:rFonts w:hint="eastAsia" w:ascii="宋体" w:hAnsi="宋体" w:eastAsia="宋体" w:cs="宋体"/>
          <w:b/>
          <w:bCs/>
          <w:sz w:val="24"/>
          <w:szCs w:val="24"/>
        </w:rPr>
        <w:t>项目推进计划表</w:t>
      </w:r>
    </w:p>
    <w:tbl>
      <w:tblPr>
        <w:tblStyle w:val="33"/>
        <w:tblW w:w="50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5"/>
        <w:gridCol w:w="1384"/>
        <w:gridCol w:w="5780"/>
        <w:gridCol w:w="7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tblHeader/>
          <w:jc w:val="center"/>
        </w:trPr>
        <w:tc>
          <w:tcPr>
            <w:tcW w:w="420" w:type="pct"/>
            <w:vAlign w:val="center"/>
          </w:tcPr>
          <w:p>
            <w:pPr>
              <w:snapToGrid w:val="0"/>
              <w:jc w:val="center"/>
              <w:rPr>
                <w:rFonts w:ascii="宋体" w:hAnsi="宋体" w:eastAsia="宋体" w:cs="宋体"/>
                <w:bCs/>
                <w:kern w:val="0"/>
                <w:sz w:val="24"/>
                <w:szCs w:val="24"/>
              </w:rPr>
            </w:pPr>
            <w:r>
              <w:rPr>
                <w:rFonts w:hint="eastAsia" w:ascii="宋体" w:hAnsi="宋体" w:eastAsia="宋体" w:cs="宋体"/>
                <w:bCs/>
                <w:kern w:val="0"/>
                <w:sz w:val="24"/>
                <w:szCs w:val="24"/>
              </w:rPr>
              <w:t>序号</w:t>
            </w:r>
          </w:p>
        </w:tc>
        <w:tc>
          <w:tcPr>
            <w:tcW w:w="802" w:type="pct"/>
            <w:vAlign w:val="center"/>
          </w:tcPr>
          <w:p>
            <w:pPr>
              <w:snapToGrid w:val="0"/>
              <w:jc w:val="center"/>
              <w:rPr>
                <w:rFonts w:ascii="宋体" w:hAnsi="宋体" w:eastAsia="宋体" w:cs="宋体"/>
                <w:bCs/>
                <w:kern w:val="0"/>
                <w:sz w:val="24"/>
                <w:szCs w:val="24"/>
              </w:rPr>
            </w:pPr>
            <w:r>
              <w:rPr>
                <w:rFonts w:hint="eastAsia" w:ascii="宋体" w:hAnsi="宋体" w:eastAsia="宋体" w:cs="宋体"/>
                <w:bCs/>
                <w:kern w:val="0"/>
                <w:sz w:val="24"/>
                <w:szCs w:val="24"/>
              </w:rPr>
              <w:t>工作阶段</w:t>
            </w:r>
          </w:p>
        </w:tc>
        <w:tc>
          <w:tcPr>
            <w:tcW w:w="3348" w:type="pct"/>
            <w:vAlign w:val="center"/>
          </w:tcPr>
          <w:p>
            <w:pPr>
              <w:snapToGrid w:val="0"/>
              <w:jc w:val="center"/>
              <w:rPr>
                <w:rFonts w:ascii="宋体" w:hAnsi="宋体" w:eastAsia="宋体" w:cs="宋体"/>
                <w:bCs/>
                <w:kern w:val="0"/>
                <w:sz w:val="24"/>
                <w:szCs w:val="24"/>
              </w:rPr>
            </w:pPr>
            <w:r>
              <w:rPr>
                <w:rFonts w:hint="eastAsia" w:ascii="宋体" w:hAnsi="宋体" w:eastAsia="宋体" w:cs="宋体"/>
                <w:bCs/>
                <w:kern w:val="0"/>
                <w:sz w:val="24"/>
                <w:szCs w:val="24"/>
              </w:rPr>
              <w:t>工作内容</w:t>
            </w:r>
          </w:p>
        </w:tc>
        <w:tc>
          <w:tcPr>
            <w:tcW w:w="428" w:type="pct"/>
            <w:vAlign w:val="center"/>
          </w:tcPr>
          <w:p>
            <w:pPr>
              <w:snapToGrid w:val="0"/>
              <w:jc w:val="center"/>
              <w:rPr>
                <w:rFonts w:ascii="宋体" w:hAnsi="宋体" w:eastAsia="宋体" w:cs="宋体"/>
                <w:bCs/>
                <w:kern w:val="0"/>
                <w:sz w:val="24"/>
                <w:szCs w:val="24"/>
              </w:rPr>
            </w:pPr>
            <w:r>
              <w:rPr>
                <w:rFonts w:hint="eastAsia" w:ascii="宋体" w:hAnsi="宋体" w:eastAsia="宋体" w:cs="宋体"/>
                <w:bCs/>
                <w:kern w:val="0"/>
                <w:sz w:val="24"/>
                <w:szCs w:val="24"/>
              </w:rPr>
              <w:t>计划工期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1</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前期准备</w:t>
            </w:r>
          </w:p>
          <w:p>
            <w:pPr>
              <w:snapToGrid w:val="0"/>
              <w:jc w:val="center"/>
              <w:rPr>
                <w:rFonts w:ascii="宋体" w:hAnsi="宋体" w:eastAsia="宋体" w:cs="宋体"/>
                <w:sz w:val="24"/>
                <w:szCs w:val="24"/>
              </w:rPr>
            </w:pPr>
            <w:r>
              <w:rPr>
                <w:rFonts w:hint="eastAsia" w:ascii="宋体" w:hAnsi="宋体" w:eastAsia="宋体" w:cs="宋体"/>
                <w:sz w:val="24"/>
                <w:szCs w:val="24"/>
              </w:rPr>
              <w:t>阶段</w:t>
            </w:r>
          </w:p>
        </w:tc>
        <w:tc>
          <w:tcPr>
            <w:tcW w:w="3348" w:type="pct"/>
            <w:vAlign w:val="center"/>
          </w:tcPr>
          <w:p>
            <w:pPr>
              <w:snapToGrid w:val="0"/>
              <w:jc w:val="left"/>
              <w:rPr>
                <w:rFonts w:ascii="宋体" w:hAnsi="宋体" w:eastAsia="宋体" w:cs="宋体"/>
                <w:sz w:val="24"/>
                <w:szCs w:val="24"/>
              </w:rPr>
            </w:pPr>
            <w:r>
              <w:rPr>
                <w:rFonts w:hint="eastAsia" w:ascii="宋体" w:hAnsi="宋体" w:eastAsia="宋体" w:cs="宋体"/>
                <w:sz w:val="24"/>
                <w:szCs w:val="24"/>
              </w:rPr>
              <w:t>1）收集准备相关法律法规、标准规范</w:t>
            </w:r>
          </w:p>
          <w:p>
            <w:pPr>
              <w:snapToGrid w:val="0"/>
              <w:jc w:val="left"/>
              <w:rPr>
                <w:rFonts w:ascii="宋体" w:hAnsi="宋体" w:eastAsia="宋体" w:cs="宋体"/>
                <w:sz w:val="24"/>
                <w:szCs w:val="24"/>
              </w:rPr>
            </w:pPr>
            <w:r>
              <w:rPr>
                <w:rFonts w:hint="eastAsia" w:ascii="宋体" w:hAnsi="宋体" w:eastAsia="宋体" w:cs="宋体"/>
                <w:sz w:val="24"/>
                <w:szCs w:val="24"/>
              </w:rPr>
              <w:t>2）收集消防有关资料</w:t>
            </w:r>
          </w:p>
          <w:p>
            <w:pPr>
              <w:snapToGrid w:val="0"/>
              <w:jc w:val="left"/>
              <w:rPr>
                <w:rFonts w:ascii="宋体" w:hAnsi="宋体" w:eastAsia="宋体" w:cs="宋体"/>
                <w:sz w:val="24"/>
                <w:szCs w:val="24"/>
              </w:rPr>
            </w:pPr>
            <w:r>
              <w:rPr>
                <w:rFonts w:hint="eastAsia" w:ascii="宋体" w:hAnsi="宋体" w:eastAsia="宋体" w:cs="宋体"/>
                <w:sz w:val="24"/>
                <w:szCs w:val="24"/>
              </w:rPr>
              <w:t>3）编制和准备现场评估用的检查表、调查问卷、消防设施功能测试表</w:t>
            </w:r>
          </w:p>
          <w:p>
            <w:pPr>
              <w:snapToGrid w:val="0"/>
              <w:jc w:val="left"/>
              <w:rPr>
                <w:rFonts w:ascii="宋体" w:hAnsi="宋体" w:eastAsia="宋体" w:cs="宋体"/>
                <w:sz w:val="24"/>
                <w:szCs w:val="24"/>
              </w:rPr>
            </w:pPr>
            <w:r>
              <w:rPr>
                <w:rFonts w:hint="eastAsia" w:ascii="宋体" w:hAnsi="宋体" w:eastAsia="宋体" w:cs="宋体"/>
                <w:sz w:val="24"/>
                <w:szCs w:val="24"/>
              </w:rPr>
              <w:t>4）准备现场使用的仪器、仪表，进行全面检查并校准</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9"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2</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前期现场调研</w:t>
            </w:r>
          </w:p>
        </w:tc>
        <w:tc>
          <w:tcPr>
            <w:tcW w:w="3348" w:type="pct"/>
            <w:vAlign w:val="center"/>
          </w:tcPr>
          <w:p>
            <w:pPr>
              <w:pStyle w:val="55"/>
              <w:autoSpaceDE/>
              <w:autoSpaceDN/>
              <w:adjustRightInd/>
              <w:snapToGrid w:val="0"/>
              <w:rPr>
                <w:rFonts w:hAnsi="宋体" w:eastAsia="宋体"/>
              </w:rPr>
            </w:pPr>
            <w:r>
              <w:rPr>
                <w:rFonts w:hint="eastAsia" w:hAnsi="宋体" w:eastAsia="宋体"/>
              </w:rPr>
              <w:t>调研项目的实际情况，如建筑、消防设施、消防安全管理、市属医院特定场所消防安全管理要点（试行）涉及到的场所等</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3</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制定消防安全评估工作方案</w:t>
            </w:r>
          </w:p>
        </w:tc>
        <w:tc>
          <w:tcPr>
            <w:tcW w:w="3348" w:type="pct"/>
            <w:vAlign w:val="center"/>
          </w:tcPr>
          <w:p>
            <w:pPr>
              <w:pStyle w:val="55"/>
              <w:autoSpaceDE/>
              <w:autoSpaceDN/>
              <w:adjustRightInd/>
              <w:snapToGrid w:val="0"/>
              <w:rPr>
                <w:rFonts w:hAnsi="宋体" w:eastAsia="宋体"/>
              </w:rPr>
            </w:pPr>
            <w:r>
              <w:rPr>
                <w:rFonts w:hint="eastAsia" w:hAnsi="宋体" w:eastAsia="宋体"/>
              </w:rPr>
              <w:t>根据现场实际情况，结合北京市医管中心和主管部门要求，制定消防安全评估工作方案</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9"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4</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组织专家对消防安全评估工作方案进行论证</w:t>
            </w:r>
          </w:p>
        </w:tc>
        <w:tc>
          <w:tcPr>
            <w:tcW w:w="3348" w:type="pct"/>
            <w:vAlign w:val="center"/>
          </w:tcPr>
          <w:p>
            <w:pPr>
              <w:pStyle w:val="55"/>
              <w:autoSpaceDE/>
              <w:autoSpaceDN/>
              <w:adjustRightInd/>
              <w:snapToGrid w:val="0"/>
              <w:rPr>
                <w:rFonts w:hAnsi="宋体" w:eastAsia="宋体"/>
              </w:rPr>
            </w:pPr>
            <w:r>
              <w:rPr>
                <w:rFonts w:hint="eastAsia" w:hAnsi="宋体" w:eastAsia="宋体"/>
              </w:rPr>
              <w:t>根据《北京市医院管理中心关于推进市属医院消防安全评估工作的通知》，组织专家对消防安全评估工作方案进行论证以及消防安全评估工作方案修改</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5</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现场勘察</w:t>
            </w:r>
          </w:p>
        </w:tc>
        <w:tc>
          <w:tcPr>
            <w:tcW w:w="3348" w:type="pct"/>
            <w:vAlign w:val="center"/>
          </w:tcPr>
          <w:p>
            <w:pPr>
              <w:snapToGrid w:val="0"/>
              <w:jc w:val="left"/>
              <w:rPr>
                <w:rFonts w:ascii="宋体" w:hAnsi="宋体" w:eastAsia="宋体" w:cs="宋体"/>
                <w:sz w:val="24"/>
                <w:szCs w:val="24"/>
              </w:rPr>
            </w:pPr>
            <w:r>
              <w:rPr>
                <w:rFonts w:hint="eastAsia" w:ascii="宋体" w:hAnsi="宋体" w:eastAsia="宋体" w:cs="宋体"/>
                <w:sz w:val="24"/>
                <w:szCs w:val="24"/>
              </w:rPr>
              <w:t>1）建筑防火查评</w:t>
            </w:r>
          </w:p>
          <w:p>
            <w:pPr>
              <w:pStyle w:val="55"/>
              <w:autoSpaceDE/>
              <w:autoSpaceDN/>
              <w:adjustRightInd/>
              <w:snapToGrid w:val="0"/>
              <w:rPr>
                <w:rFonts w:hAnsi="宋体" w:eastAsia="宋体"/>
              </w:rPr>
            </w:pPr>
            <w:r>
              <w:rPr>
                <w:rFonts w:hint="eastAsia" w:hAnsi="宋体" w:eastAsia="宋体"/>
              </w:rPr>
              <w:t>2）消防设备设施查评</w:t>
            </w:r>
          </w:p>
          <w:p>
            <w:pPr>
              <w:pStyle w:val="55"/>
              <w:autoSpaceDE/>
              <w:autoSpaceDN/>
              <w:adjustRightInd/>
              <w:snapToGrid w:val="0"/>
              <w:rPr>
                <w:rFonts w:hAnsi="宋体" w:eastAsia="宋体"/>
              </w:rPr>
            </w:pPr>
            <w:r>
              <w:rPr>
                <w:rFonts w:hint="eastAsia" w:hAnsi="宋体" w:eastAsia="宋体"/>
              </w:rPr>
              <w:t>3）消防安全管理查评</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6</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报告编制阶段</w:t>
            </w:r>
          </w:p>
        </w:tc>
        <w:tc>
          <w:tcPr>
            <w:tcW w:w="3348" w:type="pct"/>
            <w:vAlign w:val="center"/>
          </w:tcPr>
          <w:p>
            <w:pPr>
              <w:snapToGrid w:val="0"/>
              <w:jc w:val="left"/>
              <w:rPr>
                <w:rFonts w:ascii="宋体" w:hAnsi="宋体" w:eastAsia="宋体" w:cs="宋体"/>
                <w:sz w:val="24"/>
                <w:szCs w:val="24"/>
              </w:rPr>
            </w:pPr>
            <w:r>
              <w:rPr>
                <w:rFonts w:hint="eastAsia" w:ascii="宋体" w:hAnsi="宋体" w:eastAsia="宋体" w:cs="宋体"/>
                <w:sz w:val="24"/>
                <w:szCs w:val="24"/>
              </w:rPr>
              <w:t>1）隐患问题梳理</w:t>
            </w:r>
          </w:p>
          <w:p>
            <w:pPr>
              <w:snapToGrid w:val="0"/>
              <w:jc w:val="left"/>
              <w:rPr>
                <w:rFonts w:ascii="宋体" w:hAnsi="宋体" w:eastAsia="宋体" w:cs="宋体"/>
                <w:sz w:val="24"/>
                <w:szCs w:val="24"/>
              </w:rPr>
            </w:pPr>
            <w:r>
              <w:rPr>
                <w:rFonts w:hint="eastAsia" w:ascii="宋体" w:hAnsi="宋体" w:eastAsia="宋体" w:cs="宋体"/>
                <w:sz w:val="24"/>
                <w:szCs w:val="24"/>
              </w:rPr>
              <w:t>2）定性、定量评估</w:t>
            </w:r>
          </w:p>
          <w:p>
            <w:pPr>
              <w:snapToGrid w:val="0"/>
              <w:jc w:val="left"/>
              <w:rPr>
                <w:rFonts w:ascii="宋体" w:hAnsi="宋体" w:eastAsia="宋体" w:cs="宋体"/>
                <w:sz w:val="24"/>
                <w:szCs w:val="24"/>
              </w:rPr>
            </w:pPr>
            <w:r>
              <w:rPr>
                <w:rFonts w:hint="eastAsia" w:ascii="宋体" w:hAnsi="宋体" w:eastAsia="宋体" w:cs="宋体"/>
                <w:sz w:val="24"/>
                <w:szCs w:val="24"/>
              </w:rPr>
              <w:t>3）编制《消防安全评估报告》</w:t>
            </w:r>
          </w:p>
          <w:p>
            <w:pPr>
              <w:pStyle w:val="55"/>
              <w:autoSpaceDE/>
              <w:autoSpaceDN/>
              <w:adjustRightInd/>
              <w:snapToGrid w:val="0"/>
              <w:rPr>
                <w:rFonts w:hAnsi="宋体" w:eastAsia="宋体"/>
                <w:color w:val="auto"/>
              </w:rPr>
            </w:pPr>
            <w:r>
              <w:rPr>
                <w:rFonts w:hint="eastAsia" w:hAnsi="宋体" w:eastAsia="宋体"/>
                <w:color w:val="auto"/>
              </w:rPr>
              <w:t>4）经过公司内部三审体系进行审核及修改</w:t>
            </w:r>
          </w:p>
          <w:p>
            <w:pPr>
              <w:pStyle w:val="55"/>
              <w:autoSpaceDE/>
              <w:autoSpaceDN/>
              <w:adjustRightInd/>
              <w:snapToGrid w:val="0"/>
              <w:rPr>
                <w:rFonts w:hAnsi="宋体" w:eastAsia="宋体"/>
              </w:rPr>
            </w:pPr>
            <w:r>
              <w:rPr>
                <w:rFonts w:hint="eastAsia" w:hAnsi="宋体" w:eastAsia="宋体"/>
                <w:color w:val="auto"/>
              </w:rPr>
              <w:t>5）《报告》报送委托单位征求意见</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0" w:type="pct"/>
            <w:vAlign w:val="center"/>
          </w:tcPr>
          <w:p>
            <w:pPr>
              <w:snapToGrid w:val="0"/>
              <w:jc w:val="center"/>
              <w:rPr>
                <w:rFonts w:ascii="宋体" w:hAnsi="宋体" w:eastAsia="宋体"/>
                <w:sz w:val="24"/>
              </w:rPr>
            </w:pPr>
            <w:r>
              <w:rPr>
                <w:rFonts w:hint="eastAsia" w:ascii="宋体" w:hAnsi="宋体" w:eastAsia="宋体" w:cs="宋体"/>
                <w:sz w:val="24"/>
                <w:szCs w:val="24"/>
              </w:rPr>
              <w:t>7</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组织专家对消防安全评估报告进行论证</w:t>
            </w:r>
          </w:p>
        </w:tc>
        <w:tc>
          <w:tcPr>
            <w:tcW w:w="3348" w:type="pct"/>
            <w:vAlign w:val="center"/>
          </w:tcPr>
          <w:p>
            <w:pPr>
              <w:pStyle w:val="55"/>
              <w:autoSpaceDE/>
              <w:autoSpaceDN/>
              <w:adjustRightInd/>
              <w:snapToGrid w:val="0"/>
              <w:rPr>
                <w:rFonts w:hAnsi="宋体" w:eastAsia="宋体"/>
                <w:color w:val="auto"/>
              </w:rPr>
            </w:pPr>
            <w:r>
              <w:rPr>
                <w:rFonts w:hint="eastAsia" w:hAnsi="宋体" w:eastAsia="宋体"/>
              </w:rPr>
              <w:t>根据《北京市医院管理中心关于推进市属医院消防安全评估工作的通知》，组织专家对消防安全评估报告进行论证</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8</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报告修改阶段</w:t>
            </w:r>
          </w:p>
        </w:tc>
        <w:tc>
          <w:tcPr>
            <w:tcW w:w="3348" w:type="pct"/>
            <w:vAlign w:val="center"/>
          </w:tcPr>
          <w:p>
            <w:pPr>
              <w:pStyle w:val="55"/>
              <w:autoSpaceDE/>
              <w:autoSpaceDN/>
              <w:adjustRightInd/>
              <w:snapToGrid w:val="0"/>
              <w:rPr>
                <w:rFonts w:hAnsi="宋体" w:eastAsia="宋体"/>
              </w:rPr>
            </w:pPr>
            <w:r>
              <w:rPr>
                <w:rFonts w:hint="eastAsia" w:hAnsi="宋体" w:eastAsia="宋体"/>
              </w:rPr>
              <w:t>按专家意见修改消防安全评估报告</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420"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9</w:t>
            </w:r>
          </w:p>
        </w:tc>
        <w:tc>
          <w:tcPr>
            <w:tcW w:w="802" w:type="pct"/>
            <w:vAlign w:val="center"/>
          </w:tcPr>
          <w:p>
            <w:pPr>
              <w:snapToGrid w:val="0"/>
              <w:jc w:val="center"/>
              <w:rPr>
                <w:rFonts w:ascii="宋体" w:hAnsi="宋体" w:eastAsia="宋体" w:cs="宋体"/>
                <w:sz w:val="24"/>
                <w:szCs w:val="24"/>
              </w:rPr>
            </w:pPr>
            <w:r>
              <w:rPr>
                <w:rFonts w:hint="eastAsia" w:ascii="宋体" w:hAnsi="宋体" w:eastAsia="宋体" w:cs="宋体"/>
                <w:sz w:val="24"/>
                <w:szCs w:val="24"/>
              </w:rPr>
              <w:t>提交评估报告</w:t>
            </w:r>
          </w:p>
        </w:tc>
        <w:tc>
          <w:tcPr>
            <w:tcW w:w="3348" w:type="pct"/>
            <w:vAlign w:val="center"/>
          </w:tcPr>
          <w:p>
            <w:pPr>
              <w:pStyle w:val="55"/>
              <w:autoSpaceDE/>
              <w:autoSpaceDN/>
              <w:adjustRightInd/>
              <w:snapToGrid w:val="0"/>
              <w:rPr>
                <w:rFonts w:hAnsi="宋体" w:eastAsia="宋体"/>
                <w:color w:val="auto"/>
              </w:rPr>
            </w:pPr>
            <w:r>
              <w:rPr>
                <w:rFonts w:hint="eastAsia" w:hAnsi="宋体" w:eastAsia="宋体"/>
                <w:color w:val="auto"/>
              </w:rPr>
              <w:t>1）印制消防安全评估报告</w:t>
            </w:r>
          </w:p>
          <w:p>
            <w:pPr>
              <w:pStyle w:val="55"/>
              <w:autoSpaceDE/>
              <w:autoSpaceDN/>
              <w:adjustRightInd/>
              <w:snapToGrid w:val="0"/>
              <w:rPr>
                <w:rFonts w:hAnsi="宋体" w:eastAsia="宋体"/>
                <w:color w:val="auto"/>
              </w:rPr>
            </w:pPr>
            <w:r>
              <w:rPr>
                <w:rFonts w:hint="eastAsia" w:hAnsi="宋体" w:eastAsia="宋体"/>
                <w:color w:val="auto"/>
              </w:rPr>
              <w:t>2) 评估报告交送委托单位</w:t>
            </w:r>
          </w:p>
        </w:tc>
        <w:tc>
          <w:tcPr>
            <w:tcW w:w="428" w:type="pct"/>
            <w:vAlign w:val="center"/>
          </w:tcPr>
          <w:p>
            <w:pPr>
              <w:snapToGrid w:val="0"/>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4571" w:type="pct"/>
            <w:gridSpan w:val="3"/>
            <w:tcBorders>
              <w:right w:val="single" w:color="auto" w:sz="4" w:space="0"/>
            </w:tcBorders>
            <w:vAlign w:val="center"/>
          </w:tcPr>
          <w:p>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428" w:type="pct"/>
            <w:tcBorders>
              <w:left w:val="single" w:color="auto" w:sz="4" w:space="0"/>
            </w:tcBorders>
            <w:vAlign w:val="center"/>
          </w:tcPr>
          <w:p>
            <w:pPr>
              <w:snapToGrid w:val="0"/>
              <w:jc w:val="center"/>
              <w:rPr>
                <w:rFonts w:hint="default" w:ascii="宋体" w:hAnsi="宋体" w:eastAsia="宋体" w:cs="宋体"/>
                <w:sz w:val="24"/>
                <w:szCs w:val="24"/>
                <w:lang w:val="en-US" w:eastAsia="zh-CN"/>
              </w:rPr>
            </w:pPr>
          </w:p>
        </w:tc>
      </w:tr>
    </w:tbl>
    <w:p>
      <w:pPr>
        <w:spacing w:line="360" w:lineRule="auto"/>
        <w:ind w:firstLine="480" w:firstLineChars="200"/>
        <w:contextualSpacing/>
        <w:outlineLvl w:val="0"/>
        <w:rPr>
          <w:rFonts w:cs="Times New Roman" w:asciiTheme="minorEastAsia" w:hAnsiTheme="minorEastAsia"/>
          <w:sz w:val="24"/>
          <w:szCs w:val="24"/>
          <w:u w:val="single"/>
        </w:rPr>
      </w:pPr>
    </w:p>
    <w:p>
      <w:pPr>
        <w:spacing w:line="360" w:lineRule="auto"/>
        <w:ind w:left="540" w:leftChars="257" w:firstLine="48" w:firstLineChars="20"/>
        <w:contextualSpacing/>
        <w:outlineLvl w:val="0"/>
        <w:rPr>
          <w:rFonts w:cs="Times New Roman" w:asciiTheme="minorEastAsia" w:hAnsiTheme="minorEastAsia"/>
          <w:b/>
          <w:sz w:val="24"/>
          <w:szCs w:val="24"/>
        </w:rPr>
      </w:pPr>
      <w:r>
        <w:rPr>
          <w:rFonts w:hint="eastAsia" w:cs="Times New Roman" w:asciiTheme="minorEastAsia" w:hAnsiTheme="minorEastAsia"/>
          <w:b/>
          <w:sz w:val="24"/>
          <w:szCs w:val="24"/>
        </w:rPr>
        <w:t>第三条  甲方协作事项及乙方服务承诺</w:t>
      </w:r>
    </w:p>
    <w:p>
      <w:pPr>
        <w:spacing w:line="360" w:lineRule="auto"/>
        <w:ind w:left="540" w:leftChars="257" w:firstLine="48" w:firstLineChars="20"/>
        <w:contextualSpacing/>
        <w:outlineLvl w:val="0"/>
        <w:rPr>
          <w:rFonts w:cs="Times New Roman" w:asciiTheme="minorEastAsia" w:hAnsiTheme="minorEastAsia"/>
          <w:b/>
          <w:sz w:val="24"/>
          <w:szCs w:val="24"/>
        </w:rPr>
      </w:pPr>
      <w:r>
        <w:rPr>
          <w:rFonts w:hint="eastAsia" w:cs="Times New Roman" w:asciiTheme="minorEastAsia" w:hAnsiTheme="minorEastAsia"/>
          <w:b/>
          <w:sz w:val="24"/>
          <w:szCs w:val="24"/>
        </w:rPr>
        <w:t>（一）为保证乙方有效进行技术服务，甲方应向乙方提供下列协作事项：</w:t>
      </w:r>
    </w:p>
    <w:p>
      <w:pPr>
        <w:spacing w:line="360" w:lineRule="auto"/>
        <w:ind w:left="540" w:leftChars="257" w:firstLine="48" w:firstLineChars="20"/>
        <w:contextualSpacing/>
        <w:outlineLvl w:val="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提供技术资料：</w:t>
      </w:r>
    </w:p>
    <w:p>
      <w:pPr>
        <w:widowControl/>
        <w:spacing w:line="360" w:lineRule="auto"/>
        <w:ind w:left="540" w:leftChars="257" w:firstLine="48" w:firstLineChars="20"/>
        <w:contextualSpacing/>
        <w:jc w:val="left"/>
        <w:outlineLvl w:val="0"/>
        <w:rPr>
          <w:rFonts w:cs="Times New Roman" w:asciiTheme="minorEastAsia" w:hAnsiTheme="minorEastAsia"/>
          <w:sz w:val="24"/>
          <w:szCs w:val="24"/>
        </w:rPr>
      </w:pPr>
      <w:r>
        <w:rPr>
          <w:rFonts w:hint="eastAsia" w:cs="Times New Roman" w:asciiTheme="minorEastAsia" w:hAnsiTheme="minorEastAsia"/>
          <w:sz w:val="24"/>
          <w:szCs w:val="24"/>
        </w:rPr>
        <w:t>（1）</w:t>
      </w:r>
      <w:r>
        <w:rPr>
          <w:rFonts w:hint="eastAsia" w:cs="Times New Roman" w:asciiTheme="minorEastAsia" w:hAnsiTheme="minorEastAsia"/>
          <w:sz w:val="24"/>
          <w:szCs w:val="24"/>
          <w:u w:val="single"/>
        </w:rPr>
        <w:t>见乙方要求甲方提供的</w:t>
      </w:r>
      <w:r>
        <w:rPr>
          <w:rFonts w:hint="eastAsia" w:ascii="宋体" w:hAnsi="宋体" w:eastAsia="宋体" w:cs="宋体"/>
          <w:bCs/>
          <w:sz w:val="24"/>
          <w:szCs w:val="24"/>
          <w:u w:val="single"/>
        </w:rPr>
        <w:t>评估服务所需提供资料清单</w:t>
      </w:r>
      <w:r>
        <w:rPr>
          <w:rFonts w:hint="eastAsia" w:cs="Times New Roman" w:asciiTheme="minorEastAsia" w:hAnsiTheme="minorEastAsia"/>
          <w:sz w:val="24"/>
          <w:szCs w:val="24"/>
          <w:u w:val="single"/>
        </w:rPr>
        <w:t>（合同附件1）</w:t>
      </w:r>
      <w:r>
        <w:rPr>
          <w:rFonts w:hint="eastAsia" w:cs="Times New Roman" w:asciiTheme="minorEastAsia" w:hAnsiTheme="minorEastAsia"/>
          <w:sz w:val="24"/>
          <w:szCs w:val="24"/>
        </w:rPr>
        <w:t>；</w:t>
      </w:r>
    </w:p>
    <w:p>
      <w:pPr>
        <w:spacing w:line="360" w:lineRule="auto"/>
        <w:ind w:left="1123" w:leftChars="280" w:hanging="535" w:hangingChars="223"/>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（2）</w:t>
      </w:r>
      <w:r>
        <w:rPr>
          <w:rFonts w:hint="eastAsia" w:cs="Times New Roman" w:asciiTheme="minorEastAsia" w:hAnsiTheme="minorEastAsia"/>
          <w:sz w:val="24"/>
          <w:szCs w:val="24"/>
          <w:u w:val="single"/>
        </w:rPr>
        <w:t>其他与本项目相关的消防安全评估资料。</w:t>
      </w:r>
    </w:p>
    <w:p>
      <w:pPr>
        <w:spacing w:line="360" w:lineRule="auto"/>
        <w:ind w:left="1123" w:leftChars="280" w:hanging="535" w:hangingChars="223"/>
        <w:contextualSpacing/>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提供工作条件：</w:t>
      </w:r>
    </w:p>
    <w:p>
      <w:pPr>
        <w:spacing w:line="360" w:lineRule="auto"/>
        <w:ind w:left="1116" w:leftChars="257" w:hanging="576" w:hangingChars="240"/>
        <w:contextualSpacing/>
        <w:rPr>
          <w:rFonts w:cs="Times New Roman" w:asciiTheme="minorEastAsia" w:hAnsiTheme="minorEastAsia"/>
          <w:sz w:val="24"/>
          <w:szCs w:val="24"/>
        </w:rPr>
      </w:pPr>
      <w:r>
        <w:rPr>
          <w:rFonts w:hint="eastAsia" w:cs="Times New Roman" w:asciiTheme="minorEastAsia" w:hAnsiTheme="minorEastAsia"/>
          <w:sz w:val="24"/>
          <w:szCs w:val="24"/>
        </w:rPr>
        <w:t>（1）</w:t>
      </w:r>
      <w:r>
        <w:rPr>
          <w:rFonts w:hint="eastAsia" w:cs="Times New Roman" w:asciiTheme="minorEastAsia" w:hAnsiTheme="minorEastAsia"/>
          <w:sz w:val="24"/>
          <w:szCs w:val="24"/>
          <w:u w:val="single"/>
        </w:rPr>
        <w:t>合同签订后3个工作日内，按上述第1条约定要求，提供真实有效的技术资料</w:t>
      </w:r>
      <w:r>
        <w:rPr>
          <w:rFonts w:hint="eastAsia" w:cs="Times New Roman" w:asciiTheme="minorEastAsia" w:hAnsiTheme="minorEastAsia"/>
          <w:sz w:val="24"/>
          <w:szCs w:val="24"/>
        </w:rPr>
        <w:t>；</w:t>
      </w:r>
    </w:p>
    <w:p>
      <w:pPr>
        <w:spacing w:line="360" w:lineRule="auto"/>
        <w:ind w:left="1116" w:leftChars="257" w:hanging="576" w:hangingChars="24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（2）</w:t>
      </w:r>
      <w:r>
        <w:rPr>
          <w:rFonts w:hint="eastAsia" w:cs="Times New Roman" w:asciiTheme="minorEastAsia" w:hAnsiTheme="minorEastAsia"/>
          <w:sz w:val="24"/>
          <w:szCs w:val="24"/>
          <w:u w:val="single"/>
        </w:rPr>
        <w:t>在乙方到现场实施评估工作时，提供人员配合、现场检查、调研等工作条件；</w:t>
      </w:r>
    </w:p>
    <w:p>
      <w:pPr>
        <w:spacing w:line="360" w:lineRule="auto"/>
        <w:ind w:left="1116" w:leftChars="257" w:hanging="576" w:hangingChars="240"/>
        <w:contextualSpacing/>
        <w:jc w:val="left"/>
        <w:rPr>
          <w:rFonts w:cs="Times New Roman" w:asciiTheme="minorEastAsia" w:hAnsiTheme="minorEastAsia"/>
          <w:sz w:val="24"/>
          <w:szCs w:val="24"/>
          <w:u w:val="single"/>
        </w:rPr>
      </w:pPr>
      <w:r>
        <w:rPr>
          <w:rFonts w:hint="eastAsia" w:cs="Times New Roman" w:asciiTheme="minorEastAsia" w:hAnsiTheme="minorEastAsia"/>
          <w:sz w:val="24"/>
          <w:szCs w:val="24"/>
        </w:rPr>
        <w:t>（3）</w:t>
      </w:r>
      <w:r>
        <w:rPr>
          <w:rFonts w:hint="eastAsia" w:cs="Times New Roman" w:asciiTheme="minorEastAsia" w:hAnsiTheme="minorEastAsia"/>
          <w:sz w:val="24"/>
          <w:szCs w:val="24"/>
          <w:u w:val="single"/>
        </w:rPr>
        <w:t>在乙方到现场实施消防安全评估工作所涉及的各组织间的协调工作应及时协调，并做好相应准备工作。</w:t>
      </w:r>
    </w:p>
    <w:p>
      <w:pPr>
        <w:spacing w:line="360" w:lineRule="auto"/>
        <w:ind w:firstLine="480" w:firstLineChars="20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3.甲方提供上述协作事项的时间及方式：</w:t>
      </w:r>
      <w:r>
        <w:rPr>
          <w:rFonts w:hint="eastAsia" w:cs="Times New Roman" w:asciiTheme="minorEastAsia" w:hAnsiTheme="minorEastAsia"/>
          <w:sz w:val="24"/>
          <w:szCs w:val="24"/>
          <w:u w:val="single"/>
        </w:rPr>
        <w:t>按合同约定及双方协商确定。因甲方提供资料迟延影响项目服务进度的，则乙方提交报告时限得相应予以顺延。</w:t>
      </w:r>
    </w:p>
    <w:p>
      <w:pPr>
        <w:spacing w:line="360" w:lineRule="auto"/>
        <w:ind w:firstLine="482" w:firstLineChars="200"/>
        <w:contextualSpacing/>
        <w:rPr>
          <w:rFonts w:cs="Times New Roman" w:asciiTheme="minorEastAsia" w:hAnsiTheme="minorEastAsia"/>
          <w:b/>
          <w:bCs/>
          <w:sz w:val="24"/>
          <w:szCs w:val="24"/>
        </w:rPr>
      </w:pPr>
      <w:r>
        <w:rPr>
          <w:rFonts w:hint="eastAsia" w:cs="Times New Roman" w:asciiTheme="minorEastAsia" w:hAnsiTheme="minorEastAsia"/>
          <w:b/>
          <w:bCs/>
          <w:sz w:val="24"/>
          <w:szCs w:val="24"/>
        </w:rPr>
        <w:t>（二）乙方服务承诺</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1.乙方工作人员不得为临时招聘人员。乙方应委派能胜任此项业务、且从事本行业不少于3年的人员进行工作。未经甲方同意，乙方不得随意更换服务团队成员，但不可抗力或团队成员确因伤病或离职等原因无法继续工作的除外，如发生该等情形，乙方应立即通知甲方并以书面形式提交替换人员名单及履历供甲方选择。</w:t>
      </w:r>
    </w:p>
    <w:p>
      <w:pPr>
        <w:spacing w:line="360" w:lineRule="auto"/>
        <w:ind w:firstLine="480" w:firstLineChars="200"/>
        <w:contextualSpacing/>
        <w:rPr>
          <w:rFonts w:ascii="宋体" w:hAnsi="宋体" w:eastAsia="宋体" w:cs="宋体"/>
          <w:sz w:val="24"/>
          <w:szCs w:val="24"/>
        </w:rPr>
      </w:pPr>
      <w:r>
        <w:rPr>
          <w:rFonts w:hint="eastAsia" w:cs="Times New Roman" w:asciiTheme="minorEastAsia" w:hAnsiTheme="minorEastAsia"/>
          <w:sz w:val="24"/>
          <w:szCs w:val="24"/>
        </w:rPr>
        <w:t>乙方根据业务需要，</w:t>
      </w:r>
      <w:r>
        <w:rPr>
          <w:rFonts w:hint="eastAsia" w:ascii="宋体" w:hAnsi="宋体" w:eastAsia="宋体" w:cs="宋体"/>
          <w:sz w:val="24"/>
          <w:szCs w:val="24"/>
        </w:rPr>
        <w:t>承担本项目的主要人员要求：（1）由项目负责人带队的</w:t>
      </w:r>
      <w:r>
        <w:rPr>
          <w:rFonts w:hint="eastAsia" w:ascii="宋体" w:hAnsi="宋体" w:eastAsia="宋体" w:cs="宋体"/>
          <w:sz w:val="24"/>
          <w:szCs w:val="24"/>
          <w:lang w:bidi="en-US"/>
        </w:rPr>
        <w:t>项目组成员不少于3人，</w:t>
      </w:r>
      <w:r>
        <w:rPr>
          <w:rFonts w:hint="eastAsia" w:ascii="宋体" w:hAnsi="宋体" w:eastAsia="宋体" w:cs="宋体"/>
          <w:sz w:val="24"/>
          <w:szCs w:val="24"/>
        </w:rPr>
        <w:t>完成合同约定的服务内容。（2）根据乙方服务团队的工作表现及服务质量，甲方有权要求乙方更换不合格或不适宜的服务人员，乙方应</w:t>
      </w:r>
      <w:r>
        <w:rPr>
          <w:rFonts w:hint="eastAsia" w:ascii="宋体" w:hAnsi="宋体" w:eastAsia="宋体" w:cs="宋体"/>
          <w:sz w:val="24"/>
          <w:szCs w:val="24"/>
          <w:lang w:val="en-US" w:eastAsia="zh-CN"/>
        </w:rPr>
        <w:t>在3个工作日内</w:t>
      </w:r>
      <w:r>
        <w:rPr>
          <w:rFonts w:hint="eastAsia" w:ascii="宋体" w:hAnsi="宋体" w:eastAsia="宋体" w:cs="宋体"/>
          <w:sz w:val="24"/>
          <w:szCs w:val="24"/>
        </w:rPr>
        <w:t>及时</w:t>
      </w:r>
      <w:r>
        <w:rPr>
          <w:rFonts w:hint="eastAsia" w:ascii="宋体" w:hAnsi="宋体" w:eastAsia="宋体" w:cs="宋体"/>
          <w:sz w:val="24"/>
          <w:szCs w:val="24"/>
          <w:lang w:val="en-US" w:eastAsia="zh-CN"/>
        </w:rPr>
        <w:t>完成</w:t>
      </w:r>
      <w:r>
        <w:rPr>
          <w:rFonts w:hint="eastAsia" w:ascii="宋体" w:hAnsi="宋体" w:eastAsia="宋体" w:cs="宋体"/>
          <w:sz w:val="24"/>
          <w:szCs w:val="24"/>
        </w:rPr>
        <w:t>更换配置，以保证服务质量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否则甲方有权</w:t>
      </w:r>
      <w:r>
        <w:rPr>
          <w:rFonts w:hint="eastAsia" w:ascii="宋体" w:hAnsi="宋体" w:eastAsia="宋体" w:cs="宋体"/>
          <w:sz w:val="24"/>
          <w:szCs w:val="24"/>
        </w:rPr>
        <w:t>按照</w:t>
      </w:r>
      <w:r>
        <w:rPr>
          <w:rFonts w:hint="eastAsia" w:ascii="宋体" w:hAnsi="宋体" w:eastAsia="宋体" w:cs="宋体"/>
          <w:sz w:val="24"/>
          <w:szCs w:val="24"/>
          <w:lang w:val="en-US" w:eastAsia="zh-CN"/>
        </w:rPr>
        <w:t>乙方</w:t>
      </w:r>
      <w:r>
        <w:rPr>
          <w:rFonts w:hint="eastAsia" w:ascii="宋体" w:hAnsi="宋体" w:eastAsia="宋体" w:cs="宋体"/>
          <w:sz w:val="24"/>
          <w:szCs w:val="24"/>
        </w:rPr>
        <w:t>迟延更换天数</w:t>
      </w:r>
      <w:r>
        <w:rPr>
          <w:rFonts w:hint="eastAsia" w:ascii="宋体" w:hAnsi="宋体" w:eastAsia="宋体" w:cs="宋体"/>
          <w:sz w:val="24"/>
          <w:szCs w:val="24"/>
          <w:lang w:val="en-US" w:eastAsia="zh-CN"/>
        </w:rPr>
        <w:t>自待付费用中每日扣减支付合同总金额的万分之三作为违约金</w:t>
      </w:r>
      <w:r>
        <w:rPr>
          <w:rFonts w:hint="eastAsia" w:ascii="宋体" w:hAnsi="宋体" w:eastAsia="宋体" w:cs="宋体"/>
          <w:sz w:val="24"/>
          <w:szCs w:val="24"/>
        </w:rPr>
        <w:t>。（3）项目负责人</w:t>
      </w:r>
      <w:r>
        <w:rPr>
          <w:rFonts w:hint="eastAsia" w:ascii="宋体" w:hAnsi="宋体" w:eastAsia="宋体" w:cs="宋体"/>
          <w:sz w:val="24"/>
          <w:szCs w:val="24"/>
          <w:lang w:bidi="en-US"/>
        </w:rPr>
        <w:t>应当具备相应的注册消防工程师资格，</w:t>
      </w:r>
      <w:r>
        <w:rPr>
          <w:rFonts w:hint="eastAsia" w:ascii="宋体" w:hAnsi="宋体" w:eastAsia="宋体" w:cs="宋体"/>
          <w:sz w:val="24"/>
          <w:szCs w:val="24"/>
        </w:rPr>
        <w:t>项目技术负责人应具备一级注册消防工程师资质证书，项目评价组成员应具备消防设施操作员中级（含）以上资质证书。（4）</w:t>
      </w:r>
      <w:r>
        <w:rPr>
          <w:rFonts w:hint="eastAsia" w:ascii="宋体" w:hAnsi="宋体" w:eastAsia="宋体" w:cs="宋体"/>
          <w:sz w:val="24"/>
          <w:szCs w:val="24"/>
          <w:lang w:val="en-US" w:eastAsia="zh-CN"/>
        </w:rPr>
        <w:t>项目负责人、项目技术负责人及项目组成员必须参与现场评估工作。</w:t>
      </w:r>
      <w:r>
        <w:rPr>
          <w:rFonts w:hint="eastAsia" w:asciiTheme="minorEastAsia" w:hAnsiTheme="minorEastAsia"/>
          <w:sz w:val="24"/>
          <w:szCs w:val="24"/>
          <w:u w:val="none"/>
          <w:lang w:val="en-US" w:eastAsia="zh-CN"/>
        </w:rPr>
        <w:t>（5）</w:t>
      </w:r>
      <w:r>
        <w:rPr>
          <w:rFonts w:hint="eastAsia" w:ascii="宋体" w:hAnsi="宋体" w:eastAsia="宋体" w:cs="宋体"/>
          <w:sz w:val="24"/>
          <w:szCs w:val="24"/>
        </w:rPr>
        <w:t>所有项目组成员均为乙方单位在社会消防技术服务机构信息系统中备案人员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并在签约前</w:t>
      </w:r>
      <w:r>
        <w:rPr>
          <w:rFonts w:hint="eastAsia" w:ascii="宋体" w:hAnsi="宋体" w:eastAsia="宋体" w:cs="宋体"/>
          <w:sz w:val="24"/>
          <w:szCs w:val="24"/>
        </w:rPr>
        <w:t>提供</w:t>
      </w:r>
      <w:r>
        <w:rPr>
          <w:rFonts w:hint="eastAsia" w:ascii="宋体" w:hAnsi="宋体" w:eastAsia="宋体" w:cs="宋体"/>
          <w:sz w:val="24"/>
          <w:szCs w:val="24"/>
          <w:lang w:val="en-US" w:eastAsia="zh-CN"/>
        </w:rPr>
        <w:t>甲方加盖单位公章的</w:t>
      </w:r>
      <w:r>
        <w:rPr>
          <w:rFonts w:hint="eastAsia" w:ascii="宋体" w:hAnsi="宋体" w:eastAsia="宋体" w:cs="宋体"/>
          <w:sz w:val="24"/>
          <w:szCs w:val="24"/>
        </w:rPr>
        <w:t>相关</w:t>
      </w:r>
      <w:r>
        <w:rPr>
          <w:rFonts w:hint="eastAsia" w:ascii="宋体" w:hAnsi="宋体" w:eastAsia="宋体" w:cs="宋体"/>
          <w:sz w:val="24"/>
          <w:szCs w:val="24"/>
          <w:lang w:val="en-US" w:eastAsia="zh-CN"/>
        </w:rPr>
        <w:t>人员</w:t>
      </w:r>
      <w:r>
        <w:rPr>
          <w:rFonts w:hint="eastAsia" w:ascii="宋体" w:hAnsi="宋体" w:eastAsia="宋体" w:cs="宋体"/>
          <w:sz w:val="24"/>
          <w:szCs w:val="24"/>
        </w:rPr>
        <w:t>证书复印件、网站</w:t>
      </w:r>
      <w:r>
        <w:rPr>
          <w:rFonts w:hint="eastAsia" w:ascii="宋体" w:hAnsi="宋体" w:eastAsia="宋体" w:cs="宋体"/>
          <w:sz w:val="24"/>
          <w:szCs w:val="24"/>
          <w:lang w:val="en-US" w:eastAsia="zh-CN"/>
        </w:rPr>
        <w:t>查询</w:t>
      </w:r>
      <w:r>
        <w:rPr>
          <w:rFonts w:hint="eastAsia" w:ascii="宋体" w:hAnsi="宋体" w:eastAsia="宋体" w:cs="宋体"/>
          <w:sz w:val="24"/>
          <w:szCs w:val="24"/>
        </w:rPr>
        <w:t>截图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保证真实有效</w:t>
      </w:r>
      <w:r>
        <w:rPr>
          <w:rFonts w:hint="eastAsia" w:ascii="宋体" w:hAnsi="宋体" w:eastAsia="宋体" w:cs="宋体"/>
          <w:sz w:val="24"/>
          <w:szCs w:val="24"/>
        </w:rPr>
        <w:t>。</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2.乙方（含乙方作业人员）保证具有签订、履行本合同的合法有效资质和能力。无论乙方该等资质或能力因何原因发生变更、失效或终止，包括但不限于乙方发生破产、清算被吊销或注销营业执照、被列为失信被执行人等情形，乙方保证在3日内以书面形式通知甲方，并及时采取有效补救措施。否则，甲方有权单方解除合同，且不承担任何损失或责任。</w:t>
      </w:r>
    </w:p>
    <w:p>
      <w:pPr>
        <w:spacing w:line="360" w:lineRule="auto"/>
        <w:ind w:firstLine="482" w:firstLineChars="200"/>
        <w:contextualSpacing/>
        <w:outlineLvl w:val="0"/>
        <w:rPr>
          <w:rFonts w:cs="Times New Roman" w:asciiTheme="minorEastAsia" w:hAnsiTheme="minorEastAsia"/>
          <w:b/>
          <w:sz w:val="24"/>
          <w:szCs w:val="24"/>
        </w:rPr>
      </w:pPr>
      <w:r>
        <w:rPr>
          <w:rFonts w:hint="eastAsia" w:cs="Times New Roman" w:asciiTheme="minorEastAsia" w:hAnsiTheme="minorEastAsia"/>
          <w:b/>
          <w:sz w:val="24"/>
          <w:szCs w:val="24"/>
        </w:rPr>
        <w:t>第四条    费用及其支付：</w:t>
      </w:r>
    </w:p>
    <w:p>
      <w:pPr>
        <w:spacing w:line="360" w:lineRule="auto"/>
        <w:ind w:left="479" w:leftChars="228" w:firstLine="0" w:firstLineChars="0"/>
        <w:contextualSpacing/>
        <w:rPr>
          <w:rFonts w:cs="Times New Roman" w:asciiTheme="minorEastAsia" w:hAnsiTheme="minorEastAsia"/>
          <w:sz w:val="24"/>
          <w:szCs w:val="24"/>
        </w:rPr>
      </w:pPr>
      <w:r>
        <w:rPr>
          <w:rFonts w:hint="eastAsia" w:cs="Times New Roman" w:asciiTheme="minorEastAsia" w:hAnsiTheme="minorEastAsia"/>
          <w:sz w:val="24"/>
          <w:szCs w:val="24"/>
        </w:rPr>
        <w:t>1</w:t>
      </w:r>
      <w:r>
        <w:rPr>
          <w:rFonts w:cs="Times New Roman" w:asciiTheme="minorEastAsia" w:hAnsiTheme="minorEastAsia"/>
          <w:sz w:val="24"/>
          <w:szCs w:val="24"/>
        </w:rPr>
        <w:t>.</w:t>
      </w:r>
      <w:r>
        <w:rPr>
          <w:rFonts w:hint="eastAsia" w:cs="Times New Roman" w:asciiTheme="minorEastAsia" w:hAnsiTheme="minorEastAsia"/>
          <w:sz w:val="24"/>
          <w:szCs w:val="24"/>
        </w:rPr>
        <w:t>总建筑面积：</w:t>
      </w:r>
      <w:r>
        <w:rPr>
          <w:rFonts w:hint="eastAsia" w:cs="Times New Roman" w:asciiTheme="minorEastAsia" w:hAnsiTheme="minorEastAsia"/>
          <w:sz w:val="24"/>
          <w:szCs w:val="24"/>
          <w:u w:val="single"/>
          <w:lang w:val="en-US" w:eastAsia="zh-CN"/>
        </w:rPr>
        <w:t>2447</w:t>
      </w:r>
      <w:r>
        <w:rPr>
          <w:rFonts w:hint="eastAsia" w:cs="Times New Roman" w:asciiTheme="minorEastAsia" w:hAnsiTheme="minorEastAsia"/>
          <w:sz w:val="24"/>
          <w:szCs w:val="24"/>
          <w:u w:val="single"/>
        </w:rPr>
        <w:t>00</w:t>
      </w:r>
      <w:r>
        <w:rPr>
          <w:rFonts w:hint="eastAsia" w:cs="Times New Roman" w:asciiTheme="minorEastAsia" w:hAnsiTheme="minorEastAsia"/>
          <w:sz w:val="24"/>
          <w:szCs w:val="24"/>
        </w:rPr>
        <w:t>平方米，合同总金额为</w:t>
      </w:r>
      <w:r>
        <w:rPr>
          <w:rFonts w:cs="Arial" w:asciiTheme="minorEastAsia" w:hAnsiTheme="minorEastAsia"/>
          <w:sz w:val="24"/>
          <w:szCs w:val="24"/>
        </w:rPr>
        <w:t>¥</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rPr>
        <w:t>元（大写：人民币</w:t>
      </w:r>
      <w:r>
        <w:rPr>
          <w:rFonts w:hint="eastAsia" w:cs="Times New Roman" w:asciiTheme="minorEastAsia" w:hAnsiTheme="minorEastAsia"/>
          <w:sz w:val="24"/>
          <w:szCs w:val="24"/>
          <w:u w:val="single"/>
          <w:lang w:val="en-US" w:eastAsia="zh-CN"/>
        </w:rPr>
        <w:t xml:space="preserve">     元</w:t>
      </w:r>
      <w:r>
        <w:rPr>
          <w:rFonts w:hint="eastAsia" w:cs="Times New Roman" w:asciiTheme="minorEastAsia" w:hAnsiTheme="minorEastAsia"/>
          <w:sz w:val="24"/>
          <w:szCs w:val="24"/>
          <w:u w:val="single"/>
        </w:rPr>
        <w:t>整</w:t>
      </w:r>
      <w:r>
        <w:rPr>
          <w:rFonts w:hint="eastAsia" w:cs="Times New Roman" w:asciiTheme="minorEastAsia" w:hAnsiTheme="minorEastAsia"/>
          <w:sz w:val="24"/>
          <w:szCs w:val="24"/>
        </w:rPr>
        <w:t>）；其中不含税价</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rPr>
        <w:t>元，税率</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u w:val="single"/>
        </w:rPr>
        <w:t>%</w:t>
      </w:r>
      <w:r>
        <w:rPr>
          <w:rFonts w:hint="eastAsia" w:cs="Times New Roman" w:asciiTheme="minorEastAsia" w:hAnsiTheme="minorEastAsia"/>
          <w:sz w:val="24"/>
          <w:szCs w:val="24"/>
        </w:rPr>
        <w:t>，税金为</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rPr>
        <w:t>元。该合同价款包括所有设备材料费、评审验收会费用、人工费、管理费、报告编制费、税费以及可能存在的漏项等所有费用在内，为全包价。</w:t>
      </w:r>
    </w:p>
    <w:p>
      <w:pPr>
        <w:spacing w:line="360" w:lineRule="auto"/>
        <w:ind w:firstLine="480" w:firstLineChars="200"/>
        <w:contextualSpacing/>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由甲方向乙方转账支付。具体支付方式和时间如下：</w:t>
      </w:r>
    </w:p>
    <w:p>
      <w:pPr>
        <w:spacing w:line="360" w:lineRule="auto"/>
        <w:ind w:firstLine="480" w:firstLineChars="200"/>
        <w:contextualSpacing/>
        <w:rPr>
          <w:rFonts w:ascii="宋体" w:hAnsi="宋体" w:eastAsia="宋体" w:cs="宋体"/>
          <w:sz w:val="24"/>
          <w:szCs w:val="24"/>
        </w:rPr>
      </w:pPr>
      <w:r>
        <w:rPr>
          <w:rFonts w:hint="eastAsia" w:ascii="宋体" w:hAnsi="宋体" w:eastAsia="宋体" w:cs="宋体"/>
          <w:sz w:val="24"/>
          <w:szCs w:val="24"/>
        </w:rPr>
        <w:t>（1）合同签订生效、甲方收到乙方发票后30日内，甲方支付合同总价的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%计</w:t>
      </w:r>
      <w:r>
        <w:rPr>
          <w:rFonts w:cs="Arial" w:asciiTheme="minorEastAsia" w:hAnsiTheme="minorEastAsia"/>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w:t>
      </w:r>
      <w:r>
        <w:rPr>
          <w:rFonts w:hint="eastAsia" w:cs="Times New Roman" w:asciiTheme="minorEastAsia" w:hAnsiTheme="minorEastAsia"/>
          <w:sz w:val="24"/>
          <w:szCs w:val="24"/>
          <w:u w:val="single"/>
        </w:rPr>
        <w:t>（大写：人民币</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u w:val="single"/>
        </w:rPr>
        <w:t>整）</w:t>
      </w:r>
      <w:r>
        <w:rPr>
          <w:rFonts w:hint="eastAsia" w:ascii="宋体" w:hAnsi="宋体" w:eastAsia="宋体" w:cs="宋体"/>
          <w:sz w:val="24"/>
          <w:szCs w:val="24"/>
        </w:rPr>
        <w:t>；</w:t>
      </w:r>
    </w:p>
    <w:p>
      <w:pPr>
        <w:spacing w:line="360" w:lineRule="auto"/>
        <w:ind w:firstLine="480" w:firstLineChars="200"/>
        <w:contextualSpacing/>
        <w:rPr>
          <w:rFonts w:ascii="宋体" w:hAnsi="宋体" w:eastAsia="宋体" w:cs="宋体"/>
          <w:sz w:val="24"/>
          <w:szCs w:val="24"/>
        </w:rPr>
      </w:pPr>
      <w:r>
        <w:rPr>
          <w:rFonts w:hint="eastAsia" w:ascii="宋体" w:hAnsi="宋体" w:eastAsia="宋体" w:cs="宋体"/>
          <w:sz w:val="24"/>
          <w:szCs w:val="24"/>
        </w:rPr>
        <w:t>（2）乙方向甲方提交报告且达到甲方要求，双方确认无误后</w:t>
      </w:r>
      <w:r>
        <w:rPr>
          <w:rFonts w:hint="eastAsia" w:ascii="宋体" w:hAnsi="宋体" w:eastAsia="宋体" w:cs="宋体"/>
          <w:sz w:val="24"/>
          <w:szCs w:val="24"/>
          <w:lang w:val="en-US" w:eastAsia="zh-CN"/>
        </w:rPr>
        <w:t>30</w:t>
      </w:r>
      <w:r>
        <w:rPr>
          <w:rFonts w:hint="eastAsia" w:ascii="宋体" w:hAnsi="宋体" w:eastAsia="宋体" w:cs="宋体"/>
          <w:sz w:val="24"/>
          <w:szCs w:val="24"/>
        </w:rPr>
        <w:t>日内，甲方支付合同总价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计</w:t>
      </w:r>
      <w:r>
        <w:rPr>
          <w:rFonts w:cs="Arial" w:asciiTheme="minorEastAsia" w:hAnsiTheme="minorEastAsia"/>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w:t>
      </w:r>
      <w:r>
        <w:rPr>
          <w:rFonts w:hint="eastAsia" w:cs="Times New Roman" w:asciiTheme="minorEastAsia" w:hAnsiTheme="minorEastAsia"/>
          <w:sz w:val="24"/>
          <w:szCs w:val="24"/>
          <w:u w:val="single"/>
        </w:rPr>
        <w:t>（大写：人民币</w:t>
      </w:r>
      <w:r>
        <w:rPr>
          <w:rFonts w:hint="eastAsia" w:cs="Times New Roman" w:asciiTheme="minorEastAsia" w:hAnsiTheme="minorEastAsia"/>
          <w:sz w:val="24"/>
          <w:szCs w:val="24"/>
          <w:u w:val="single"/>
          <w:lang w:val="en-US" w:eastAsia="zh-CN"/>
        </w:rPr>
        <w:t xml:space="preserve">       </w:t>
      </w:r>
      <w:r>
        <w:rPr>
          <w:rFonts w:hint="eastAsia" w:cs="Times New Roman" w:asciiTheme="minorEastAsia" w:hAnsiTheme="minorEastAsia"/>
          <w:sz w:val="24"/>
          <w:szCs w:val="24"/>
          <w:u w:val="single"/>
        </w:rPr>
        <w:t>元整）</w:t>
      </w:r>
      <w:r>
        <w:rPr>
          <w:rFonts w:hint="eastAsia" w:ascii="宋体" w:hAnsi="宋体" w:eastAsia="宋体" w:cs="宋体"/>
          <w:sz w:val="24"/>
          <w:szCs w:val="24"/>
        </w:rPr>
        <w:t>；</w:t>
      </w:r>
    </w:p>
    <w:p>
      <w:pPr>
        <w:spacing w:line="360" w:lineRule="auto"/>
        <w:ind w:firstLine="480" w:firstLineChars="200"/>
        <w:contextualSpacing/>
        <w:rPr>
          <w:rFonts w:cs="Times New Roman" w:asciiTheme="minorEastAsia" w:hAnsiTheme="minorEastAsia"/>
          <w:sz w:val="24"/>
          <w:szCs w:val="24"/>
        </w:rPr>
      </w:pPr>
      <w:r>
        <w:rPr>
          <w:rFonts w:hint="eastAsia" w:ascii="宋体" w:hAnsi="宋体" w:eastAsia="宋体" w:cs="宋体"/>
          <w:sz w:val="24"/>
          <w:szCs w:val="24"/>
        </w:rPr>
        <w:t>（3）乙方需在甲方以银行转账方式支付款项前，向甲方提供等额增值税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%的专用/普通发票。</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3.乙方收款银行名称、地址和账号为：</w:t>
      </w:r>
    </w:p>
    <w:p>
      <w:pPr>
        <w:spacing w:line="360" w:lineRule="auto"/>
        <w:ind w:firstLine="480" w:firstLineChars="200"/>
        <w:contextualSpacing/>
        <w:rPr>
          <w:rFonts w:hint="default" w:asciiTheme="minorEastAsia" w:hAnsiTheme="minorEastAsia" w:eastAsiaTheme="minorEastAsia"/>
          <w:sz w:val="24"/>
          <w:szCs w:val="24"/>
          <w:u w:val="single"/>
          <w:lang w:val="en-US" w:eastAsia="zh-CN"/>
        </w:rPr>
      </w:pPr>
      <w:r>
        <w:rPr>
          <w:rFonts w:hint="eastAsia" w:cs="Times New Roman" w:asciiTheme="minorEastAsia" w:hAnsiTheme="minorEastAsia"/>
          <w:sz w:val="24"/>
          <w:szCs w:val="24"/>
        </w:rPr>
        <w:t>公司名称：</w:t>
      </w:r>
      <w:r>
        <w:rPr>
          <w:rFonts w:hint="eastAsia" w:asciiTheme="minorEastAsia" w:hAnsiTheme="minorEastAsia"/>
          <w:sz w:val="24"/>
          <w:szCs w:val="24"/>
          <w:u w:val="single"/>
          <w:lang w:val="en-US" w:eastAsia="zh-CN"/>
        </w:rPr>
        <w:t xml:space="preserve">                          </w:t>
      </w:r>
    </w:p>
    <w:p>
      <w:pPr>
        <w:ind w:firstLine="480" w:firstLineChars="200"/>
        <w:rPr>
          <w:rFonts w:hint="default" w:asciiTheme="minorEastAsia" w:hAnsiTheme="minorEastAsia" w:eastAsiaTheme="minorEastAsia"/>
          <w:sz w:val="24"/>
          <w:szCs w:val="24"/>
          <w:u w:val="single"/>
          <w:lang w:val="en-US" w:eastAsia="zh-CN"/>
        </w:rPr>
      </w:pPr>
      <w:r>
        <w:rPr>
          <w:rFonts w:hint="eastAsia" w:cs="Times New Roman" w:asciiTheme="minorEastAsia" w:hAnsiTheme="minorEastAsia"/>
          <w:sz w:val="24"/>
          <w:szCs w:val="24"/>
        </w:rPr>
        <w:t>银行名称：</w:t>
      </w:r>
      <w:r>
        <w:rPr>
          <w:rFonts w:hint="eastAsia" w:asciiTheme="minorEastAsia" w:hAnsiTheme="minorEastAsia"/>
          <w:sz w:val="24"/>
          <w:szCs w:val="24"/>
          <w:u w:val="single"/>
          <w:lang w:val="en-US" w:eastAsia="zh-CN"/>
        </w:rPr>
        <w:t xml:space="preserve">                          </w:t>
      </w:r>
    </w:p>
    <w:p>
      <w:pPr>
        <w:spacing w:line="360" w:lineRule="auto"/>
        <w:ind w:firstLine="480" w:firstLineChars="200"/>
        <w:contextualSpacing/>
        <w:rPr>
          <w:rFonts w:hint="eastAsia" w:asciiTheme="minorEastAsia" w:hAnsiTheme="minorEastAsia"/>
          <w:sz w:val="24"/>
          <w:szCs w:val="24"/>
          <w:u w:val="single"/>
          <w:lang w:val="en-US" w:eastAsia="zh-CN"/>
        </w:rPr>
      </w:pPr>
      <w:r>
        <w:rPr>
          <w:rFonts w:hint="eastAsia" w:cs="Times New Roman" w:asciiTheme="minorEastAsia" w:hAnsiTheme="minorEastAsia"/>
          <w:sz w:val="24"/>
          <w:szCs w:val="24"/>
        </w:rPr>
        <w:t xml:space="preserve">地 </w:t>
      </w:r>
      <w:r>
        <w:rPr>
          <w:rFonts w:cs="Times New Roman" w:asciiTheme="minorEastAsia" w:hAnsiTheme="minorEastAsia"/>
          <w:sz w:val="24"/>
          <w:szCs w:val="24"/>
        </w:rPr>
        <w:t xml:space="preserve">   </w:t>
      </w:r>
      <w:r>
        <w:rPr>
          <w:rFonts w:hint="eastAsia" w:cs="Times New Roman" w:asciiTheme="minorEastAsia" w:hAnsiTheme="minorEastAsia"/>
          <w:sz w:val="24"/>
          <w:szCs w:val="24"/>
        </w:rPr>
        <w:t>址：</w:t>
      </w:r>
      <w:r>
        <w:rPr>
          <w:rFonts w:hint="eastAsia" w:asciiTheme="minorEastAsia" w:hAnsiTheme="minorEastAsia"/>
          <w:sz w:val="24"/>
          <w:szCs w:val="24"/>
          <w:u w:val="single"/>
          <w:lang w:val="en-US" w:eastAsia="zh-CN"/>
        </w:rPr>
        <w:t xml:space="preserve">                          </w:t>
      </w:r>
    </w:p>
    <w:p>
      <w:pPr>
        <w:spacing w:line="360" w:lineRule="auto"/>
        <w:ind w:firstLine="480" w:firstLineChars="200"/>
        <w:contextualSpacing/>
        <w:rPr>
          <w:rFonts w:asciiTheme="minorEastAsia" w:hAnsiTheme="minorEastAsia"/>
          <w:sz w:val="24"/>
          <w:szCs w:val="24"/>
          <w:u w:val="single"/>
        </w:rPr>
      </w:pPr>
      <w:r>
        <w:rPr>
          <w:rFonts w:hint="eastAsia" w:cs="Times New Roman" w:asciiTheme="minorEastAsia" w:hAnsiTheme="minorEastAsia"/>
          <w:sz w:val="24"/>
          <w:szCs w:val="24"/>
        </w:rPr>
        <w:t xml:space="preserve">账 </w:t>
      </w:r>
      <w:r>
        <w:rPr>
          <w:rFonts w:cs="Times New Roman" w:asciiTheme="minorEastAsia" w:hAnsiTheme="minorEastAsia"/>
          <w:sz w:val="24"/>
          <w:szCs w:val="24"/>
        </w:rPr>
        <w:t xml:space="preserve">   </w:t>
      </w:r>
      <w:r>
        <w:rPr>
          <w:rFonts w:hint="eastAsia" w:cs="Times New Roman" w:asciiTheme="minorEastAsia" w:hAnsiTheme="minorEastAsia"/>
          <w:sz w:val="24"/>
          <w:szCs w:val="24"/>
        </w:rPr>
        <w:t>号：</w:t>
      </w:r>
      <w:r>
        <w:rPr>
          <w:rFonts w:hint="eastAsia" w:asciiTheme="minorEastAsia" w:hAnsiTheme="minorEastAsia"/>
          <w:sz w:val="24"/>
          <w:szCs w:val="24"/>
          <w:u w:val="single"/>
          <w:lang w:val="en-US" w:eastAsia="zh-CN"/>
        </w:rPr>
        <w:t xml:space="preserve">                          </w:t>
      </w:r>
    </w:p>
    <w:p>
      <w:pPr>
        <w:spacing w:line="360" w:lineRule="auto"/>
        <w:ind w:firstLine="480" w:firstLineChars="20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 xml:space="preserve">税 </w:t>
      </w:r>
      <w:r>
        <w:rPr>
          <w:rFonts w:cs="Times New Roman" w:asciiTheme="minorEastAsia" w:hAnsiTheme="minorEastAsia"/>
          <w:sz w:val="24"/>
          <w:szCs w:val="24"/>
        </w:rPr>
        <w:t xml:space="preserve">   </w:t>
      </w:r>
      <w:r>
        <w:rPr>
          <w:rFonts w:hint="eastAsia" w:cs="Times New Roman" w:asciiTheme="minorEastAsia" w:hAnsiTheme="minorEastAsia"/>
          <w:sz w:val="24"/>
          <w:szCs w:val="24"/>
        </w:rPr>
        <w:t>号：</w:t>
      </w:r>
      <w:r>
        <w:rPr>
          <w:rFonts w:hint="eastAsia" w:asciiTheme="minorEastAsia" w:hAnsiTheme="minorEastAsia"/>
          <w:sz w:val="24"/>
          <w:szCs w:val="24"/>
          <w:u w:val="single"/>
          <w:lang w:val="en-US" w:eastAsia="zh-CN"/>
        </w:rPr>
        <w:t xml:space="preserve">                          </w:t>
      </w:r>
    </w:p>
    <w:p>
      <w:pPr>
        <w:spacing w:line="360" w:lineRule="auto"/>
        <w:ind w:firstLine="480" w:firstLineChars="20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联 行 号：</w:t>
      </w:r>
      <w:r>
        <w:rPr>
          <w:rFonts w:hint="eastAsia" w:asciiTheme="minorEastAsia" w:hAnsiTheme="minorEastAsia"/>
          <w:sz w:val="24"/>
          <w:szCs w:val="24"/>
          <w:u w:val="single"/>
          <w:lang w:val="en-US" w:eastAsia="zh-CN"/>
        </w:rPr>
        <w:t xml:space="preserve">                          </w:t>
      </w:r>
    </w:p>
    <w:p>
      <w:pPr>
        <w:spacing w:line="360" w:lineRule="auto"/>
        <w:ind w:firstLine="480" w:firstLineChars="20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办公地址及电话：</w:t>
      </w:r>
      <w:r>
        <w:rPr>
          <w:rFonts w:hint="eastAsia" w:asciiTheme="minorEastAsia" w:hAnsiTheme="minorEastAsia"/>
          <w:sz w:val="24"/>
          <w:szCs w:val="24"/>
          <w:u w:val="single"/>
          <w:lang w:val="en-US" w:eastAsia="zh-CN"/>
        </w:rPr>
        <w:t xml:space="preserve">                          </w:t>
      </w:r>
    </w:p>
    <w:p>
      <w:pPr>
        <w:numPr>
          <w:ilvl w:val="0"/>
          <w:numId w:val="2"/>
        </w:numPr>
        <w:spacing w:line="360" w:lineRule="auto"/>
        <w:ind w:firstLine="482" w:firstLineChars="200"/>
        <w:contextualSpacing/>
        <w:outlineLvl w:val="0"/>
        <w:rPr>
          <w:rFonts w:cs="Times New Roman" w:asciiTheme="minorEastAsia" w:hAnsiTheme="minorEastAsia"/>
          <w:b/>
          <w:sz w:val="24"/>
          <w:szCs w:val="24"/>
        </w:rPr>
      </w:pPr>
      <w:r>
        <w:rPr>
          <w:rFonts w:hint="eastAsia" w:cs="Times New Roman" w:asciiTheme="minorEastAsia" w:hAnsiTheme="minorEastAsia"/>
          <w:b/>
          <w:sz w:val="24"/>
          <w:szCs w:val="24"/>
        </w:rPr>
        <w:t xml:space="preserve"> 知识产权</w:t>
      </w:r>
    </w:p>
    <w:p>
      <w:pPr>
        <w:spacing w:line="360" w:lineRule="auto"/>
        <w:ind w:firstLine="480" w:firstLineChars="200"/>
        <w:contextualSpacing/>
        <w:outlineLvl w:val="0"/>
        <w:rPr>
          <w:rFonts w:cs="Times New Roman" w:asciiTheme="minorEastAsia" w:hAnsiTheme="minorEastAsia"/>
          <w:bCs/>
          <w:sz w:val="24"/>
          <w:szCs w:val="24"/>
        </w:rPr>
      </w:pPr>
      <w:r>
        <w:rPr>
          <w:rFonts w:hint="eastAsia" w:cs="Times New Roman" w:asciiTheme="minorEastAsia" w:hAnsiTheme="minorEastAsia"/>
          <w:bCs/>
          <w:sz w:val="24"/>
          <w:szCs w:val="24"/>
        </w:rPr>
        <w:t>1.本合同所取得的记录、数据、图片、报告等资料以及技术服务工作成果，除乙方背景知识产权外，其知识产权归甲方单独享有和行使，乙方可享有署名权（如有）及持有工作成果有关资料副本的权利（仅供乙方归档使用）。未经甲方许可，乙方不得擅自向第三方披露，不得自行使用或用于本合同以外的目的。</w:t>
      </w:r>
    </w:p>
    <w:p>
      <w:pPr>
        <w:spacing w:line="360" w:lineRule="auto"/>
        <w:ind w:firstLine="480" w:firstLineChars="200"/>
        <w:contextualSpacing/>
        <w:outlineLvl w:val="0"/>
        <w:rPr>
          <w:rFonts w:cs="Times New Roman" w:asciiTheme="minorEastAsia" w:hAnsiTheme="minorEastAsia"/>
          <w:b/>
          <w:sz w:val="24"/>
          <w:szCs w:val="24"/>
        </w:rPr>
      </w:pPr>
      <w:r>
        <w:rPr>
          <w:rFonts w:hint="eastAsia" w:cs="Times New Roman" w:asciiTheme="minorEastAsia" w:hAnsiTheme="minorEastAsia"/>
          <w:bCs/>
          <w:sz w:val="24"/>
          <w:szCs w:val="24"/>
        </w:rPr>
        <w:t>2.乙方保证其交付给甲方的技术服务工作成果不侵犯任何第三方的知识产权，若任何第三方主张乙方向甲方交付的成果侵犯其知识产权的，由乙方负责处理前述第三方的权利主张并承担可能发生的一切责任和费用；如因此给甲方造成损失的，乙方还应承担相应的赔偿责任。</w:t>
      </w:r>
    </w:p>
    <w:p>
      <w:pPr>
        <w:numPr>
          <w:ilvl w:val="0"/>
          <w:numId w:val="2"/>
        </w:numPr>
        <w:spacing w:line="360" w:lineRule="auto"/>
        <w:ind w:firstLine="482" w:firstLineChars="200"/>
        <w:contextualSpacing/>
        <w:outlineLvl w:val="0"/>
        <w:rPr>
          <w:rFonts w:cs="Times New Roman" w:asciiTheme="minorEastAsia" w:hAnsiTheme="minorEastAsia"/>
          <w:b/>
          <w:sz w:val="24"/>
          <w:szCs w:val="24"/>
        </w:rPr>
      </w:pPr>
      <w:r>
        <w:rPr>
          <w:rFonts w:hint="eastAsia" w:cs="Times New Roman" w:asciiTheme="minorEastAsia" w:hAnsiTheme="minorEastAsia"/>
          <w:b/>
          <w:sz w:val="24"/>
          <w:szCs w:val="24"/>
        </w:rPr>
        <w:t>技术情报和资料保密</w:t>
      </w:r>
    </w:p>
    <w:p>
      <w:pPr>
        <w:widowControl/>
        <w:spacing w:line="360" w:lineRule="auto"/>
        <w:ind w:firstLine="480" w:firstLineChars="200"/>
        <w:contextualSpacing/>
        <w:jc w:val="left"/>
        <w:outlineLvl w:val="0"/>
        <w:rPr>
          <w:rFonts w:cs="Times New Roman" w:asciiTheme="minorEastAsia" w:hAnsiTheme="minorEastAsia"/>
          <w:bCs/>
          <w:sz w:val="24"/>
          <w:szCs w:val="24"/>
        </w:rPr>
      </w:pPr>
      <w:r>
        <w:rPr>
          <w:rFonts w:hint="eastAsia" w:cs="Times New Roman" w:asciiTheme="minorEastAsia" w:hAnsiTheme="minorEastAsia"/>
          <w:bCs/>
          <w:sz w:val="24"/>
          <w:szCs w:val="24"/>
        </w:rPr>
        <w:t>1.双方承担对另一方提供的技术情报和资料进行保密的义务，并采取相应的保密措施。未经对方书面同意，另一方不得披露给任何第三方，不得用于本合同以外的其他目的。</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2.涉密人员范围</w:t>
      </w:r>
      <w:r>
        <w:rPr>
          <w:rFonts w:hint="eastAsia" w:cs="Times New Roman" w:asciiTheme="minorEastAsia" w:hAnsiTheme="minorEastAsia"/>
          <w:sz w:val="24"/>
          <w:szCs w:val="24"/>
          <w:u w:val="single"/>
        </w:rPr>
        <w:t>：甲乙双方所有参与本项目的人员</w:t>
      </w:r>
      <w:r>
        <w:rPr>
          <w:rFonts w:hint="eastAsia" w:cs="Times New Roman" w:asciiTheme="minorEastAsia" w:hAnsiTheme="minorEastAsia"/>
          <w:sz w:val="24"/>
          <w:szCs w:val="24"/>
        </w:rPr>
        <w:t>。</w:t>
      </w:r>
    </w:p>
    <w:p>
      <w:pPr>
        <w:widowControl/>
        <w:spacing w:line="360" w:lineRule="auto"/>
        <w:ind w:firstLine="480" w:firstLineChars="200"/>
        <w:contextualSpacing/>
        <w:jc w:val="left"/>
        <w:outlineLvl w:val="0"/>
        <w:rPr>
          <w:rFonts w:cs="Times New Roman" w:asciiTheme="minorEastAsia" w:hAnsiTheme="minorEastAsia"/>
          <w:sz w:val="24"/>
          <w:szCs w:val="24"/>
        </w:rPr>
      </w:pPr>
      <w:r>
        <w:rPr>
          <w:rFonts w:hint="eastAsia" w:cs="Times New Roman" w:asciiTheme="minorEastAsia" w:hAnsiTheme="minorEastAsia"/>
          <w:sz w:val="24"/>
          <w:szCs w:val="24"/>
        </w:rPr>
        <w:t>3.保密期限：</w:t>
      </w:r>
      <w:r>
        <w:rPr>
          <w:rFonts w:hint="eastAsia" w:cs="Times New Roman" w:asciiTheme="minorEastAsia" w:hAnsiTheme="minorEastAsia"/>
          <w:sz w:val="24"/>
          <w:szCs w:val="24"/>
          <w:u w:val="single"/>
        </w:rPr>
        <w:t>直至保密信息并非由于甲方的披露而为公众所知为止。</w:t>
      </w:r>
      <w:r>
        <w:rPr>
          <w:rFonts w:hint="eastAsia" w:cs="Times New Roman" w:asciiTheme="minorEastAsia" w:hAnsiTheme="minorEastAsia"/>
          <w:sz w:val="24"/>
          <w:szCs w:val="24"/>
        </w:rPr>
        <w:t>即</w:t>
      </w:r>
      <w:r>
        <w:rPr>
          <w:rFonts w:hint="eastAsia" w:cs="Times New Roman" w:asciiTheme="minorEastAsia" w:hAnsiTheme="minorEastAsia"/>
          <w:bCs/>
          <w:sz w:val="24"/>
          <w:szCs w:val="24"/>
        </w:rPr>
        <w:t>双方的保密义务不因本合同解除、终止或履行完毕等原因而免除。</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4.泄密责任：</w:t>
      </w:r>
      <w:r>
        <w:rPr>
          <w:rFonts w:hint="eastAsia" w:cs="Times New Roman" w:asciiTheme="minorEastAsia" w:hAnsiTheme="minorEastAsia"/>
          <w:sz w:val="24"/>
          <w:szCs w:val="24"/>
          <w:u w:val="single"/>
        </w:rPr>
        <w:t>按《中华人民共和国民法典》相关条款承担违约责任。</w:t>
      </w:r>
    </w:p>
    <w:p>
      <w:pPr>
        <w:spacing w:line="360" w:lineRule="auto"/>
        <w:ind w:firstLine="482" w:firstLineChars="200"/>
        <w:contextualSpacing/>
        <w:rPr>
          <w:rFonts w:cs="Times New Roman" w:asciiTheme="minorEastAsia" w:hAnsiTheme="minorEastAsia"/>
          <w:sz w:val="24"/>
          <w:szCs w:val="24"/>
        </w:rPr>
      </w:pPr>
      <w:r>
        <w:rPr>
          <w:rFonts w:hint="eastAsia" w:cs="Times New Roman" w:asciiTheme="minorEastAsia" w:hAnsiTheme="minorEastAsia"/>
          <w:b/>
          <w:sz w:val="24"/>
          <w:szCs w:val="24"/>
        </w:rPr>
        <w:t>第七条   本合同的变更必须由双方协商一致，并以书面形式确定</w:t>
      </w:r>
      <w:r>
        <w:rPr>
          <w:rFonts w:hint="eastAsia" w:cs="Times New Roman" w:asciiTheme="minorEastAsia" w:hAnsiTheme="minorEastAsia"/>
          <w:sz w:val="24"/>
          <w:szCs w:val="24"/>
        </w:rPr>
        <w:t>。</w:t>
      </w:r>
    </w:p>
    <w:p>
      <w:pPr>
        <w:spacing w:line="360" w:lineRule="auto"/>
        <w:ind w:firstLine="482" w:firstLineChars="200"/>
        <w:contextualSpacing/>
        <w:rPr>
          <w:rFonts w:cs="Times New Roman" w:asciiTheme="minorEastAsia" w:hAnsiTheme="minorEastAsia"/>
          <w:b/>
          <w:sz w:val="24"/>
          <w:szCs w:val="24"/>
        </w:rPr>
      </w:pPr>
      <w:r>
        <w:rPr>
          <w:rFonts w:hint="eastAsia" w:cs="Times New Roman" w:asciiTheme="minorEastAsia" w:hAnsiTheme="minorEastAsia"/>
          <w:b/>
          <w:sz w:val="24"/>
          <w:szCs w:val="24"/>
        </w:rPr>
        <w:t>第八条   双方确定，按以下标准和方式对乙方提交的技术服务工作成果进行验收：</w:t>
      </w:r>
    </w:p>
    <w:p>
      <w:pPr>
        <w:spacing w:line="360" w:lineRule="auto"/>
        <w:ind w:firstLine="480" w:firstLineChars="20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1.乙方提交技术服务工作成果的形式：</w:t>
      </w:r>
      <w:r>
        <w:rPr>
          <w:rFonts w:hint="eastAsia" w:cs="Times New Roman" w:asciiTheme="minorEastAsia" w:hAnsiTheme="minorEastAsia"/>
          <w:sz w:val="24"/>
          <w:szCs w:val="24"/>
          <w:u w:val="single"/>
        </w:rPr>
        <w:t>消防安全评估报告纸质版一式3份，电子版1份</w:t>
      </w:r>
      <w:r>
        <w:rPr>
          <w:rFonts w:hint="eastAsia" w:cs="Times New Roman" w:asciiTheme="minorEastAsia" w:hAnsiTheme="minorEastAsia"/>
          <w:sz w:val="24"/>
          <w:szCs w:val="24"/>
        </w:rPr>
        <w:t>。</w:t>
      </w:r>
    </w:p>
    <w:p>
      <w:pPr>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2.技术服务工作成果的验收标准：（1）</w:t>
      </w:r>
      <w:r>
        <w:rPr>
          <w:rFonts w:hint="eastAsia" w:cs="Times New Roman" w:asciiTheme="minorEastAsia" w:hAnsiTheme="minorEastAsia"/>
          <w:sz w:val="24"/>
          <w:szCs w:val="24"/>
          <w:u w:val="single"/>
        </w:rPr>
        <w:t>符合国家相关消防法律法规、技术规范要求及强制标准；（2）招标文件要求、投标文件承诺、合同约定；</w:t>
      </w:r>
      <w:r>
        <w:rPr>
          <w:rFonts w:hint="eastAsia" w:ascii="宋体" w:hAnsi="宋体" w:eastAsia="宋体" w:cs="宋体"/>
          <w:sz w:val="24"/>
          <w:szCs w:val="24"/>
          <w:u w:val="single"/>
        </w:rPr>
        <w:t>(3)本项目最终成果为《北京清华长庚医院消防安全评估报告》，评估范围及报告质量须符合“北京市医院管理中心关于推进市属医院消防安全评估工作的通知”中列示的要求（本合同附件3、附件4中列示条目）。与甲方医院相关的评估报告内容</w:t>
      </w:r>
      <w:r>
        <w:rPr>
          <w:rFonts w:hint="eastAsia" w:ascii="宋体" w:hAnsi="宋体" w:eastAsia="宋体" w:cs="宋体"/>
          <w:sz w:val="24"/>
          <w:szCs w:val="24"/>
          <w:u w:val="single"/>
          <w:lang w:val="en-US" w:eastAsia="zh-CN"/>
        </w:rPr>
        <w:t>完整、</w:t>
      </w:r>
      <w:r>
        <w:rPr>
          <w:rFonts w:hint="eastAsia" w:ascii="宋体" w:hAnsi="宋体" w:eastAsia="宋体" w:cs="宋体"/>
          <w:sz w:val="24"/>
          <w:szCs w:val="24"/>
          <w:u w:val="single"/>
        </w:rPr>
        <w:t>科学严谨，须符合国家法律法规及标准规范的要求，符合医院实际需求，能够切实提高医院消防安全管理水平；（4）所出具评消防安全评估报告需经专家论证并按要求修改后通过甲方审核验收。</w:t>
      </w:r>
    </w:p>
    <w:p>
      <w:pPr>
        <w:spacing w:line="360" w:lineRule="auto"/>
        <w:ind w:firstLine="482" w:firstLineChars="200"/>
        <w:contextualSpacing/>
        <w:rPr>
          <w:rFonts w:cs="Times New Roman" w:asciiTheme="minorEastAsia" w:hAnsiTheme="minorEastAsia"/>
          <w:bCs/>
          <w:sz w:val="24"/>
          <w:szCs w:val="24"/>
        </w:rPr>
      </w:pPr>
      <w:r>
        <w:rPr>
          <w:rFonts w:hint="eastAsia" w:cs="Times New Roman" w:asciiTheme="minorEastAsia" w:hAnsiTheme="minorEastAsia"/>
          <w:b/>
          <w:sz w:val="24"/>
          <w:szCs w:val="24"/>
        </w:rPr>
        <w:t>第九条  双方确定，按以下约定承担各自的违约责任：</w:t>
      </w:r>
    </w:p>
    <w:p>
      <w:pPr>
        <w:spacing w:line="360" w:lineRule="auto"/>
        <w:ind w:firstLine="480" w:firstLineChars="200"/>
        <w:contextualSpacing/>
        <w:rPr>
          <w:rFonts w:cs="Times New Roman" w:asciiTheme="minorEastAsia" w:hAnsiTheme="minorEastAsia"/>
          <w:bCs/>
          <w:sz w:val="24"/>
          <w:szCs w:val="24"/>
        </w:rPr>
      </w:pPr>
      <w:r>
        <w:rPr>
          <w:rFonts w:hint="eastAsia" w:cs="Times New Roman" w:asciiTheme="minorEastAsia" w:hAnsiTheme="minorEastAsia"/>
          <w:bCs/>
          <w:sz w:val="24"/>
          <w:szCs w:val="24"/>
        </w:rPr>
        <w:t>1.双方应当全面履行本合同中约定的义务，因一方违约给另一方造成经济损失的，违约方应当向守约方进行损失赔偿。</w:t>
      </w:r>
    </w:p>
    <w:p>
      <w:pPr>
        <w:spacing w:line="360" w:lineRule="auto"/>
        <w:ind w:firstLine="480" w:firstLineChars="200"/>
        <w:contextualSpacing/>
        <w:rPr>
          <w:rFonts w:cs="Times New Roman" w:asciiTheme="minorEastAsia" w:hAnsiTheme="minorEastAsia"/>
          <w:bCs/>
          <w:sz w:val="24"/>
          <w:szCs w:val="24"/>
        </w:rPr>
      </w:pPr>
      <w:r>
        <w:rPr>
          <w:rFonts w:hint="eastAsia" w:cs="Times New Roman" w:asciiTheme="minorEastAsia" w:hAnsiTheme="minorEastAsia"/>
          <w:bCs/>
          <w:sz w:val="24"/>
          <w:szCs w:val="24"/>
        </w:rPr>
        <w:t>2.甲方违反本合同第四条约定逾期支付应付合同价款的，每逾期一日须按逾期金额的千分之三向乙方加付违约金，逾期20日及以上的，乙方有权暂停受托工作且不承担任何损失或责任。</w:t>
      </w:r>
    </w:p>
    <w:p>
      <w:pPr>
        <w:spacing w:line="360" w:lineRule="auto"/>
        <w:ind w:firstLine="480" w:firstLineChars="200"/>
        <w:contextualSpacing/>
        <w:rPr>
          <w:rFonts w:cs="Times New Roman" w:asciiTheme="minorEastAsia" w:hAnsiTheme="minorEastAsia"/>
          <w:bCs/>
          <w:sz w:val="24"/>
          <w:szCs w:val="24"/>
        </w:rPr>
      </w:pPr>
      <w:r>
        <w:rPr>
          <w:rFonts w:hint="eastAsia" w:cs="Times New Roman" w:asciiTheme="minorEastAsia" w:hAnsiTheme="minorEastAsia"/>
          <w:bCs/>
          <w:sz w:val="24"/>
          <w:szCs w:val="24"/>
        </w:rPr>
        <w:t>3.乙方应按时保质的向甲方交付各阶段工作成果，乙方逾期交付各阶段工作成果的，每逾期一日，须按合同总金额的千分之三支付违约金，逾期20日及以上的，甲方有权单方解除合同、追回已付款项并按合同总金额的10%收取违约金。</w:t>
      </w:r>
    </w:p>
    <w:p>
      <w:pPr>
        <w:spacing w:line="360" w:lineRule="auto"/>
        <w:ind w:firstLine="480" w:firstLineChars="200"/>
        <w:contextualSpacing/>
        <w:rPr>
          <w:rFonts w:hint="eastAsia" w:cs="Times New Roman" w:asciiTheme="minorEastAsia" w:hAnsiTheme="minorEastAsia"/>
          <w:bCs/>
          <w:sz w:val="24"/>
          <w:szCs w:val="24"/>
        </w:rPr>
      </w:pPr>
      <w:r>
        <w:rPr>
          <w:rFonts w:hint="eastAsia" w:cs="Times New Roman" w:asciiTheme="minorEastAsia" w:hAnsiTheme="minorEastAsia"/>
          <w:bCs/>
          <w:sz w:val="24"/>
          <w:szCs w:val="24"/>
        </w:rPr>
        <w:t>4.如乙方在完成委托工作时出现弄虚作假情况、不履行本合同或履行不符合约定要求的，甲方有权追回已付款项，如乙方行为造成甲方损失的，甲方有权要求赔偿并追究乙方相关责任人员的法律责任。</w:t>
      </w:r>
    </w:p>
    <w:p>
      <w:pPr>
        <w:spacing w:line="360" w:lineRule="auto"/>
        <w:ind w:firstLine="480" w:firstLineChars="200"/>
        <w:contextualSpacing/>
        <w:rPr>
          <w:rFonts w:hint="default" w:cs="Times New Roman" w:asciiTheme="minorEastAsia" w:hAnsiTheme="minorEastAsia" w:eastAsiaTheme="minorEastAsia"/>
          <w:bCs/>
          <w:sz w:val="24"/>
          <w:szCs w:val="24"/>
          <w:lang w:val="en-US" w:eastAsia="zh-CN"/>
        </w:rPr>
      </w:pPr>
      <w:r>
        <w:rPr>
          <w:rFonts w:hint="eastAsia" w:cs="Times New Roman" w:asciiTheme="minorEastAsia" w:hAnsiTheme="minorEastAsia"/>
          <w:bCs/>
          <w:sz w:val="24"/>
          <w:szCs w:val="24"/>
          <w:lang w:val="en-US" w:eastAsia="zh-CN"/>
        </w:rPr>
        <w:t>5.未经甲方许可，乙方擅自转包或分包本合同项下任何服务或工作的，甲方有权自乙方前述违约行为发生之日起解除本合同，要求乙方按照本合同总金额的30%支付违约金和赔偿给甲方造成的损失。</w:t>
      </w:r>
    </w:p>
    <w:p>
      <w:pPr>
        <w:spacing w:line="360" w:lineRule="auto"/>
        <w:ind w:firstLine="482" w:firstLineChars="200"/>
        <w:contextualSpacing/>
        <w:rPr>
          <w:rFonts w:cs="Times New Roman" w:asciiTheme="minorEastAsia" w:hAnsiTheme="minorEastAsia"/>
          <w:b/>
          <w:sz w:val="24"/>
          <w:szCs w:val="24"/>
        </w:rPr>
      </w:pPr>
      <w:r>
        <w:rPr>
          <w:rFonts w:hint="eastAsia" w:cs="Times New Roman" w:asciiTheme="minorEastAsia" w:hAnsiTheme="minorEastAsia"/>
          <w:b/>
          <w:sz w:val="24"/>
          <w:szCs w:val="24"/>
        </w:rPr>
        <w:t>第十条  双方确定，在本合同有效期内，甲方指定</w:t>
      </w:r>
      <w:r>
        <w:rPr>
          <w:rFonts w:hint="eastAsia" w:cs="Times New Roman" w:asciiTheme="minorEastAsia" w:hAnsiTheme="minorEastAsia"/>
          <w:b/>
          <w:sz w:val="24"/>
          <w:szCs w:val="24"/>
          <w:u w:val="single"/>
          <w:lang w:val="en-US" w:eastAsia="zh-CN"/>
        </w:rPr>
        <w:t xml:space="preserve">       </w:t>
      </w:r>
      <w:r>
        <w:rPr>
          <w:rFonts w:hint="eastAsia" w:cs="Times New Roman" w:asciiTheme="minorEastAsia" w:hAnsiTheme="minorEastAsia"/>
          <w:b/>
          <w:sz w:val="24"/>
          <w:szCs w:val="24"/>
        </w:rPr>
        <w:t>为甲方项目联系人，乙方指定</w:t>
      </w:r>
      <w:r>
        <w:rPr>
          <w:rFonts w:hint="eastAsia" w:cs="Times New Roman" w:asciiTheme="minorEastAsia" w:hAnsiTheme="minorEastAsia"/>
          <w:b/>
          <w:sz w:val="24"/>
          <w:szCs w:val="24"/>
          <w:u w:val="single"/>
        </w:rPr>
        <w:t xml:space="preserve"> </w:t>
      </w:r>
      <w:r>
        <w:rPr>
          <w:rFonts w:hint="eastAsia" w:cs="Times New Roman" w:asciiTheme="minorEastAsia" w:hAnsiTheme="minorEastAsia"/>
          <w:b/>
          <w:sz w:val="24"/>
          <w:szCs w:val="24"/>
          <w:u w:val="single"/>
          <w:lang w:val="en-US" w:eastAsia="zh-CN"/>
        </w:rPr>
        <w:t xml:space="preserve">    </w:t>
      </w:r>
      <w:r>
        <w:rPr>
          <w:rFonts w:hint="eastAsia" w:cs="Times New Roman" w:asciiTheme="minorEastAsia" w:hAnsiTheme="minorEastAsia"/>
          <w:b/>
          <w:sz w:val="24"/>
          <w:szCs w:val="24"/>
          <w:u w:val="single"/>
        </w:rPr>
        <w:t xml:space="preserve"> </w:t>
      </w:r>
      <w:r>
        <w:rPr>
          <w:rFonts w:hint="eastAsia" w:cs="Times New Roman" w:asciiTheme="minorEastAsia" w:hAnsiTheme="minorEastAsia"/>
          <w:b/>
          <w:sz w:val="24"/>
          <w:szCs w:val="24"/>
        </w:rPr>
        <w:t>为项目负责人、</w:t>
      </w:r>
      <w:r>
        <w:rPr>
          <w:rFonts w:hint="eastAsia" w:cs="Times New Roman" w:asciiTheme="minorEastAsia" w:hAnsiTheme="minorEastAsia"/>
          <w:b/>
          <w:sz w:val="24"/>
          <w:szCs w:val="24"/>
          <w:u w:val="single"/>
          <w:lang w:val="en-US" w:eastAsia="zh-CN"/>
        </w:rPr>
        <w:t xml:space="preserve">      </w:t>
      </w:r>
      <w:r>
        <w:rPr>
          <w:rFonts w:hint="eastAsia" w:cs="Times New Roman" w:asciiTheme="minorEastAsia" w:hAnsiTheme="minorEastAsia"/>
          <w:b/>
          <w:sz w:val="24"/>
          <w:szCs w:val="24"/>
          <w:u w:val="single"/>
        </w:rPr>
        <w:t xml:space="preserve"> </w:t>
      </w:r>
      <w:r>
        <w:rPr>
          <w:rFonts w:hint="eastAsia" w:cs="Times New Roman" w:asciiTheme="minorEastAsia" w:hAnsiTheme="minorEastAsia"/>
          <w:b/>
          <w:sz w:val="24"/>
          <w:szCs w:val="24"/>
        </w:rPr>
        <w:t>为技术负责人。</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如有一方变更项目主要负责人员的，应当及时以书面形式通知另一方。未及时通知并影响本合同履行或造成损失的，应承担相应的责任。</w:t>
      </w:r>
    </w:p>
    <w:p>
      <w:pPr>
        <w:spacing w:line="360" w:lineRule="auto"/>
        <w:ind w:firstLine="482" w:firstLineChars="200"/>
        <w:contextualSpacing/>
        <w:rPr>
          <w:rFonts w:cs="Times New Roman" w:asciiTheme="minorEastAsia" w:hAnsiTheme="minorEastAsia"/>
          <w:b/>
          <w:sz w:val="24"/>
          <w:szCs w:val="24"/>
        </w:rPr>
      </w:pPr>
      <w:r>
        <w:rPr>
          <w:rFonts w:hint="eastAsia" w:cs="Times New Roman" w:asciiTheme="minorEastAsia" w:hAnsiTheme="minorEastAsia"/>
          <w:b/>
          <w:sz w:val="24"/>
          <w:szCs w:val="24"/>
        </w:rPr>
        <w:t>第十一条  双方确定，出现下列情形，致使本合同的履行成为不必要或不可能的，可以协商解除本合同：</w:t>
      </w:r>
    </w:p>
    <w:p>
      <w:pPr>
        <w:spacing w:line="360" w:lineRule="auto"/>
        <w:ind w:left="540" w:leftChars="257" w:firstLine="48" w:firstLineChars="20"/>
        <w:contextualSpacing/>
        <w:rPr>
          <w:rFonts w:cs="Times New Roman" w:asciiTheme="minorEastAsia" w:hAnsiTheme="minorEastAsia"/>
          <w:sz w:val="24"/>
          <w:szCs w:val="24"/>
        </w:rPr>
      </w:pPr>
      <w:r>
        <w:rPr>
          <w:rFonts w:hint="eastAsia" w:cs="Times New Roman" w:asciiTheme="minorEastAsia" w:hAnsiTheme="minorEastAsia"/>
          <w:sz w:val="24"/>
          <w:szCs w:val="24"/>
        </w:rPr>
        <w:t>1</w:t>
      </w:r>
      <w:r>
        <w:rPr>
          <w:rFonts w:hint="eastAsia" w:cs="Times New Roman" w:asciiTheme="minorEastAsia" w:hAnsiTheme="minorEastAsia"/>
          <w:sz w:val="24"/>
          <w:szCs w:val="24"/>
          <w:u w:val="single"/>
        </w:rPr>
        <w:t>.发生不可抗力因素；</w:t>
      </w:r>
    </w:p>
    <w:p>
      <w:pPr>
        <w:spacing w:after="120" w:line="360" w:lineRule="auto"/>
        <w:ind w:left="540" w:leftChars="257" w:firstLine="48" w:firstLineChars="20"/>
        <w:contextualSpacing/>
        <w:rPr>
          <w:rFonts w:cs="Times New Roman" w:asciiTheme="minorEastAsia" w:hAnsiTheme="minorEastAsia"/>
          <w:sz w:val="24"/>
          <w:szCs w:val="24"/>
          <w:u w:val="single"/>
        </w:rPr>
      </w:pPr>
      <w:r>
        <w:rPr>
          <w:rFonts w:hint="eastAsia" w:cs="Times New Roman" w:asciiTheme="minorEastAsia" w:hAnsiTheme="minorEastAsia"/>
          <w:sz w:val="24"/>
          <w:szCs w:val="24"/>
        </w:rPr>
        <w:t>2.</w:t>
      </w:r>
      <w:r>
        <w:rPr>
          <w:rFonts w:hint="eastAsia" w:cs="Times New Roman" w:asciiTheme="minorEastAsia" w:hAnsiTheme="minorEastAsia"/>
          <w:sz w:val="24"/>
          <w:szCs w:val="24"/>
          <w:u w:val="single"/>
        </w:rPr>
        <w:t>无。</w:t>
      </w:r>
    </w:p>
    <w:p>
      <w:pPr>
        <w:spacing w:line="360" w:lineRule="auto"/>
        <w:ind w:firstLine="482" w:firstLineChars="200"/>
        <w:contextualSpacing/>
        <w:rPr>
          <w:rFonts w:hint="eastAsia" w:cs="Times New Roman" w:asciiTheme="minorEastAsia" w:hAnsiTheme="minorEastAsia"/>
          <w:bCs/>
          <w:sz w:val="24"/>
          <w:szCs w:val="24"/>
        </w:rPr>
      </w:pPr>
      <w:r>
        <w:rPr>
          <w:rFonts w:hint="eastAsia" w:cs="Times New Roman" w:asciiTheme="minorEastAsia" w:hAnsiTheme="minorEastAsia"/>
          <w:b/>
          <w:sz w:val="24"/>
          <w:szCs w:val="24"/>
        </w:rPr>
        <w:t>第十</w:t>
      </w:r>
      <w:r>
        <w:rPr>
          <w:rFonts w:hint="eastAsia" w:cs="Times New Roman" w:asciiTheme="minorEastAsia" w:hAnsiTheme="minorEastAsia"/>
          <w:b/>
          <w:sz w:val="24"/>
          <w:szCs w:val="24"/>
          <w:lang w:val="en-US" w:eastAsia="zh-CN"/>
        </w:rPr>
        <w:t>二</w:t>
      </w:r>
      <w:r>
        <w:rPr>
          <w:rFonts w:hint="eastAsia" w:cs="Times New Roman" w:asciiTheme="minorEastAsia" w:hAnsiTheme="minorEastAsia"/>
          <w:b/>
          <w:sz w:val="24"/>
          <w:szCs w:val="24"/>
        </w:rPr>
        <w:t xml:space="preserve">条  </w:t>
      </w:r>
      <w:r>
        <w:rPr>
          <w:rFonts w:hint="eastAsia" w:cs="Times New Roman" w:asciiTheme="minorEastAsia" w:hAnsiTheme="minorEastAsia"/>
          <w:bCs/>
          <w:sz w:val="24"/>
          <w:szCs w:val="24"/>
        </w:rPr>
        <w:t>双方因履行本合同而发生的争议，应协商解决，可另行签订补充协议；补充协议和附件均为本合同的组成部分，具有同等的法律效力。协商不成的，任何一方依法可向有</w:t>
      </w:r>
      <w:r>
        <w:rPr>
          <w:rFonts w:hint="eastAsia" w:cs="Times New Roman" w:asciiTheme="minorEastAsia" w:hAnsiTheme="minorEastAsia"/>
          <w:bCs/>
          <w:sz w:val="24"/>
          <w:szCs w:val="24"/>
          <w:u w:val="single"/>
        </w:rPr>
        <w:t>管辖权</w:t>
      </w:r>
      <w:r>
        <w:rPr>
          <w:rFonts w:hint="eastAsia" w:cs="Times New Roman" w:asciiTheme="minorEastAsia" w:hAnsiTheme="minorEastAsia"/>
          <w:bCs/>
          <w:sz w:val="24"/>
          <w:szCs w:val="24"/>
        </w:rPr>
        <w:t>的人民法院起诉。</w:t>
      </w:r>
    </w:p>
    <w:p>
      <w:pPr>
        <w:spacing w:line="360" w:lineRule="auto"/>
        <w:ind w:firstLine="482" w:firstLineChars="200"/>
        <w:contextualSpacing/>
        <w:rPr>
          <w:rFonts w:hint="default" w:cs="Times New Roman" w:asciiTheme="minorEastAsia" w:hAnsiTheme="minorEastAsia" w:eastAsiaTheme="minorEastAsia"/>
          <w:bCs/>
          <w:sz w:val="24"/>
          <w:szCs w:val="24"/>
          <w:lang w:val="en-US" w:eastAsia="zh-CN"/>
        </w:rPr>
      </w:pPr>
      <w:r>
        <w:rPr>
          <w:rFonts w:hint="eastAsia" w:cs="Times New Roman" w:asciiTheme="minorEastAsia" w:hAnsiTheme="minorEastAsia"/>
          <w:b/>
          <w:bCs w:val="0"/>
          <w:sz w:val="24"/>
          <w:szCs w:val="24"/>
          <w:lang w:val="en-US" w:eastAsia="zh-CN"/>
        </w:rPr>
        <w:t>第十三条</w:t>
      </w:r>
      <w:r>
        <w:rPr>
          <w:rFonts w:hint="eastAsia" w:cs="Times New Roman" w:asciiTheme="minorEastAsia" w:hAnsiTheme="minorEastAsia"/>
          <w:bCs/>
          <w:sz w:val="24"/>
          <w:szCs w:val="24"/>
          <w:lang w:val="en-US" w:eastAsia="zh-CN"/>
        </w:rPr>
        <w:t xml:space="preserve">  本合同未明确事宜比照项目招投标文件相关条款和国家相关法律规定和政策文件执行。未尽事宜，双方另行协商签订协议补充，补充协议与本合同具有同等法律效力。任一方工作人员的口头承诺均无效。</w:t>
      </w:r>
    </w:p>
    <w:p>
      <w:pPr>
        <w:spacing w:line="360" w:lineRule="auto"/>
        <w:ind w:firstLine="482" w:firstLineChars="200"/>
        <w:contextualSpacing/>
        <w:rPr>
          <w:rFonts w:cs="Times New Roman" w:asciiTheme="minorEastAsia" w:hAnsiTheme="minorEastAsia"/>
          <w:bCs/>
          <w:sz w:val="24"/>
          <w:szCs w:val="24"/>
        </w:rPr>
      </w:pPr>
      <w:r>
        <w:rPr>
          <w:rFonts w:hint="eastAsia" w:cs="Times New Roman" w:asciiTheme="minorEastAsia" w:hAnsiTheme="minorEastAsia"/>
          <w:b/>
          <w:sz w:val="24"/>
          <w:szCs w:val="24"/>
        </w:rPr>
        <w:t xml:space="preserve">第十四条  </w:t>
      </w:r>
      <w:r>
        <w:rPr>
          <w:rFonts w:hint="eastAsia" w:cs="Times New Roman" w:asciiTheme="minorEastAsia" w:hAnsiTheme="minorEastAsia"/>
          <w:bCs/>
          <w:sz w:val="24"/>
          <w:szCs w:val="24"/>
        </w:rPr>
        <w:t>双方约定本合同其他相关事项为</w:t>
      </w:r>
      <w:r>
        <w:rPr>
          <w:rFonts w:hint="eastAsia" w:cs="Times New Roman" w:asciiTheme="minorEastAsia" w:hAnsiTheme="minorEastAsia"/>
          <w:bCs/>
          <w:sz w:val="24"/>
          <w:szCs w:val="24"/>
          <w:u w:val="single"/>
        </w:rPr>
        <w:t>乙方对出具的</w:t>
      </w:r>
      <w:r>
        <w:rPr>
          <w:rFonts w:hint="eastAsia" w:cs="Times New Roman" w:asciiTheme="minorEastAsia" w:hAnsiTheme="minorEastAsia"/>
          <w:sz w:val="24"/>
          <w:szCs w:val="24"/>
          <w:u w:val="single"/>
        </w:rPr>
        <w:t>《消防安全评估报告》等</w:t>
      </w:r>
      <w:r>
        <w:rPr>
          <w:rFonts w:hint="eastAsia" w:cs="Times New Roman" w:asciiTheme="minorEastAsia" w:hAnsiTheme="minorEastAsia"/>
          <w:bCs/>
          <w:sz w:val="24"/>
          <w:szCs w:val="24"/>
          <w:u w:val="single"/>
        </w:rPr>
        <w:t>技术服务成果的质量负责并承担法律责任</w:t>
      </w:r>
      <w:r>
        <w:rPr>
          <w:rFonts w:hint="eastAsia" w:cs="Times New Roman" w:asciiTheme="minorEastAsia" w:hAnsiTheme="minorEastAsia"/>
          <w:bCs/>
          <w:sz w:val="24"/>
          <w:szCs w:val="24"/>
        </w:rPr>
        <w:t>。</w:t>
      </w:r>
    </w:p>
    <w:p>
      <w:pPr>
        <w:spacing w:line="360" w:lineRule="auto"/>
        <w:ind w:firstLine="482" w:firstLineChars="200"/>
        <w:contextualSpacing/>
        <w:rPr>
          <w:rFonts w:cs="Times New Roman" w:asciiTheme="minorEastAsia" w:hAnsiTheme="minorEastAsia"/>
          <w:b/>
          <w:sz w:val="24"/>
          <w:szCs w:val="24"/>
        </w:rPr>
      </w:pPr>
      <w:r>
        <w:rPr>
          <w:rFonts w:hint="eastAsia" w:cs="Times New Roman" w:asciiTheme="minorEastAsia" w:hAnsiTheme="minorEastAsia"/>
          <w:b/>
          <w:sz w:val="24"/>
          <w:szCs w:val="24"/>
        </w:rPr>
        <w:t xml:space="preserve">第十五条  </w:t>
      </w:r>
      <w:r>
        <w:rPr>
          <w:rFonts w:hint="eastAsia" w:cs="Times New Roman" w:asciiTheme="minorEastAsia" w:hAnsiTheme="minorEastAsia"/>
          <w:bCs/>
          <w:sz w:val="24"/>
          <w:szCs w:val="24"/>
        </w:rPr>
        <w:t>有关本合同履行的任何书面通知或往来文件应当以专人送交、传真、挂号信或特快专递的方式递交。上述通知或往来文件应当按照合同文首的各方通讯地址和联系信息送达。如专人递交的通知在专人递交之时视为有效送达；如以邮寄方式发送，以发件人寄出邮件后3日视为送达日期(无论收件人实际收件时间、是否实际收到、无法送达或退件)；以电子邮件形式发出的通知，在传送日后第一个工作日视为有效送达。如以传真形式送达，在发出传真且发送方的传输报告显示所有传真均已被接受方接受时，视为有效送达。</w:t>
      </w:r>
    </w:p>
    <w:p>
      <w:pPr>
        <w:spacing w:line="360" w:lineRule="auto"/>
        <w:ind w:firstLine="482" w:firstLineChars="200"/>
        <w:contextualSpacing/>
        <w:rPr>
          <w:rFonts w:cs="Times New Roman" w:asciiTheme="minorEastAsia" w:hAnsiTheme="minorEastAsia"/>
          <w:bCs/>
          <w:sz w:val="24"/>
          <w:szCs w:val="24"/>
        </w:rPr>
      </w:pPr>
      <w:r>
        <w:rPr>
          <w:rFonts w:hint="eastAsia" w:cs="Times New Roman" w:asciiTheme="minorEastAsia" w:hAnsiTheme="minorEastAsia"/>
          <w:b/>
          <w:sz w:val="24"/>
          <w:szCs w:val="24"/>
        </w:rPr>
        <w:t xml:space="preserve">第十六条  </w:t>
      </w:r>
      <w:r>
        <w:rPr>
          <w:rFonts w:hint="eastAsia" w:cs="Times New Roman" w:asciiTheme="minorEastAsia" w:hAnsiTheme="minorEastAsia"/>
          <w:bCs/>
          <w:sz w:val="24"/>
          <w:szCs w:val="24"/>
        </w:rPr>
        <w:t>本合同经双方签字盖章后生效。本合同一式陆份，甲乙双方各执叁份，具有同等法律效力，合同附件为本合同的有效组成部分，本合同共有四个附件：</w:t>
      </w:r>
    </w:p>
    <w:p>
      <w:pPr>
        <w:spacing w:line="360" w:lineRule="auto"/>
        <w:ind w:firstLine="480" w:firstLineChars="200"/>
        <w:contextualSpacing/>
        <w:rPr>
          <w:rFonts w:cs="Times New Roman" w:asciiTheme="minorEastAsia" w:hAnsiTheme="minorEastAsia"/>
          <w:bCs/>
          <w:sz w:val="24"/>
          <w:szCs w:val="24"/>
        </w:rPr>
      </w:pPr>
      <w:r>
        <w:rPr>
          <w:rFonts w:hint="eastAsia" w:cs="Times New Roman" w:asciiTheme="minorEastAsia" w:hAnsiTheme="minorEastAsia"/>
          <w:bCs/>
          <w:sz w:val="24"/>
          <w:szCs w:val="24"/>
        </w:rPr>
        <w:t>附件1《评估服务所需提供资料清单》；</w:t>
      </w:r>
    </w:p>
    <w:p>
      <w:pPr>
        <w:spacing w:line="360" w:lineRule="auto"/>
        <w:ind w:firstLine="480" w:firstLineChars="200"/>
        <w:contextualSpacing/>
        <w:rPr>
          <w:rFonts w:cs="Times New Roman" w:asciiTheme="minorEastAsia" w:hAnsiTheme="minorEastAsia"/>
          <w:bCs/>
          <w:sz w:val="24"/>
          <w:szCs w:val="24"/>
        </w:rPr>
      </w:pPr>
      <w:r>
        <w:rPr>
          <w:rFonts w:hint="eastAsia" w:cs="Times New Roman" w:asciiTheme="minorEastAsia" w:hAnsiTheme="minorEastAsia"/>
          <w:bCs/>
          <w:sz w:val="24"/>
          <w:szCs w:val="24"/>
        </w:rPr>
        <w:t>附件2《团队服务人员名单》；</w:t>
      </w:r>
    </w:p>
    <w:p>
      <w:pPr>
        <w:spacing w:line="360" w:lineRule="auto"/>
        <w:ind w:firstLine="480" w:firstLineChars="200"/>
        <w:contextualSpacing/>
        <w:rPr>
          <w:rFonts w:cs="Times New Roman" w:asciiTheme="minorEastAsia" w:hAnsiTheme="minorEastAsia"/>
          <w:bCs/>
          <w:sz w:val="24"/>
          <w:szCs w:val="24"/>
        </w:rPr>
      </w:pPr>
      <w:r>
        <w:rPr>
          <w:rFonts w:hint="eastAsia" w:cs="Times New Roman" w:asciiTheme="minorEastAsia" w:hAnsiTheme="minorEastAsia"/>
          <w:bCs/>
          <w:sz w:val="24"/>
          <w:szCs w:val="24"/>
        </w:rPr>
        <w:t>附件3《北京市卫生健康系统大排查大整治消防安全检查要点》；</w:t>
      </w:r>
    </w:p>
    <w:p>
      <w:pPr>
        <w:spacing w:line="360" w:lineRule="auto"/>
        <w:ind w:firstLine="480" w:firstLineChars="200"/>
        <w:contextualSpacing/>
        <w:rPr>
          <w:rFonts w:hint="eastAsia" w:cs="Times New Roman" w:asciiTheme="minorEastAsia" w:hAnsiTheme="minorEastAsia"/>
          <w:bCs/>
          <w:sz w:val="24"/>
          <w:szCs w:val="24"/>
        </w:rPr>
      </w:pPr>
      <w:r>
        <w:rPr>
          <w:rFonts w:hint="eastAsia" w:cs="Times New Roman" w:asciiTheme="minorEastAsia" w:hAnsiTheme="minorEastAsia"/>
          <w:bCs/>
          <w:sz w:val="24"/>
          <w:szCs w:val="24"/>
        </w:rPr>
        <w:t>附件4《市属医院特定场所消防安全管理要点》</w:t>
      </w:r>
      <w:r>
        <w:rPr>
          <w:rFonts w:hint="eastAsia" w:cs="Times New Roman" w:asciiTheme="minorEastAsia" w:hAnsiTheme="minorEastAsia"/>
          <w:bCs/>
          <w:sz w:val="24"/>
          <w:szCs w:val="24"/>
          <w:lang w:eastAsia="zh-CN"/>
        </w:rPr>
        <w:t>；</w:t>
      </w:r>
    </w:p>
    <w:p>
      <w:pPr>
        <w:spacing w:line="360" w:lineRule="auto"/>
        <w:ind w:firstLine="480" w:firstLineChars="200"/>
        <w:contextualSpacing/>
        <w:rPr>
          <w:rFonts w:hint="default" w:cs="Times New Roman" w:asciiTheme="minorEastAsia" w:hAnsiTheme="minorEastAsia" w:eastAsiaTheme="minorEastAsia"/>
          <w:bCs/>
          <w:sz w:val="24"/>
          <w:szCs w:val="24"/>
          <w:lang w:val="en-US" w:eastAsia="zh-CN"/>
        </w:rPr>
      </w:pPr>
      <w:r>
        <w:rPr>
          <w:rFonts w:hint="eastAsia" w:cs="Times New Roman" w:asciiTheme="minorEastAsia" w:hAnsiTheme="minorEastAsia"/>
          <w:bCs/>
          <w:sz w:val="24"/>
          <w:szCs w:val="24"/>
          <w:lang w:val="en-US" w:eastAsia="zh-CN"/>
        </w:rPr>
        <w:t>附件5《廉洁协议》。</w:t>
      </w:r>
    </w:p>
    <w:p>
      <w:pPr>
        <w:spacing w:line="360" w:lineRule="auto"/>
        <w:contextualSpacing/>
        <w:rPr>
          <w:rFonts w:cs="Times New Roman" w:asciiTheme="minorEastAsia" w:hAnsiTheme="minorEastAsia"/>
          <w:sz w:val="24"/>
          <w:szCs w:val="24"/>
        </w:rPr>
      </w:pPr>
      <w:r>
        <w:rPr>
          <w:rFonts w:hint="eastAsia" w:cs="Times New Roman" w:asciiTheme="minorEastAsia" w:hAnsiTheme="minorEastAsia"/>
          <w:sz w:val="24"/>
          <w:szCs w:val="24"/>
        </w:rPr>
        <w:t>【本页无正文，为甲乙双方“北京清华长庚医院 202</w:t>
      </w:r>
      <w:r>
        <w:rPr>
          <w:rFonts w:hint="eastAsia" w:cs="Times New Roman" w:asciiTheme="minorEastAsia" w:hAnsiTheme="minorEastAsia"/>
          <w:sz w:val="24"/>
          <w:szCs w:val="24"/>
          <w:lang w:val="en-US" w:eastAsia="zh-CN"/>
        </w:rPr>
        <w:t>5</w:t>
      </w:r>
      <w:r>
        <w:rPr>
          <w:rFonts w:hint="eastAsia" w:cs="Times New Roman" w:asciiTheme="minorEastAsia" w:hAnsiTheme="minorEastAsia"/>
          <w:sz w:val="24"/>
          <w:szCs w:val="24"/>
        </w:rPr>
        <w:t>年度消防安全评估服务”项目《技术服务合同》签署页。】</w:t>
      </w:r>
    </w:p>
    <w:p>
      <w:pPr>
        <w:spacing w:line="360" w:lineRule="auto"/>
        <w:contextualSpacing/>
        <w:rPr>
          <w:rFonts w:cs="Times New Roman" w:asciiTheme="minorEastAsia" w:hAnsiTheme="minorEastAsia"/>
          <w:sz w:val="24"/>
          <w:szCs w:val="24"/>
        </w:rPr>
      </w:pPr>
    </w:p>
    <w:p>
      <w:pPr>
        <w:spacing w:line="360" w:lineRule="auto"/>
        <w:contextualSpacing/>
        <w:rPr>
          <w:rFonts w:cs="Times New Roman" w:asciiTheme="minorEastAsia" w:hAnsiTheme="minorEastAsia"/>
          <w:sz w:val="24"/>
          <w:szCs w:val="24"/>
        </w:rPr>
      </w:pPr>
    </w:p>
    <w:p>
      <w:pPr>
        <w:spacing w:line="360" w:lineRule="auto"/>
        <w:contextualSpacing/>
        <w:rPr>
          <w:rFonts w:cs="Times New Roman" w:asciiTheme="minorEastAsia" w:hAnsiTheme="minorEastAsia"/>
          <w:sz w:val="24"/>
          <w:szCs w:val="24"/>
        </w:rPr>
      </w:pP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甲方：北京清华长庚医院（盖章）</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法定代表人/委托代理人：（签名）</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项目联系人：</w:t>
      </w:r>
    </w:p>
    <w:p>
      <w:pPr>
        <w:spacing w:line="360" w:lineRule="auto"/>
        <w:ind w:firstLine="480" w:firstLineChars="200"/>
        <w:contextualSpacing/>
        <w:rPr>
          <w:rFonts w:cs="Times New Roman" w:asciiTheme="minorEastAsia" w:hAnsiTheme="minorEastAsia"/>
          <w:sz w:val="24"/>
          <w:szCs w:val="24"/>
        </w:rPr>
      </w:pPr>
    </w:p>
    <w:p>
      <w:pPr>
        <w:spacing w:line="360" w:lineRule="auto"/>
        <w:ind w:firstLine="480" w:firstLineChars="200"/>
        <w:contextualSpacing/>
        <w:rPr>
          <w:rFonts w:cs="Times New Roman" w:asciiTheme="minorEastAsia" w:hAnsiTheme="minorEastAsia"/>
          <w:sz w:val="24"/>
          <w:szCs w:val="24"/>
        </w:rPr>
      </w:pPr>
    </w:p>
    <w:p>
      <w:pPr>
        <w:spacing w:line="360" w:lineRule="auto"/>
        <w:ind w:firstLine="480" w:firstLineChars="200"/>
        <w:contextualSpacing/>
        <w:jc w:val="center"/>
        <w:rPr>
          <w:rFonts w:cs="Times New Roman" w:asciiTheme="minorEastAsia" w:hAnsiTheme="minorEastAsia"/>
          <w:sz w:val="24"/>
          <w:szCs w:val="24"/>
        </w:rPr>
      </w:pPr>
      <w:r>
        <w:rPr>
          <w:rFonts w:hint="eastAsia" w:cs="Times New Roman" w:asciiTheme="minorEastAsia" w:hAnsiTheme="minorEastAsia"/>
          <w:sz w:val="24"/>
          <w:szCs w:val="24"/>
        </w:rPr>
        <w:t xml:space="preserve">                        年      月      日</w:t>
      </w:r>
    </w:p>
    <w:p>
      <w:pPr>
        <w:spacing w:line="360" w:lineRule="auto"/>
        <w:ind w:firstLine="480" w:firstLineChars="200"/>
        <w:contextualSpacing/>
        <w:rPr>
          <w:rFonts w:cs="Times New Roman" w:asciiTheme="minorEastAsia" w:hAnsiTheme="minorEastAsia"/>
          <w:sz w:val="24"/>
          <w:szCs w:val="24"/>
        </w:rPr>
      </w:pPr>
    </w:p>
    <w:p>
      <w:pPr>
        <w:spacing w:line="360" w:lineRule="auto"/>
        <w:ind w:firstLine="480" w:firstLineChars="200"/>
        <w:contextualSpacing/>
        <w:jc w:val="left"/>
        <w:rPr>
          <w:rFonts w:cs="Times New Roman" w:asciiTheme="minorEastAsia" w:hAnsiTheme="minorEastAsia"/>
          <w:sz w:val="24"/>
          <w:szCs w:val="24"/>
        </w:rPr>
      </w:pPr>
      <w:r>
        <w:rPr>
          <w:rFonts w:hint="eastAsia" w:cs="Times New Roman" w:asciiTheme="minorEastAsia" w:hAnsiTheme="minorEastAsia"/>
          <w:sz w:val="24"/>
          <w:szCs w:val="24"/>
        </w:rPr>
        <w:t>乙方：</w:t>
      </w:r>
      <w:r>
        <w:rPr>
          <w:rFonts w:hint="eastAsia" w:asciiTheme="minorEastAsia" w:hAnsiTheme="minorEastAsia"/>
          <w:sz w:val="24"/>
          <w:szCs w:val="24"/>
          <w:u w:val="single"/>
          <w:lang w:val="en-US" w:eastAsia="zh-CN"/>
        </w:rPr>
        <w:t xml:space="preserve">                          </w:t>
      </w:r>
      <w:r>
        <w:rPr>
          <w:rFonts w:hint="eastAsia" w:cs="Times New Roman" w:asciiTheme="minorEastAsia" w:hAnsiTheme="minorEastAsia"/>
          <w:sz w:val="24"/>
          <w:szCs w:val="24"/>
        </w:rPr>
        <w:t>（盖章）</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法定代表人/委托代理人：（签名）</w:t>
      </w:r>
    </w:p>
    <w:p>
      <w:pPr>
        <w:spacing w:line="360" w:lineRule="auto"/>
        <w:ind w:firstLine="480" w:firstLineChars="200"/>
        <w:contextualSpacing/>
        <w:rPr>
          <w:rFonts w:cs="Times New Roman" w:asciiTheme="minorEastAsia" w:hAnsiTheme="minorEastAsia"/>
          <w:sz w:val="24"/>
          <w:szCs w:val="24"/>
        </w:rPr>
      </w:pPr>
      <w:r>
        <w:rPr>
          <w:rFonts w:hint="eastAsia" w:cs="Times New Roman" w:asciiTheme="minorEastAsia" w:hAnsiTheme="minorEastAsia"/>
          <w:sz w:val="24"/>
          <w:szCs w:val="24"/>
        </w:rPr>
        <w:t>项目联系人：</w:t>
      </w:r>
    </w:p>
    <w:p>
      <w:pPr>
        <w:spacing w:line="360" w:lineRule="auto"/>
        <w:ind w:firstLine="480" w:firstLineChars="200"/>
        <w:contextualSpacing/>
        <w:jc w:val="center"/>
        <w:rPr>
          <w:rFonts w:cs="Times New Roman" w:asciiTheme="minorEastAsia" w:hAnsiTheme="minorEastAsia"/>
          <w:sz w:val="24"/>
          <w:szCs w:val="24"/>
        </w:rPr>
      </w:pPr>
      <w:r>
        <w:rPr>
          <w:rFonts w:hint="eastAsia" w:cs="Times New Roman" w:asciiTheme="minorEastAsia" w:hAnsiTheme="minorEastAsia"/>
          <w:sz w:val="24"/>
          <w:szCs w:val="24"/>
        </w:rPr>
        <w:t xml:space="preserve">                        年      月      日</w:t>
      </w:r>
    </w:p>
    <w:p>
      <w:pPr>
        <w:spacing w:line="360" w:lineRule="auto"/>
        <w:contextualSpacing/>
        <w:rPr>
          <w:rFonts w:cs="Times New Roman" w:asciiTheme="minorEastAsia" w:hAnsiTheme="minorEastAsia"/>
          <w:sz w:val="24"/>
          <w:szCs w:val="24"/>
        </w:rPr>
      </w:pPr>
    </w:p>
    <w:p>
      <w:pPr>
        <w:spacing w:line="360" w:lineRule="auto"/>
        <w:ind w:firstLine="480" w:firstLineChars="200"/>
        <w:contextualSpacing/>
        <w:rPr>
          <w:rFonts w:cs="Times New Roman" w:asciiTheme="minorEastAsia" w:hAnsiTheme="minorEastAsia"/>
          <w:sz w:val="24"/>
          <w:szCs w:val="24"/>
        </w:rPr>
      </w:pPr>
    </w:p>
    <w:p>
      <w:pPr>
        <w:spacing w:line="360" w:lineRule="auto"/>
        <w:ind w:firstLine="480" w:firstLineChars="200"/>
        <w:contextualSpacing/>
        <w:rPr>
          <w:rFonts w:cs="Times New Roman" w:asciiTheme="minorEastAsia" w:hAnsiTheme="minorEastAsia"/>
          <w:sz w:val="24"/>
          <w:szCs w:val="24"/>
        </w:rPr>
        <w:sectPr>
          <w:footerReference r:id="rId3" w:type="default"/>
          <w:pgSz w:w="11906" w:h="16838"/>
          <w:pgMar w:top="1440" w:right="1800" w:bottom="1440" w:left="1800" w:header="851" w:footer="992" w:gutter="0"/>
          <w:cols w:space="425" w:num="1"/>
          <w:docGrid w:type="lines" w:linePitch="312" w:charSpace="0"/>
        </w:sectPr>
      </w:pPr>
    </w:p>
    <w:p>
      <w:pPr>
        <w:shd w:val="clear" w:color="000000" w:fill="FFFFFF"/>
        <w:spacing w:before="100" w:beforeAutospacing="1" w:after="100" w:afterAutospacing="1" w:line="360" w:lineRule="auto"/>
        <w:jc w:val="center"/>
        <w:rPr>
          <w:rFonts w:ascii="Times New Roman" w:hAnsi="Times New Roman" w:eastAsia="Times New Roman"/>
          <w:b/>
          <w:color w:val="000000"/>
          <w:sz w:val="30"/>
          <w:szCs w:val="30"/>
        </w:rPr>
      </w:pPr>
      <w:r>
        <w:rPr>
          <w:rFonts w:hint="eastAsia" w:asciiTheme="minorEastAsia" w:hAnsiTheme="minorEastAsia"/>
          <w:b/>
          <w:color w:val="000000"/>
          <w:sz w:val="30"/>
          <w:szCs w:val="30"/>
        </w:rPr>
        <w:t>信息登记表</w:t>
      </w:r>
    </w:p>
    <w:tbl>
      <w:tblPr>
        <w:tblStyle w:val="33"/>
        <w:tblW w:w="8510" w:type="dxa"/>
        <w:tblInd w:w="0" w:type="dxa"/>
        <w:tblLayout w:type="fixed"/>
        <w:tblCellMar>
          <w:top w:w="0" w:type="dxa"/>
          <w:left w:w="108" w:type="dxa"/>
          <w:bottom w:w="0" w:type="dxa"/>
          <w:right w:w="108" w:type="dxa"/>
        </w:tblCellMar>
      </w:tblPr>
      <w:tblGrid>
        <w:gridCol w:w="1103"/>
        <w:gridCol w:w="1137"/>
        <w:gridCol w:w="1350"/>
        <w:gridCol w:w="1125"/>
        <w:gridCol w:w="1362"/>
        <w:gridCol w:w="2433"/>
      </w:tblGrid>
      <w:tr>
        <w:tblPrEx>
          <w:tblCellMar>
            <w:top w:w="0" w:type="dxa"/>
            <w:left w:w="108" w:type="dxa"/>
            <w:bottom w:w="0" w:type="dxa"/>
            <w:right w:w="108" w:type="dxa"/>
          </w:tblCellMar>
        </w:tblPrEx>
        <w:trPr>
          <w:trHeight w:val="851" w:hRule="atLeast"/>
        </w:trPr>
        <w:tc>
          <w:tcPr>
            <w:tcW w:w="1103" w:type="dxa"/>
            <w:tcBorders>
              <w:top w:val="single" w:color="auto" w:sz="4" w:space="0"/>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甲 方</w:t>
            </w:r>
          </w:p>
        </w:tc>
        <w:tc>
          <w:tcPr>
            <w:tcW w:w="2487" w:type="dxa"/>
            <w:gridSpan w:val="2"/>
            <w:tcBorders>
              <w:top w:val="single" w:color="auto" w:sz="4" w:space="0"/>
              <w:left w:val="nil"/>
              <w:bottom w:val="single" w:color="auto" w:sz="4" w:space="0"/>
              <w:right w:val="single" w:color="000000" w:sz="4" w:space="0"/>
            </w:tcBorders>
            <w:vAlign w:val="center"/>
          </w:tcPr>
          <w:p>
            <w:pPr>
              <w:jc w:val="left"/>
              <w:rPr>
                <w:rFonts w:ascii="宋体" w:hAnsi="Times New Roman" w:eastAsia="宋体"/>
                <w:color w:val="000000"/>
                <w:sz w:val="22"/>
              </w:rPr>
            </w:pPr>
            <w:r>
              <w:rPr>
                <w:rFonts w:hint="eastAsia" w:ascii="宋体" w:hAnsi="Times New Roman" w:eastAsia="宋体"/>
                <w:color w:val="000000"/>
                <w:sz w:val="22"/>
              </w:rPr>
              <w:t>北京清华长庚医院</w:t>
            </w:r>
          </w:p>
        </w:tc>
        <w:tc>
          <w:tcPr>
            <w:tcW w:w="1125" w:type="dxa"/>
            <w:tcBorders>
              <w:top w:val="single" w:color="auto" w:sz="4" w:space="0"/>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乙  方</w:t>
            </w:r>
          </w:p>
        </w:tc>
        <w:tc>
          <w:tcPr>
            <w:tcW w:w="3795" w:type="dxa"/>
            <w:gridSpan w:val="2"/>
            <w:tcBorders>
              <w:top w:val="single" w:color="auto" w:sz="4" w:space="0"/>
              <w:left w:val="nil"/>
              <w:bottom w:val="single" w:color="auto" w:sz="4" w:space="0"/>
              <w:right w:val="single" w:color="000000"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1496" w:hRule="atLeast"/>
        </w:trPr>
        <w:tc>
          <w:tcPr>
            <w:tcW w:w="1103" w:type="dxa"/>
            <w:vMerge w:val="restart"/>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通信信息</w:t>
            </w: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地  址</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hint="eastAsia" w:ascii="宋体" w:hAnsi="Times New Roman" w:eastAsia="Times New Roman"/>
                <w:color w:val="000000"/>
                <w:sz w:val="22"/>
              </w:rPr>
              <w:t>北京市昌平区立汤路168号</w:t>
            </w:r>
          </w:p>
        </w:tc>
        <w:tc>
          <w:tcPr>
            <w:tcW w:w="1125" w:type="dxa"/>
            <w:vMerge w:val="restart"/>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通信信息</w:t>
            </w: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地  址</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邮  编</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宋体"/>
                <w:color w:val="000000"/>
                <w:sz w:val="22"/>
              </w:rPr>
            </w:pPr>
            <w:r>
              <w:rPr>
                <w:rFonts w:ascii="宋体" w:hAnsi="Times New Roman" w:eastAsia="宋体"/>
                <w:color w:val="000000"/>
                <w:sz w:val="22"/>
              </w:rPr>
              <w:t>102218</w:t>
            </w:r>
          </w:p>
        </w:tc>
        <w:tc>
          <w:tcPr>
            <w:tcW w:w="1125"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邮  编</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联系人</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25"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联系人</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宋体"/>
                <w:color w:val="000000"/>
                <w:sz w:val="22"/>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电  话</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25"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电  话</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宋体"/>
                <w:color w:val="000000"/>
                <w:sz w:val="22"/>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邮  箱</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25"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邮  箱</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宋体"/>
                <w:color w:val="000000"/>
                <w:sz w:val="22"/>
              </w:rPr>
            </w:pPr>
          </w:p>
        </w:tc>
      </w:tr>
      <w:tr>
        <w:tblPrEx>
          <w:tblCellMar>
            <w:top w:w="0" w:type="dxa"/>
            <w:left w:w="108" w:type="dxa"/>
            <w:bottom w:w="0" w:type="dxa"/>
            <w:right w:w="108" w:type="dxa"/>
          </w:tblCellMar>
        </w:tblPrEx>
        <w:trPr>
          <w:trHeight w:val="1186" w:hRule="atLeast"/>
        </w:trPr>
        <w:tc>
          <w:tcPr>
            <w:tcW w:w="1103" w:type="dxa"/>
            <w:vMerge w:val="restart"/>
            <w:tcBorders>
              <w:top w:val="nil"/>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开票信息</w:t>
            </w: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单位名称</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hint="eastAsia" w:ascii="宋体" w:hAnsi="Times New Roman" w:eastAsia="Times New Roman"/>
                <w:color w:val="000000"/>
                <w:sz w:val="22"/>
              </w:rPr>
              <w:t>北京清华长庚医院</w:t>
            </w:r>
          </w:p>
        </w:tc>
        <w:tc>
          <w:tcPr>
            <w:tcW w:w="1125" w:type="dxa"/>
            <w:vMerge w:val="restart"/>
            <w:tcBorders>
              <w:top w:val="nil"/>
              <w:left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收款信息</w:t>
            </w: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账户名称</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851" w:hRule="atLeast"/>
        </w:trPr>
        <w:tc>
          <w:tcPr>
            <w:tcW w:w="1103" w:type="dxa"/>
            <w:vMerge w:val="continue"/>
            <w:tcBorders>
              <w:top w:val="nil"/>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纳税人识别号</w:t>
            </w:r>
          </w:p>
        </w:tc>
        <w:tc>
          <w:tcPr>
            <w:tcW w:w="1350" w:type="dxa"/>
            <w:tcBorders>
              <w:top w:val="nil"/>
              <w:left w:val="nil"/>
              <w:bottom w:val="single" w:color="auto" w:sz="4" w:space="0"/>
              <w:right w:val="single" w:color="auto" w:sz="4" w:space="0"/>
            </w:tcBorders>
            <w:vAlign w:val="center"/>
          </w:tcPr>
          <w:p>
            <w:pPr>
              <w:pStyle w:val="17"/>
              <w:textAlignment w:val="baseline"/>
              <w:rPr>
                <w:rFonts w:hAnsi="Times New Roman" w:eastAsia="Times New Roman"/>
                <w:color w:val="000000"/>
                <w:sz w:val="22"/>
              </w:rPr>
            </w:pPr>
            <w:r>
              <w:rPr>
                <w:rFonts w:hint="eastAsia" w:ascii="Arial" w:hAnsi="Arial" w:cs="Arial"/>
              </w:rPr>
              <w:t>12110000318301495P</w:t>
            </w:r>
          </w:p>
        </w:tc>
        <w:tc>
          <w:tcPr>
            <w:tcW w:w="1125" w:type="dxa"/>
            <w:vMerge w:val="continue"/>
            <w:tcBorders>
              <w:left w:val="single" w:color="auto"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账  号</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1158" w:hRule="atLeast"/>
        </w:trPr>
        <w:tc>
          <w:tcPr>
            <w:tcW w:w="1103" w:type="dxa"/>
            <w:vMerge w:val="continue"/>
            <w:tcBorders>
              <w:top w:val="nil"/>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地  址</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hint="eastAsia" w:ascii="Arial" w:hAnsi="Arial" w:cs="Arial"/>
              </w:rPr>
              <w:t>北京市昌平区立汤路168号</w:t>
            </w:r>
          </w:p>
        </w:tc>
        <w:tc>
          <w:tcPr>
            <w:tcW w:w="1125" w:type="dxa"/>
            <w:vMerge w:val="continue"/>
            <w:tcBorders>
              <w:left w:val="single" w:color="auto"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开户行</w:t>
            </w:r>
          </w:p>
          <w:p>
            <w:pPr>
              <w:jc w:val="left"/>
              <w:rPr>
                <w:rFonts w:ascii="宋体" w:hAnsi="Times New Roman" w:eastAsia="Times New Roman"/>
                <w:color w:val="000000"/>
                <w:sz w:val="22"/>
              </w:rPr>
            </w:pPr>
            <w:r>
              <w:rPr>
                <w:rFonts w:ascii="宋体" w:hAnsi="Times New Roman" w:eastAsia="Times New Roman"/>
                <w:color w:val="000000"/>
                <w:sz w:val="22"/>
              </w:rPr>
              <w:t>名</w:t>
            </w:r>
            <w:r>
              <w:rPr>
                <w:rFonts w:hint="eastAsia" w:ascii="宋体" w:hAnsi="Times New Roman"/>
                <w:color w:val="000000"/>
                <w:sz w:val="22"/>
              </w:rPr>
              <w:t xml:space="preserve"> </w:t>
            </w:r>
            <w:r>
              <w:rPr>
                <w:rFonts w:ascii="宋体" w:hAnsi="Times New Roman"/>
                <w:color w:val="000000"/>
                <w:sz w:val="22"/>
              </w:rPr>
              <w:t xml:space="preserve"> </w:t>
            </w:r>
            <w:r>
              <w:rPr>
                <w:rFonts w:ascii="宋体" w:hAnsi="Times New Roman" w:eastAsia="Times New Roman"/>
                <w:color w:val="000000"/>
                <w:sz w:val="22"/>
              </w:rPr>
              <w:t>称</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761" w:hRule="atLeast"/>
        </w:trPr>
        <w:tc>
          <w:tcPr>
            <w:tcW w:w="1103" w:type="dxa"/>
            <w:vMerge w:val="continue"/>
            <w:tcBorders>
              <w:top w:val="nil"/>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联行号</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宋体"/>
                <w:color w:val="000000"/>
                <w:sz w:val="22"/>
              </w:rPr>
            </w:pPr>
            <w:r>
              <w:rPr>
                <w:rFonts w:hint="eastAsia" w:ascii="宋体" w:hAnsi="Times New Roman" w:eastAsia="宋体"/>
                <w:color w:val="000000"/>
                <w:sz w:val="22"/>
              </w:rPr>
              <w:t>/</w:t>
            </w:r>
          </w:p>
        </w:tc>
        <w:tc>
          <w:tcPr>
            <w:tcW w:w="1125" w:type="dxa"/>
            <w:vMerge w:val="continue"/>
            <w:tcBorders>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联行号</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电  话</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宋体"/>
                <w:color w:val="000000"/>
                <w:sz w:val="22"/>
              </w:rPr>
            </w:pPr>
            <w:r>
              <w:rPr>
                <w:rFonts w:hint="eastAsia" w:ascii="宋体" w:hAnsi="Times New Roman" w:eastAsia="宋体"/>
                <w:color w:val="000000"/>
                <w:sz w:val="22"/>
              </w:rPr>
              <w:t>/</w:t>
            </w:r>
          </w:p>
        </w:tc>
        <w:tc>
          <w:tcPr>
            <w:tcW w:w="1125" w:type="dxa"/>
            <w:vMerge w:val="restart"/>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资质信息</w:t>
            </w:r>
          </w:p>
        </w:tc>
        <w:tc>
          <w:tcPr>
            <w:tcW w:w="1362" w:type="dxa"/>
            <w:vMerge w:val="restart"/>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工商营业统一社会信用代码</w:t>
            </w:r>
          </w:p>
        </w:tc>
        <w:tc>
          <w:tcPr>
            <w:tcW w:w="2433" w:type="dxa"/>
            <w:vMerge w:val="restart"/>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529" w:hRule="atLeast"/>
        </w:trPr>
        <w:tc>
          <w:tcPr>
            <w:tcW w:w="1103" w:type="dxa"/>
            <w:vMerge w:val="continue"/>
            <w:tcBorders>
              <w:top w:val="nil"/>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开户行</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hint="eastAsia" w:ascii="Arial" w:hAnsi="Arial" w:cs="Arial"/>
              </w:rPr>
              <w:t>北京银行太阳宫支行</w:t>
            </w:r>
          </w:p>
        </w:tc>
        <w:tc>
          <w:tcPr>
            <w:tcW w:w="1125"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362" w:type="dxa"/>
            <w:vMerge w:val="continue"/>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c>
          <w:tcPr>
            <w:tcW w:w="2433" w:type="dxa"/>
            <w:vMerge w:val="continue"/>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r>
        <w:tblPrEx>
          <w:tblCellMar>
            <w:top w:w="0" w:type="dxa"/>
            <w:left w:w="108" w:type="dxa"/>
            <w:bottom w:w="0" w:type="dxa"/>
            <w:right w:w="108" w:type="dxa"/>
          </w:tblCellMar>
        </w:tblPrEx>
        <w:trPr>
          <w:trHeight w:val="865" w:hRule="atLeast"/>
        </w:trPr>
        <w:tc>
          <w:tcPr>
            <w:tcW w:w="1103" w:type="dxa"/>
            <w:vMerge w:val="continue"/>
            <w:tcBorders>
              <w:top w:val="nil"/>
              <w:left w:val="single" w:color="auto" w:sz="4" w:space="0"/>
              <w:bottom w:val="single" w:color="auto" w:sz="4" w:space="0"/>
              <w:right w:val="single" w:color="auto" w:sz="4" w:space="0"/>
            </w:tcBorders>
            <w:vAlign w:val="center"/>
          </w:tcPr>
          <w:p>
            <w:pPr>
              <w:jc w:val="left"/>
              <w:rPr>
                <w:rFonts w:ascii="宋体" w:hAnsi="Times New Roman" w:eastAsia="Times New Roman"/>
                <w:color w:val="000000"/>
                <w:sz w:val="22"/>
              </w:rPr>
            </w:pPr>
          </w:p>
        </w:tc>
        <w:tc>
          <w:tcPr>
            <w:tcW w:w="1137"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账  号</w:t>
            </w:r>
          </w:p>
        </w:tc>
        <w:tc>
          <w:tcPr>
            <w:tcW w:w="1350"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hint="eastAsia" w:ascii="Arial" w:hAnsi="Arial" w:cs="Arial"/>
              </w:rPr>
              <w:t>20000028396500002202843</w:t>
            </w:r>
          </w:p>
        </w:tc>
        <w:tc>
          <w:tcPr>
            <w:tcW w:w="1125" w:type="dxa"/>
            <w:vMerge w:val="continue"/>
            <w:tcBorders>
              <w:top w:val="nil"/>
              <w:left w:val="single" w:color="auto" w:sz="4" w:space="0"/>
              <w:bottom w:val="single" w:color="000000" w:sz="4" w:space="0"/>
              <w:right w:val="single" w:color="auto" w:sz="4" w:space="0"/>
            </w:tcBorders>
            <w:vAlign w:val="center"/>
          </w:tcPr>
          <w:p>
            <w:pPr>
              <w:jc w:val="left"/>
              <w:rPr>
                <w:rFonts w:ascii="宋体" w:hAnsi="Times New Roman" w:eastAsia="Times New Roman"/>
                <w:color w:val="000000"/>
                <w:sz w:val="22"/>
              </w:rPr>
            </w:pPr>
          </w:p>
        </w:tc>
        <w:tc>
          <w:tcPr>
            <w:tcW w:w="1362"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r>
              <w:rPr>
                <w:rFonts w:ascii="宋体" w:hAnsi="Times New Roman" w:eastAsia="Times New Roman"/>
                <w:color w:val="000000"/>
                <w:sz w:val="22"/>
              </w:rPr>
              <w:t>是否一般纳税人</w:t>
            </w:r>
          </w:p>
        </w:tc>
        <w:tc>
          <w:tcPr>
            <w:tcW w:w="2433" w:type="dxa"/>
            <w:tcBorders>
              <w:top w:val="nil"/>
              <w:left w:val="nil"/>
              <w:bottom w:val="single" w:color="auto" w:sz="4" w:space="0"/>
              <w:right w:val="single" w:color="auto" w:sz="4" w:space="0"/>
            </w:tcBorders>
            <w:vAlign w:val="center"/>
          </w:tcPr>
          <w:p>
            <w:pPr>
              <w:jc w:val="left"/>
              <w:rPr>
                <w:rFonts w:ascii="宋体" w:hAnsi="Times New Roman" w:eastAsia="Times New Roman"/>
                <w:color w:val="000000"/>
                <w:sz w:val="22"/>
              </w:rPr>
            </w:pPr>
          </w:p>
        </w:tc>
      </w:tr>
    </w:tbl>
    <w:p>
      <w:pPr>
        <w:rPr>
          <w:rFonts w:ascii="Calibri" w:hAnsi="Malgun Gothic" w:eastAsia="Malgun Gothic"/>
          <w:szCs w:val="21"/>
        </w:rPr>
      </w:pPr>
    </w:p>
    <w:p>
      <w:pPr>
        <w:spacing w:line="360" w:lineRule="auto"/>
        <w:contextualSpacing/>
        <w:outlineLvl w:val="0"/>
        <w:rPr>
          <w:rFonts w:hint="eastAsia" w:ascii="宋体" w:hAnsi="宋体" w:eastAsia="宋体" w:cs="Times New Roman"/>
          <w:sz w:val="20"/>
          <w:szCs w:val="20"/>
        </w:rPr>
      </w:pPr>
    </w:p>
    <w:p>
      <w:pPr>
        <w:spacing w:line="360" w:lineRule="auto"/>
        <w:contextualSpacing/>
        <w:rPr>
          <w:rFonts w:ascii="宋体" w:hAnsi="宋体" w:eastAsia="宋体" w:cs="宋体"/>
          <w:bCs/>
          <w:sz w:val="24"/>
          <w:szCs w:val="24"/>
        </w:rPr>
      </w:pPr>
      <w:r>
        <w:rPr>
          <w:rFonts w:hint="eastAsia" w:ascii="宋体" w:hAnsi="宋体" w:eastAsia="宋体" w:cs="宋体"/>
          <w:bCs/>
          <w:sz w:val="24"/>
          <w:szCs w:val="24"/>
        </w:rPr>
        <w:t>附件1：</w:t>
      </w:r>
    </w:p>
    <w:p>
      <w:pPr>
        <w:spacing w:before="312" w:beforeLines="100" w:after="312" w:afterLines="100" w:line="360" w:lineRule="auto"/>
        <w:jc w:val="center"/>
        <w:rPr>
          <w:rFonts w:ascii="宋体" w:hAnsi="宋体" w:eastAsia="宋体" w:cs="宋体"/>
          <w:b/>
          <w:sz w:val="24"/>
          <w:szCs w:val="24"/>
        </w:rPr>
      </w:pPr>
      <w:r>
        <w:rPr>
          <w:rFonts w:hint="eastAsia" w:ascii="宋体" w:hAnsi="宋体" w:eastAsia="宋体" w:cs="宋体"/>
          <w:bCs/>
          <w:sz w:val="24"/>
          <w:szCs w:val="24"/>
        </w:rPr>
        <w:t>评估服务所需提供资料清单</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营业执照、统一社会信用代码等单位证明文件。</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经过审核同意或备案抽查合格的建设工程消防设计、竣工验收图纸，消防设计文件以及相关资料。</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行政机关下发的法律文书：</w:t>
      </w:r>
    </w:p>
    <w:p>
      <w:pPr>
        <w:numPr>
          <w:ilvl w:val="0"/>
          <w:numId w:val="4"/>
        </w:numPr>
        <w:spacing w:line="360" w:lineRule="auto"/>
        <w:rPr>
          <w:rFonts w:ascii="宋体" w:hAnsi="宋体" w:eastAsia="宋体" w:cs="宋体"/>
          <w:sz w:val="24"/>
          <w:szCs w:val="24"/>
        </w:rPr>
      </w:pPr>
      <w:r>
        <w:rPr>
          <w:rFonts w:hint="eastAsia" w:ascii="宋体" w:hAnsi="宋体" w:eastAsia="宋体" w:cs="宋体"/>
          <w:sz w:val="24"/>
          <w:szCs w:val="24"/>
        </w:rPr>
        <w:t>建设工程消防设计审核文书或备案凭证；</w:t>
      </w:r>
    </w:p>
    <w:p>
      <w:pPr>
        <w:numPr>
          <w:ilvl w:val="0"/>
          <w:numId w:val="4"/>
        </w:numPr>
        <w:spacing w:line="360" w:lineRule="auto"/>
        <w:rPr>
          <w:rFonts w:ascii="宋体" w:hAnsi="宋体" w:eastAsia="宋体" w:cs="宋体"/>
          <w:sz w:val="24"/>
          <w:szCs w:val="24"/>
        </w:rPr>
      </w:pPr>
      <w:r>
        <w:rPr>
          <w:rFonts w:hint="eastAsia" w:ascii="宋体" w:hAnsi="宋体" w:eastAsia="宋体" w:cs="宋体"/>
          <w:sz w:val="24"/>
          <w:szCs w:val="24"/>
        </w:rPr>
        <w:t>建设工程消防验收文书或备案抽查文书；</w:t>
      </w:r>
    </w:p>
    <w:p>
      <w:pPr>
        <w:numPr>
          <w:ilvl w:val="0"/>
          <w:numId w:val="4"/>
        </w:numPr>
        <w:spacing w:line="360" w:lineRule="auto"/>
        <w:rPr>
          <w:rFonts w:ascii="宋体" w:hAnsi="宋体" w:eastAsia="宋体" w:cs="宋体"/>
          <w:sz w:val="24"/>
          <w:szCs w:val="24"/>
        </w:rPr>
      </w:pPr>
      <w:r>
        <w:rPr>
          <w:rFonts w:hint="eastAsia" w:ascii="宋体" w:hAnsi="宋体" w:eastAsia="宋体" w:cs="宋体"/>
          <w:sz w:val="24"/>
          <w:szCs w:val="24"/>
        </w:rPr>
        <w:t>公众聚集场所投入使用、营业消防安全检查法律文书；</w:t>
      </w:r>
    </w:p>
    <w:p>
      <w:pPr>
        <w:numPr>
          <w:ilvl w:val="0"/>
          <w:numId w:val="4"/>
        </w:numPr>
        <w:spacing w:line="360" w:lineRule="auto"/>
        <w:rPr>
          <w:rFonts w:ascii="宋体" w:hAnsi="宋体" w:eastAsia="宋体" w:cs="宋体"/>
          <w:sz w:val="24"/>
          <w:szCs w:val="24"/>
        </w:rPr>
      </w:pPr>
      <w:r>
        <w:rPr>
          <w:rFonts w:hint="eastAsia" w:ascii="宋体" w:hAnsi="宋体" w:eastAsia="宋体" w:cs="宋体"/>
          <w:sz w:val="24"/>
          <w:szCs w:val="24"/>
        </w:rPr>
        <w:t>消防监督检查等其他法律文书。</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单位实施消防安全管理的文件和资料，主要包括：</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单位确定（变更）消防安全责任人、管理人、消防工作职能部门的文件；</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单位明确各部门、各岗位以及相关人员消防工作责任制的文件以及记录相应履职情况的资料；</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消防安全宣传培训、防火巡查检查、安全疏散设施管理、消防（控制室）值班、用火用电安全管理、专职和志愿消防队的组织管理、灭火和应急疏散预案演练等消防安全制度的文件，以及落实各项消防安全制度的记录；</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消防安全规程以及执行消防安全规程的记录；</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自动消防设施操作等依法需要持证上岗人员的执业证书；</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微型消防站的设置情况（包含人员、装备等）及管理文件、记录等；</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工作计划。包括：消防工作年度计划、培训计划、应急演练计划、消防设施维护保养计划；</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消防档案、消防宣传教育档案，档案应包括宣传影像资料、文字记录等内容；</w:t>
      </w:r>
    </w:p>
    <w:p>
      <w:pPr>
        <w:numPr>
          <w:ilvl w:val="0"/>
          <w:numId w:val="5"/>
        </w:numPr>
        <w:spacing w:line="360" w:lineRule="auto"/>
        <w:rPr>
          <w:rFonts w:ascii="宋体" w:hAnsi="宋体" w:eastAsia="宋体" w:cs="宋体"/>
          <w:sz w:val="24"/>
          <w:szCs w:val="24"/>
        </w:rPr>
      </w:pPr>
      <w:r>
        <w:rPr>
          <w:rFonts w:hint="eastAsia" w:ascii="宋体" w:hAnsi="宋体" w:eastAsia="宋体" w:cs="宋体"/>
          <w:sz w:val="24"/>
          <w:szCs w:val="24"/>
        </w:rPr>
        <w:t>其他反映单位消防安全管理情况的文件和资料。</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建筑消防设施检测及维护保养资料，主要包括：</w:t>
      </w:r>
    </w:p>
    <w:p>
      <w:pPr>
        <w:numPr>
          <w:ilvl w:val="0"/>
          <w:numId w:val="6"/>
        </w:numPr>
        <w:spacing w:line="360" w:lineRule="auto"/>
        <w:rPr>
          <w:rFonts w:ascii="宋体" w:hAnsi="宋体" w:eastAsia="宋体" w:cs="宋体"/>
          <w:sz w:val="24"/>
          <w:szCs w:val="24"/>
        </w:rPr>
      </w:pPr>
      <w:r>
        <w:rPr>
          <w:rFonts w:hint="eastAsia" w:ascii="宋体" w:hAnsi="宋体" w:eastAsia="宋体" w:cs="宋体"/>
          <w:sz w:val="24"/>
          <w:szCs w:val="24"/>
        </w:rPr>
        <w:t xml:space="preserve"> 建筑消防设施定期检验检测的报告；</w:t>
      </w:r>
    </w:p>
    <w:p>
      <w:pPr>
        <w:numPr>
          <w:ilvl w:val="0"/>
          <w:numId w:val="6"/>
        </w:numPr>
        <w:spacing w:line="360" w:lineRule="auto"/>
        <w:rPr>
          <w:rFonts w:ascii="宋体" w:hAnsi="宋体" w:eastAsia="宋体" w:cs="宋体"/>
          <w:sz w:val="24"/>
          <w:szCs w:val="24"/>
        </w:rPr>
      </w:pPr>
      <w:r>
        <w:rPr>
          <w:rFonts w:hint="eastAsia" w:ascii="宋体" w:hAnsi="宋体" w:eastAsia="宋体" w:cs="宋体"/>
          <w:sz w:val="24"/>
          <w:szCs w:val="24"/>
        </w:rPr>
        <w:t>建筑消防设施维护保养合同、维护保养报告；</w:t>
      </w:r>
    </w:p>
    <w:p>
      <w:pPr>
        <w:numPr>
          <w:ilvl w:val="0"/>
          <w:numId w:val="6"/>
        </w:numPr>
        <w:spacing w:line="360" w:lineRule="auto"/>
        <w:rPr>
          <w:rFonts w:ascii="宋体" w:hAnsi="宋体" w:eastAsia="宋体" w:cs="宋体"/>
          <w:sz w:val="24"/>
          <w:szCs w:val="24"/>
        </w:rPr>
      </w:pPr>
      <w:r>
        <w:rPr>
          <w:rFonts w:hint="eastAsia" w:ascii="宋体" w:hAnsi="宋体" w:eastAsia="宋体" w:cs="宋体"/>
          <w:sz w:val="24"/>
          <w:szCs w:val="24"/>
        </w:rPr>
        <w:t>消防设施维修、改造的各项记录。</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反映消防产品（材料）质量的资料，主要包括：</w:t>
      </w:r>
    </w:p>
    <w:p>
      <w:pPr>
        <w:numPr>
          <w:ilvl w:val="0"/>
          <w:numId w:val="7"/>
        </w:numPr>
        <w:spacing w:line="360" w:lineRule="auto"/>
        <w:rPr>
          <w:rFonts w:ascii="宋体" w:hAnsi="宋体" w:eastAsia="宋体" w:cs="宋体"/>
          <w:sz w:val="24"/>
          <w:szCs w:val="24"/>
        </w:rPr>
      </w:pPr>
      <w:r>
        <w:rPr>
          <w:rFonts w:hint="eastAsia" w:ascii="宋体" w:hAnsi="宋体" w:eastAsia="宋体" w:cs="宋体"/>
          <w:sz w:val="24"/>
          <w:szCs w:val="24"/>
        </w:rPr>
        <w:t>单位使用消防产品质量合格的证明文件；</w:t>
      </w:r>
    </w:p>
    <w:p>
      <w:pPr>
        <w:numPr>
          <w:ilvl w:val="0"/>
          <w:numId w:val="7"/>
        </w:numPr>
        <w:spacing w:line="360" w:lineRule="auto"/>
        <w:rPr>
          <w:rFonts w:ascii="宋体" w:hAnsi="宋体" w:eastAsia="宋体" w:cs="宋体"/>
          <w:sz w:val="24"/>
          <w:szCs w:val="24"/>
        </w:rPr>
      </w:pPr>
      <w:r>
        <w:rPr>
          <w:rFonts w:hint="eastAsia" w:ascii="宋体" w:hAnsi="宋体" w:eastAsia="宋体" w:cs="宋体"/>
          <w:sz w:val="24"/>
          <w:szCs w:val="24"/>
        </w:rPr>
        <w:t>建筑内部装修材料质量合格文件，见证取样检验报告等；</w:t>
      </w:r>
    </w:p>
    <w:p>
      <w:pPr>
        <w:numPr>
          <w:ilvl w:val="0"/>
          <w:numId w:val="7"/>
        </w:numPr>
        <w:spacing w:line="360" w:lineRule="auto"/>
        <w:rPr>
          <w:rFonts w:ascii="宋体" w:hAnsi="宋体" w:eastAsia="宋体" w:cs="宋体"/>
          <w:sz w:val="24"/>
          <w:szCs w:val="24"/>
        </w:rPr>
      </w:pPr>
      <w:r>
        <w:rPr>
          <w:rFonts w:hint="eastAsia" w:ascii="宋体" w:hAnsi="宋体" w:eastAsia="宋体" w:cs="宋体"/>
          <w:sz w:val="24"/>
          <w:szCs w:val="24"/>
        </w:rPr>
        <w:t>建筑外墙保温材料质量合格文件，检验报告等。</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安全评价报告、消防安全评估报告、消防设施汇总表、建构筑物总平面布局图、建构筑物一览表、消防设施布置图、安全出口布置图、消防重点部位位置图、近五年来火灾发生情况、生产企业的主要工艺、主要设备、主要物料、储存情况。</w:t>
      </w:r>
    </w:p>
    <w:p>
      <w:pPr>
        <w:numPr>
          <w:ilvl w:val="0"/>
          <w:numId w:val="3"/>
        </w:numPr>
        <w:spacing w:line="360" w:lineRule="auto"/>
        <w:ind w:firstLine="0"/>
        <w:rPr>
          <w:rFonts w:ascii="宋体" w:hAnsi="宋体" w:eastAsia="宋体" w:cs="宋体"/>
          <w:sz w:val="24"/>
          <w:szCs w:val="24"/>
        </w:rPr>
      </w:pPr>
      <w:r>
        <w:rPr>
          <w:rFonts w:hint="eastAsia" w:ascii="宋体" w:hAnsi="宋体" w:eastAsia="宋体" w:cs="宋体"/>
          <w:sz w:val="24"/>
          <w:szCs w:val="24"/>
        </w:rPr>
        <w:t>消防控制室内符合GB25506规定应保存的纸质和电于档案资料，该项资料现场检查前应准备好。具体内容如下：</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建(构)筑物竣工后的总平面布局图、建筑消防设施平面布置图、建筑消防设施系统图及安全出口布置图、重点部位位置图等；</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消防安全管理规章制度、应急灭火预案、应急疏散预案等；</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消防安全组织结构图，包括消防安全责任人、管理人、专职、义务消防人员等内容；</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消防安全培训记录、灭火和应急疏散预案的演练记录；</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值班情况、消防安全检查情况及巡查情况的记录；</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消防设施一览表，包括消防设施的类型、数量、状态等内容；</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消防系统控制逻辑关系说明、设备使用说明书、系统操作规程、系统和设备维护保养制度等；</w:t>
      </w:r>
    </w:p>
    <w:p>
      <w:pPr>
        <w:numPr>
          <w:ilvl w:val="0"/>
          <w:numId w:val="8"/>
        </w:numPr>
        <w:spacing w:line="360" w:lineRule="auto"/>
        <w:rPr>
          <w:rFonts w:ascii="宋体" w:hAnsi="宋体" w:eastAsia="宋体" w:cs="宋体"/>
          <w:sz w:val="24"/>
          <w:szCs w:val="24"/>
        </w:rPr>
      </w:pPr>
      <w:r>
        <w:rPr>
          <w:rFonts w:hint="eastAsia" w:ascii="宋体" w:hAnsi="宋体" w:eastAsia="宋体" w:cs="宋体"/>
          <w:sz w:val="24"/>
          <w:szCs w:val="24"/>
        </w:rPr>
        <w:t>设备运行状况、接报警记录、火灾处理情况、设备检修检测报告等资料，这些资料应能定期保存和归档。</w:t>
      </w:r>
    </w:p>
    <w:p>
      <w:pPr>
        <w:spacing w:line="360" w:lineRule="auto"/>
        <w:ind w:firstLine="480"/>
        <w:rPr>
          <w:rFonts w:ascii="宋体" w:hAnsi="宋体" w:eastAsia="宋体" w:cs="宋体"/>
          <w:color w:val="000000"/>
          <w:sz w:val="24"/>
          <w:szCs w:val="24"/>
          <w:shd w:val="clear" w:color="auto" w:fill="FFFFFF"/>
        </w:rPr>
      </w:pPr>
    </w:p>
    <w:p>
      <w:pPr>
        <w:spacing w:line="360" w:lineRule="auto"/>
        <w:ind w:firstLine="480"/>
        <w:rPr>
          <w:rFonts w:ascii="宋体" w:hAnsi="宋体" w:eastAsia="宋体" w:cs="宋体"/>
          <w:b/>
          <w:bCs/>
          <w:color w:val="000000"/>
          <w:sz w:val="24"/>
          <w:szCs w:val="24"/>
          <w:shd w:val="clear" w:color="auto" w:fill="FFFFFF"/>
        </w:rPr>
      </w:pPr>
      <w:r>
        <w:rPr>
          <w:rFonts w:hint="eastAsia" w:ascii="宋体" w:hAnsi="宋体" w:eastAsia="宋体" w:cs="宋体"/>
          <w:b/>
          <w:bCs/>
          <w:color w:val="000000"/>
          <w:sz w:val="24"/>
          <w:szCs w:val="24"/>
          <w:shd w:val="clear" w:color="auto" w:fill="FFFFFF"/>
        </w:rPr>
        <w:t>注：委托单位应对所提供资料的真实性负责</w:t>
      </w:r>
    </w:p>
    <w:p>
      <w:pPr>
        <w:spacing w:line="360" w:lineRule="auto"/>
        <w:ind w:firstLine="480"/>
        <w:rPr>
          <w:rFonts w:ascii="宋体" w:hAnsi="宋体" w:eastAsia="宋体" w:cs="宋体"/>
          <w:b/>
          <w:bCs/>
          <w:color w:val="000000"/>
          <w:sz w:val="24"/>
          <w:szCs w:val="24"/>
          <w:shd w:val="clear" w:color="auto" w:fill="FFFFFF"/>
        </w:rPr>
      </w:pPr>
    </w:p>
    <w:p>
      <w:pPr>
        <w:spacing w:line="360" w:lineRule="auto"/>
        <w:ind w:firstLine="480"/>
        <w:rPr>
          <w:rFonts w:ascii="宋体" w:hAnsi="宋体" w:eastAsia="宋体" w:cs="宋体"/>
          <w:b/>
          <w:bCs/>
          <w:color w:val="000000"/>
          <w:sz w:val="24"/>
          <w:szCs w:val="24"/>
          <w:shd w:val="clear" w:color="auto" w:fill="FFFFFF"/>
        </w:rPr>
      </w:pPr>
    </w:p>
    <w:p>
      <w:pPr>
        <w:spacing w:line="360" w:lineRule="auto"/>
        <w:ind w:firstLine="480"/>
        <w:rPr>
          <w:rFonts w:ascii="宋体" w:hAnsi="宋体" w:eastAsia="宋体" w:cs="宋体"/>
          <w:b/>
          <w:bCs/>
          <w:color w:val="000000"/>
          <w:sz w:val="24"/>
          <w:szCs w:val="24"/>
          <w:shd w:val="clear" w:color="auto" w:fill="FFFFFF"/>
        </w:rPr>
      </w:pPr>
    </w:p>
    <w:p>
      <w:pPr>
        <w:spacing w:line="360" w:lineRule="auto"/>
        <w:ind w:firstLine="480"/>
        <w:rPr>
          <w:rFonts w:ascii="宋体" w:hAnsi="宋体" w:eastAsia="宋体" w:cs="宋体"/>
          <w:b/>
          <w:bCs/>
          <w:color w:val="000000"/>
          <w:sz w:val="24"/>
          <w:szCs w:val="24"/>
          <w:shd w:val="clear" w:color="auto" w:fill="FFFFFF"/>
        </w:rPr>
      </w:pPr>
    </w:p>
    <w:p>
      <w:pPr>
        <w:spacing w:line="360" w:lineRule="auto"/>
        <w:ind w:firstLine="480"/>
        <w:rPr>
          <w:rFonts w:ascii="宋体" w:hAnsi="宋体" w:eastAsia="宋体" w:cs="宋体"/>
          <w:b/>
          <w:bCs/>
          <w:color w:val="000000"/>
          <w:sz w:val="24"/>
          <w:szCs w:val="24"/>
          <w:shd w:val="clear" w:color="auto" w:fill="FFFFFF"/>
        </w:rPr>
      </w:pPr>
    </w:p>
    <w:p>
      <w:pPr>
        <w:spacing w:line="360" w:lineRule="auto"/>
        <w:ind w:firstLine="480"/>
        <w:rPr>
          <w:rFonts w:ascii="宋体" w:hAnsi="宋体" w:eastAsia="宋体" w:cs="宋体"/>
          <w:b/>
          <w:bCs/>
          <w:color w:val="000000"/>
          <w:sz w:val="24"/>
          <w:szCs w:val="24"/>
          <w:shd w:val="clear" w:color="auto" w:fill="FFFFFF"/>
        </w:rPr>
      </w:pPr>
      <w:r>
        <w:rPr>
          <w:rFonts w:hint="eastAsia" w:ascii="宋体" w:hAnsi="宋体" w:eastAsia="宋体" w:cs="宋体"/>
          <w:b/>
          <w:bCs/>
          <w:color w:val="000000"/>
          <w:sz w:val="24"/>
          <w:szCs w:val="24"/>
          <w:shd w:val="clear" w:color="auto" w:fill="FFFFFF"/>
        </w:rPr>
        <w:t>附件2：</w:t>
      </w:r>
    </w:p>
    <w:p>
      <w:pPr>
        <w:spacing w:line="312" w:lineRule="auto"/>
        <w:rPr>
          <w:rFonts w:ascii="宋体" w:hAnsi="宋体" w:eastAsia="宋体" w:cs="宋体"/>
          <w:sz w:val="24"/>
          <w:szCs w:val="24"/>
        </w:rPr>
      </w:pPr>
    </w:p>
    <w:tbl>
      <w:tblPr>
        <w:tblStyle w:val="33"/>
        <w:tblW w:w="9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34"/>
        <w:gridCol w:w="1137"/>
        <w:gridCol w:w="1006"/>
        <w:gridCol w:w="1125"/>
        <w:gridCol w:w="5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9" w:hRule="exact"/>
        </w:trPr>
        <w:tc>
          <w:tcPr>
            <w:tcW w:w="634" w:type="dxa"/>
            <w:vMerge w:val="restart"/>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137" w:type="dxa"/>
            <w:vMerge w:val="restart"/>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本项目任职</w:t>
            </w:r>
          </w:p>
        </w:tc>
        <w:tc>
          <w:tcPr>
            <w:tcW w:w="1006" w:type="dxa"/>
            <w:vMerge w:val="restart"/>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姓名</w:t>
            </w:r>
          </w:p>
        </w:tc>
        <w:tc>
          <w:tcPr>
            <w:tcW w:w="1125" w:type="dxa"/>
            <w:vMerge w:val="restart"/>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职称</w:t>
            </w:r>
          </w:p>
        </w:tc>
        <w:tc>
          <w:tcPr>
            <w:tcW w:w="5250" w:type="dxa"/>
            <w:vMerge w:val="restart"/>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执业资格证明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96" w:hRule="exact"/>
        </w:trPr>
        <w:tc>
          <w:tcPr>
            <w:tcW w:w="634"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125"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8"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0"/>
                <w:sz w:val="21"/>
                <w:szCs w:val="21"/>
                <w:lang w:bidi="ar"/>
              </w:rPr>
              <w:t>1</w:t>
            </w:r>
          </w:p>
        </w:tc>
        <w:tc>
          <w:tcPr>
            <w:tcW w:w="1137" w:type="dxa"/>
            <w:shd w:val="clear" w:color="auto" w:fill="FFFFFF"/>
            <w:vAlign w:val="center"/>
          </w:tcPr>
          <w:p>
            <w:pPr>
              <w:pageBreakBefore w:val="0"/>
              <w:kinsoku/>
              <w:wordWrap/>
              <w:overflowPunct/>
              <w:topLinePunct w:val="0"/>
              <w:autoSpaceDE/>
              <w:autoSpaceDN/>
              <w:bidi w:val="0"/>
              <w:spacing w:line="360" w:lineRule="auto"/>
              <w:jc w:val="both"/>
              <w:rPr>
                <w:rFonts w:hint="eastAsia" w:asciiTheme="minorEastAsia" w:hAnsiTheme="minorEastAsia" w:eastAsiaTheme="minorEastAsia" w:cstheme="minorEastAsia"/>
                <w:sz w:val="21"/>
                <w:szCs w:val="21"/>
                <w:lang w:val="en-US" w:eastAsia="zh-CN"/>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lang w:val="en-US" w:eastAsia="zh-CN" w:bidi="ar-SA"/>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2</w:t>
            </w:r>
          </w:p>
        </w:tc>
        <w:tc>
          <w:tcPr>
            <w:tcW w:w="1137" w:type="dxa"/>
            <w:shd w:val="clear" w:color="auto" w:fill="FFFFFF"/>
            <w:vAlign w:val="center"/>
          </w:tcPr>
          <w:p>
            <w:pPr>
              <w:pageBreakBefore w:val="0"/>
              <w:kinsoku/>
              <w:wordWrap/>
              <w:overflowPunct/>
              <w:topLinePunct w:val="0"/>
              <w:autoSpaceDE/>
              <w:autoSpaceDN/>
              <w:bidi w:val="0"/>
              <w:spacing w:line="360" w:lineRule="auto"/>
              <w:jc w:val="both"/>
              <w:rPr>
                <w:rFonts w:hint="eastAsia" w:asciiTheme="minorEastAsia" w:hAnsiTheme="minorEastAsia" w:eastAsiaTheme="minorEastAsia" w:cstheme="minorEastAsia"/>
                <w:sz w:val="21"/>
                <w:szCs w:val="21"/>
                <w:lang w:val="en-US" w:eastAsia="zh-CN"/>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3</w:t>
            </w:r>
          </w:p>
        </w:tc>
        <w:tc>
          <w:tcPr>
            <w:tcW w:w="1137" w:type="dxa"/>
            <w:vMerge w:val="restart"/>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4</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shd w:val="clear" w:color="auto" w:fill="FFFFFF"/>
                <w:lang w:val="en-US" w:eastAsia="zh-CN" w:bidi="ar-SA"/>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5</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shd w:val="clear" w:color="auto" w:fill="FFFFFF"/>
                <w:lang w:val="en-US" w:eastAsia="zh-CN" w:bidi="ar-SA"/>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0"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6</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lang w:val="en-US" w:eastAsia="zh-CN"/>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lang w:val="en-US" w:eastAsia="zh-CN"/>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0"/>
                <w:sz w:val="21"/>
                <w:szCs w:val="21"/>
                <w:lang w:val="en-US" w:eastAsia="zh-CN" w:bidi="ar"/>
              </w:rPr>
              <w:t>7</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0"/>
                <w:sz w:val="21"/>
                <w:szCs w:val="21"/>
                <w:lang w:val="en-US" w:eastAsia="zh-CN" w:bidi="ar"/>
              </w:rPr>
              <w:t>8</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9</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shd w:val="clear" w:color="auto" w:fill="FFFFFF"/>
                <w:lang w:val="en-US" w:eastAsia="zh-CN" w:bidi="ar-SA"/>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pStyle w:val="55"/>
              <w:spacing w:line="240" w:lineRule="auto"/>
              <w:jc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10</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2"/>
                <w:sz w:val="21"/>
                <w:szCs w:val="21"/>
                <w:shd w:val="clear" w:color="auto" w:fill="FFFFFF"/>
                <w:lang w:val="en-US" w:eastAsia="zh-CN" w:bidi="ar-SA"/>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5250" w:type="dxa"/>
            <w:shd w:val="clear" w:color="auto" w:fill="auto"/>
            <w:vAlign w:val="center"/>
          </w:tcPr>
          <w:p>
            <w:pPr>
              <w:pStyle w:val="55"/>
              <w:spacing w:line="240" w:lineRule="auto"/>
              <w:jc w:val="center"/>
              <w:rPr>
                <w:rFonts w:hint="eastAsia" w:asciiTheme="minorEastAsia" w:hAnsiTheme="minorEastAsia" w:eastAsiaTheme="minorEastAsia" w:cstheme="minorEastAsia"/>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trPr>
        <w:tc>
          <w:tcPr>
            <w:tcW w:w="634"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11</w:t>
            </w:r>
          </w:p>
        </w:tc>
        <w:tc>
          <w:tcPr>
            <w:tcW w:w="1137" w:type="dxa"/>
            <w:vMerge w:val="continue"/>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rPr>
            </w:pPr>
          </w:p>
        </w:tc>
        <w:tc>
          <w:tcPr>
            <w:tcW w:w="1006"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c>
          <w:tcPr>
            <w:tcW w:w="1125" w:type="dxa"/>
            <w:shd w:val="clear" w:color="auto" w:fill="FFFFFF"/>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1"/>
                <w:szCs w:val="21"/>
                <w:lang w:val="en-US" w:eastAsia="zh-CN"/>
              </w:rPr>
            </w:pPr>
          </w:p>
        </w:tc>
        <w:tc>
          <w:tcPr>
            <w:tcW w:w="5250" w:type="dxa"/>
            <w:shd w:val="clear" w:color="auto" w:fill="auto"/>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val="en-US" w:eastAsia="zh-CN" w:bidi="ar"/>
              </w:rPr>
            </w:pPr>
          </w:p>
        </w:tc>
      </w:tr>
    </w:tbl>
    <w:p>
      <w:pPr>
        <w:spacing w:line="312" w:lineRule="auto"/>
        <w:rPr>
          <w:rFonts w:ascii="宋体" w:hAnsi="宋体" w:eastAsia="宋体" w:cs="宋体"/>
          <w:sz w:val="24"/>
          <w:szCs w:val="24"/>
        </w:rPr>
      </w:pPr>
    </w:p>
    <w:p>
      <w:pPr>
        <w:rPr>
          <w:rFonts w:ascii="宋体" w:hAnsi="宋体" w:eastAsia="宋体" w:cs="宋体"/>
          <w:sz w:val="24"/>
          <w:szCs w:val="24"/>
        </w:rPr>
      </w:pPr>
      <w:r>
        <w:rPr>
          <w:rFonts w:hint="eastAsia" w:ascii="宋体" w:hAnsi="宋体" w:eastAsia="宋体" w:cs="宋体"/>
          <w:sz w:val="24"/>
          <w:szCs w:val="24"/>
        </w:rPr>
        <w:t>*上表中人员为可参与本项目的全部人员名单，按当天工作内容在清单中进行选派进场人员，保障</w:t>
      </w:r>
      <w:r>
        <w:rPr>
          <w:rFonts w:hint="eastAsia" w:ascii="宋体" w:hAnsi="宋体" w:eastAsia="宋体" w:cs="宋体"/>
          <w:sz w:val="24"/>
          <w:szCs w:val="24"/>
          <w:lang w:bidi="en-US"/>
        </w:rPr>
        <w:t>项目组成员不少于3人，所有参与项目的人员均按统一评估标准开展工作。</w:t>
      </w:r>
      <w:r>
        <w:rPr>
          <w:rFonts w:hint="eastAsia" w:ascii="宋体" w:hAnsi="宋体" w:eastAsia="宋体" w:cs="宋体"/>
          <w:sz w:val="24"/>
          <w:szCs w:val="24"/>
        </w:rPr>
        <w:t>项目负责人</w:t>
      </w:r>
      <w:r>
        <w:rPr>
          <w:rFonts w:hint="eastAsia" w:ascii="宋体" w:hAnsi="宋体" w:eastAsia="宋体" w:cs="宋体"/>
          <w:sz w:val="24"/>
          <w:szCs w:val="24"/>
          <w:lang w:bidi="en-US"/>
        </w:rPr>
        <w:t>应当具备相应的注册消防工程师资格，</w:t>
      </w:r>
      <w:r>
        <w:rPr>
          <w:rFonts w:hint="eastAsia" w:ascii="宋体" w:hAnsi="宋体" w:eastAsia="宋体" w:cs="宋体"/>
          <w:sz w:val="24"/>
          <w:szCs w:val="24"/>
        </w:rPr>
        <w:t>项目技术负责人应具备一级注册消防工程师资质证书，项目评价组成员应具备消防设施操作员中级（含）以上资质证书。所有项目组成员均为本单位在社会消防技术服务机构信息系统中备案人员。</w: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p>
    <w:p>
      <w:pPr>
        <w:spacing w:line="360" w:lineRule="auto"/>
        <w:contextualSpacing/>
        <w:outlineLvl w:val="0"/>
        <w:rPr>
          <w:rFonts w:ascii="宋体" w:hAnsi="宋体" w:eastAsia="宋体" w:cs="Times New Roman"/>
          <w:sz w:val="20"/>
          <w:szCs w:val="20"/>
        </w:rPr>
      </w:pPr>
      <w:r>
        <w:rPr>
          <w:rFonts w:hint="eastAsia" w:ascii="宋体" w:hAnsi="宋体" w:eastAsia="宋体" w:cs="Times New Roman"/>
          <w:sz w:val="20"/>
          <w:szCs w:val="20"/>
        </w:rPr>
        <w:drawing>
          <wp:inline distT="0" distB="0" distL="114300" distR="114300">
            <wp:extent cx="6137910" cy="4292600"/>
            <wp:effectExtent l="0" t="0" r="15240" b="12700"/>
            <wp:docPr id="13" name="图片 13" descr="关于推进市属医院消防安全评估工作的通知（下发市属医院)(2)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于推进市属医院消防安全评估工作的通知（下发市属医院)(2)_页面_09"/>
                    <pic:cNvPicPr>
                      <a:picLocks noChangeAspect="1"/>
                    </pic:cNvPicPr>
                  </pic:nvPicPr>
                  <pic:blipFill>
                    <a:blip r:embed="rId11"/>
                    <a:srcRect l="3375" t="11511" r="4148" b="2135"/>
                    <a:stretch>
                      <a:fillRect/>
                    </a:stretch>
                  </pic:blipFill>
                  <pic:spPr>
                    <a:xfrm>
                      <a:off x="0" y="0"/>
                      <a:ext cx="6137910" cy="4292600"/>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054725" cy="4284980"/>
            <wp:effectExtent l="0" t="0" r="3175" b="1270"/>
            <wp:docPr id="12" name="图片 12" descr="关于推进市属医院消防安全评估工作的通知（下发市属医院)(2)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推进市属医院消防安全评估工作的通知（下发市属医院)(2)_页面_10"/>
                    <pic:cNvPicPr>
                      <a:picLocks noChangeAspect="1"/>
                    </pic:cNvPicPr>
                  </pic:nvPicPr>
                  <pic:blipFill>
                    <a:blip r:embed="rId12"/>
                    <a:srcRect l="4439" t="9505" r="4796" b="5542"/>
                    <a:stretch>
                      <a:fillRect/>
                    </a:stretch>
                  </pic:blipFill>
                  <pic:spPr>
                    <a:xfrm>
                      <a:off x="0" y="0"/>
                      <a:ext cx="6054725" cy="4284980"/>
                    </a:xfrm>
                    <a:prstGeom prst="rect">
                      <a:avLst/>
                    </a:prstGeom>
                  </pic:spPr>
                </pic:pic>
              </a:graphicData>
            </a:graphic>
          </wp:inline>
        </w:drawing>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Times New Roman"/>
          <w:sz w:val="20"/>
          <w:szCs w:val="20"/>
        </w:rPr>
        <w:drawing>
          <wp:inline distT="0" distB="0" distL="114300" distR="114300">
            <wp:extent cx="6046470" cy="4567555"/>
            <wp:effectExtent l="0" t="0" r="11430" b="4445"/>
            <wp:docPr id="11" name="图片 11" descr="关于推进市属医院消防安全评估工作的通知（下发市属医院)(2)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推进市属医院消防安全评估工作的通知（下发市属医院)(2)_页面_11"/>
                    <pic:cNvPicPr>
                      <a:picLocks noChangeAspect="1"/>
                    </pic:cNvPicPr>
                  </pic:nvPicPr>
                  <pic:blipFill>
                    <a:blip r:embed="rId13"/>
                    <a:srcRect l="4542" t="12409" r="4057" b="3600"/>
                    <a:stretch>
                      <a:fillRect/>
                    </a:stretch>
                  </pic:blipFill>
                  <pic:spPr>
                    <a:xfrm>
                      <a:off x="0" y="0"/>
                      <a:ext cx="6046470" cy="4567555"/>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5979160" cy="4068445"/>
            <wp:effectExtent l="0" t="0" r="2540" b="8255"/>
            <wp:docPr id="10" name="图片 10" descr="关于推进市属医院消防安全评估工作的通知（下发市属医院)(2)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推进市属医院消防安全评估工作的通知（下发市属医院)(2)_页面_12"/>
                    <pic:cNvPicPr>
                      <a:picLocks noChangeAspect="1"/>
                    </pic:cNvPicPr>
                  </pic:nvPicPr>
                  <pic:blipFill>
                    <a:blip r:embed="rId14"/>
                    <a:srcRect l="5998" t="12131" r="5222" b="5554"/>
                    <a:stretch>
                      <a:fillRect/>
                    </a:stretch>
                  </pic:blipFill>
                  <pic:spPr>
                    <a:xfrm>
                      <a:off x="0" y="0"/>
                      <a:ext cx="5979160" cy="4068445"/>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482080" cy="4235450"/>
            <wp:effectExtent l="0" t="0" r="13970" b="12700"/>
            <wp:docPr id="9" name="图片 9" descr="关于推进市属医院消防安全评估工作的通知（下发市属医院)(2)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推进市属医院消防安全评估工作的通知（下发市属医院)(2)_页面_13"/>
                    <pic:cNvPicPr>
                      <a:picLocks noChangeAspect="1"/>
                    </pic:cNvPicPr>
                  </pic:nvPicPr>
                  <pic:blipFill>
                    <a:blip r:embed="rId15"/>
                    <a:srcRect l="5998" t="12336" r="5222" b="5638"/>
                    <a:stretch>
                      <a:fillRect/>
                    </a:stretch>
                  </pic:blipFill>
                  <pic:spPr>
                    <a:xfrm>
                      <a:off x="0" y="0"/>
                      <a:ext cx="6482080" cy="4235450"/>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212840" cy="4163060"/>
            <wp:effectExtent l="0" t="0" r="16510" b="8890"/>
            <wp:docPr id="8" name="图片 8" descr="关于推进市属医院消防安全评估工作的通知（下发市属医院)(2)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推进市属医院消防安全评估工作的通知（下发市属医院)(2)_页面_14"/>
                    <pic:cNvPicPr>
                      <a:picLocks noChangeAspect="1"/>
                    </pic:cNvPicPr>
                  </pic:nvPicPr>
                  <pic:blipFill>
                    <a:blip r:embed="rId16"/>
                    <a:srcRect l="5572" t="11023" r="5367" b="4602"/>
                    <a:stretch>
                      <a:fillRect/>
                    </a:stretch>
                  </pic:blipFill>
                  <pic:spPr>
                    <a:xfrm>
                      <a:off x="0" y="0"/>
                      <a:ext cx="6212840" cy="4163060"/>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347460" cy="4155440"/>
            <wp:effectExtent l="0" t="0" r="15240" b="16510"/>
            <wp:docPr id="7" name="图片 7" descr="关于推进市属医院消防安全评估工作的通知（下发市属医院)(2)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推进市属医院消防安全评估工作的通知（下发市属医院)(2)_页面_15"/>
                    <pic:cNvPicPr>
                      <a:picLocks noChangeAspect="1"/>
                    </pic:cNvPicPr>
                  </pic:nvPicPr>
                  <pic:blipFill>
                    <a:blip r:embed="rId17"/>
                    <a:srcRect l="5291" t="11553" r="5648" b="6011"/>
                    <a:stretch>
                      <a:fillRect/>
                    </a:stretch>
                  </pic:blipFill>
                  <pic:spPr>
                    <a:xfrm>
                      <a:off x="0" y="0"/>
                      <a:ext cx="6347460" cy="4155440"/>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247130" cy="3609340"/>
            <wp:effectExtent l="0" t="0" r="1270" b="10160"/>
            <wp:docPr id="6" name="图片 6" descr="关于推进市属医院消防安全评估工作的通知（下发市属医院)(2)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推进市属医院消防安全评估工作的通知（下发市属医院)(2)_页面_16"/>
                    <pic:cNvPicPr>
                      <a:picLocks noChangeAspect="1"/>
                    </pic:cNvPicPr>
                  </pic:nvPicPr>
                  <pic:blipFill>
                    <a:blip r:embed="rId18"/>
                    <a:srcRect l="6142" t="10806" r="5648" b="5975"/>
                    <a:stretch>
                      <a:fillRect/>
                    </a:stretch>
                  </pic:blipFill>
                  <pic:spPr>
                    <a:xfrm>
                      <a:off x="0" y="0"/>
                      <a:ext cx="6247130" cy="3609340"/>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5850255" cy="3495675"/>
            <wp:effectExtent l="0" t="0" r="17145" b="9525"/>
            <wp:docPr id="5" name="图片 5" descr="关于推进市属医院消防安全评估工作的通知（下发市属医院)(2)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推进市属医院消防安全评估工作的通知（下发市属医院)(2)_页面_17"/>
                    <pic:cNvPicPr>
                      <a:picLocks noChangeAspect="1"/>
                    </pic:cNvPicPr>
                  </pic:nvPicPr>
                  <pic:blipFill>
                    <a:blip r:embed="rId19"/>
                    <a:srcRect l="4865" t="11336" r="5367" b="6541"/>
                    <a:stretch>
                      <a:fillRect/>
                    </a:stretch>
                  </pic:blipFill>
                  <pic:spPr>
                    <a:xfrm>
                      <a:off x="0" y="0"/>
                      <a:ext cx="5850255" cy="3495675"/>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5738495" cy="5022215"/>
            <wp:effectExtent l="0" t="0" r="14605" b="6985"/>
            <wp:docPr id="4" name="图片 4" descr="关于推进市属医院消防安全评估工作的通知（下发市属医院)(2)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推进市属医院消防安全评估工作的通知（下发市属医院)(2)_页面_18"/>
                    <pic:cNvPicPr>
                      <a:picLocks noChangeAspect="1"/>
                    </pic:cNvPicPr>
                  </pic:nvPicPr>
                  <pic:blipFill>
                    <a:blip r:embed="rId20"/>
                    <a:srcRect l="5291" t="11746" r="5367" b="6529"/>
                    <a:stretch>
                      <a:fillRect/>
                    </a:stretch>
                  </pic:blipFill>
                  <pic:spPr>
                    <a:xfrm>
                      <a:off x="0" y="0"/>
                      <a:ext cx="5738495" cy="5022215"/>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231255" cy="4218940"/>
            <wp:effectExtent l="0" t="0" r="17145" b="10160"/>
            <wp:docPr id="3" name="图片 3" descr="关于推进市属医院消防安全评估工作的通知（下发市属医院)(2)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推进市属医院消防安全评估工作的通知（下发市属医院)(2)_页面_19"/>
                    <pic:cNvPicPr>
                      <a:picLocks noChangeAspect="1"/>
                    </pic:cNvPicPr>
                  </pic:nvPicPr>
                  <pic:blipFill>
                    <a:blip r:embed="rId21"/>
                    <a:srcRect l="5427" t="9746" r="4805" b="6192"/>
                    <a:stretch>
                      <a:fillRect/>
                    </a:stretch>
                  </pic:blipFill>
                  <pic:spPr>
                    <a:xfrm>
                      <a:off x="0" y="0"/>
                      <a:ext cx="6231255" cy="4218940"/>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266815" cy="4185920"/>
            <wp:effectExtent l="0" t="0" r="635" b="5080"/>
            <wp:docPr id="2" name="图片 2" descr="关于推进市属医院消防安全评估工作的通知（下发市属医院)(2)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推进市属医院消防安全评估工作的通知（下发市属医院)(2)_页面_20"/>
                    <pic:cNvPicPr>
                      <a:picLocks noChangeAspect="1"/>
                    </pic:cNvPicPr>
                  </pic:nvPicPr>
                  <pic:blipFill>
                    <a:blip r:embed="rId22"/>
                    <a:srcRect l="5146" t="12047" r="5648" b="6409"/>
                    <a:stretch>
                      <a:fillRect/>
                    </a:stretch>
                  </pic:blipFill>
                  <pic:spPr>
                    <a:xfrm>
                      <a:off x="0" y="0"/>
                      <a:ext cx="6266815" cy="4185920"/>
                    </a:xfrm>
                    <a:prstGeom prst="rect">
                      <a:avLst/>
                    </a:prstGeom>
                  </pic:spPr>
                </pic:pic>
              </a:graphicData>
            </a:graphic>
          </wp:inline>
        </w:drawing>
      </w:r>
      <w:r>
        <w:rPr>
          <w:rFonts w:hint="eastAsia" w:ascii="宋体" w:hAnsi="宋体" w:eastAsia="宋体" w:cs="Times New Roman"/>
          <w:sz w:val="20"/>
          <w:szCs w:val="20"/>
        </w:rPr>
        <w:drawing>
          <wp:inline distT="0" distB="0" distL="114300" distR="114300">
            <wp:extent cx="6226810" cy="5073650"/>
            <wp:effectExtent l="0" t="0" r="2540" b="12700"/>
            <wp:docPr id="1" name="图片 1" descr="关于推进市属医院消防安全评估工作的通知（下发市属医院)(2)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推进市属医院消防安全评估工作的通知（下发市属医院)(2)_页面_21"/>
                    <pic:cNvPicPr>
                      <a:picLocks noChangeAspect="1"/>
                    </pic:cNvPicPr>
                  </pic:nvPicPr>
                  <pic:blipFill>
                    <a:blip r:embed="rId23"/>
                    <a:srcRect l="5716" t="12035" r="6219" b="6096"/>
                    <a:stretch>
                      <a:fillRect/>
                    </a:stretch>
                  </pic:blipFill>
                  <pic:spPr>
                    <a:xfrm>
                      <a:off x="0" y="0"/>
                      <a:ext cx="6226810" cy="5073650"/>
                    </a:xfrm>
                    <a:prstGeom prst="rect">
                      <a:avLst/>
                    </a:prstGeom>
                  </pic:spPr>
                </pic:pic>
              </a:graphicData>
            </a:graphic>
          </wp:inline>
        </w:drawing>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numPr>
          <w:ilvl w:val="0"/>
          <w:numId w:val="0"/>
        </w:numPr>
        <w:kinsoku/>
        <w:wordWrap/>
        <w:overflowPunct/>
        <w:topLinePunct w:val="0"/>
        <w:autoSpaceDE/>
        <w:autoSpaceDN/>
        <w:bidi w:val="0"/>
        <w:spacing w:line="360" w:lineRule="auto"/>
        <w:jc w:val="center"/>
        <w:rPr>
          <w:rFonts w:hint="eastAsia" w:ascii="宋体" w:hAnsi="宋体" w:eastAsia="宋体" w:cs="宋体"/>
          <w:sz w:val="24"/>
          <w:szCs w:val="24"/>
        </w:rPr>
      </w:pPr>
      <w:r>
        <w:rPr>
          <w:rFonts w:hint="eastAsia" w:ascii="宋体" w:hAnsi="宋体" w:eastAsia="宋体" w:cs="宋体"/>
          <w:sz w:val="36"/>
          <w:szCs w:val="36"/>
          <w:lang w:val="en-US" w:eastAsia="zh-CN"/>
        </w:rPr>
        <w:t xml:space="preserve">第五章 </w:t>
      </w:r>
      <w:r>
        <w:rPr>
          <w:rFonts w:hint="eastAsia" w:ascii="宋体" w:hAnsi="宋体" w:eastAsia="宋体" w:cs="宋体"/>
          <w:sz w:val="36"/>
          <w:szCs w:val="36"/>
        </w:rPr>
        <w:t>响应文件格式</w:t>
      </w:r>
    </w:p>
    <w:p>
      <w:pPr>
        <w:pageBreakBefore w:val="0"/>
        <w:tabs>
          <w:tab w:val="left" w:pos="2999"/>
        </w:tabs>
        <w:kinsoku/>
        <w:wordWrap/>
        <w:overflowPunct/>
        <w:topLinePunct w:val="0"/>
        <w:autoSpaceDE/>
        <w:autoSpaceDN/>
        <w:bidi w:val="0"/>
        <w:snapToGrid w:val="0"/>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cs="宋体"/>
          <w:sz w:val="24"/>
          <w:szCs w:val="24"/>
          <w:lang w:val="en-US" w:eastAsia="zh-CN"/>
        </w:rPr>
        <w:t xml:space="preserve">  </w:t>
      </w: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ind w:right="1"/>
        <w:jc w:val="center"/>
        <w:rPr>
          <w:rFonts w:hint="eastAsia" w:ascii="宋体" w:hAnsi="宋体" w:eastAsia="宋体" w:cs="宋体"/>
          <w:sz w:val="24"/>
          <w:szCs w:val="24"/>
        </w:rPr>
      </w:pPr>
      <w:r>
        <w:rPr>
          <w:rFonts w:hint="eastAsia" w:ascii="宋体" w:hAnsi="宋体" w:eastAsia="宋体" w:cs="宋体"/>
          <w:sz w:val="24"/>
          <w:szCs w:val="24"/>
        </w:rPr>
        <w:t>响应文件</w:t>
      </w: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ageBreakBefore w:val="0"/>
        <w:tabs>
          <w:tab w:val="left" w:pos="4400"/>
        </w:tabs>
        <w:kinsoku/>
        <w:wordWrap/>
        <w:overflowPunct/>
        <w:topLinePunct w:val="0"/>
        <w:autoSpaceDE/>
        <w:autoSpaceDN/>
        <w:bidi w:val="0"/>
        <w:snapToGrid w:val="0"/>
        <w:spacing w:line="360" w:lineRule="auto"/>
        <w:ind w:left="1470" w:leftChars="700"/>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（盖单位章）</w:t>
      </w:r>
    </w:p>
    <w:p>
      <w:pPr>
        <w:pStyle w:val="69"/>
        <w:pageBreakBefore w:val="0"/>
        <w:tabs>
          <w:tab w:val="left" w:pos="2974"/>
          <w:tab w:val="left" w:pos="6965"/>
        </w:tabs>
        <w:kinsoku/>
        <w:wordWrap/>
        <w:overflowPunct/>
        <w:topLinePunct w:val="0"/>
        <w:autoSpaceDE/>
        <w:autoSpaceDN/>
        <w:bidi w:val="0"/>
        <w:snapToGrid w:val="0"/>
        <w:spacing w:after="0" w:line="360" w:lineRule="auto"/>
        <w:rPr>
          <w:rFonts w:hint="eastAsia" w:ascii="宋体" w:hAnsi="宋体" w:eastAsia="宋体" w:cs="宋体"/>
          <w:sz w:val="24"/>
          <w:szCs w:val="24"/>
          <w:lang w:eastAsia="zh-CN"/>
        </w:rPr>
      </w:pPr>
    </w:p>
    <w:p>
      <w:pPr>
        <w:pStyle w:val="69"/>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5" w:name="_Toc138689836"/>
      <w:r>
        <w:rPr>
          <w:rFonts w:hint="eastAsia" w:ascii="宋体" w:hAnsi="宋体" w:eastAsia="宋体" w:cs="宋体"/>
          <w:sz w:val="24"/>
          <w:szCs w:val="24"/>
        </w:rPr>
        <w:t>目录</w:t>
      </w:r>
      <w:bookmarkEnd w:id="5"/>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一、响应函</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二、法定代表人（单位负责人）身份证明</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二、授权委托书（适用于有委托代理人的情况）</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、资格审查资料</w:t>
      </w:r>
      <w:bookmarkStart w:id="22" w:name="_GoBack"/>
      <w:bookmarkEnd w:id="22"/>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、报价表</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、商务部分响应文件</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、技术部分响应文件</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rPr>
        <w:t>、服务部分响应文件</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八、其他资料</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6" w:name="_Toc138689837"/>
      <w:r>
        <w:rPr>
          <w:rFonts w:hint="eastAsia" w:ascii="宋体" w:hAnsi="宋体" w:eastAsia="宋体" w:cs="宋体"/>
          <w:sz w:val="24"/>
          <w:szCs w:val="24"/>
        </w:rPr>
        <w:t>—、响应函</w:t>
      </w:r>
      <w:bookmarkEnd w:id="6"/>
    </w:p>
    <w:p>
      <w:pPr>
        <w:pStyle w:val="70"/>
        <w:pageBreakBefore w:val="0"/>
        <w:kinsoku/>
        <w:wordWrap/>
        <w:overflowPunct/>
        <w:topLinePunct w:val="0"/>
        <w:autoSpaceDE/>
        <w:autoSpaceDN/>
        <w:bidi w:val="0"/>
        <w:snapToGrid w:val="0"/>
        <w:spacing w:before="240" w:beforeLines="100" w:after="0" w:line="360" w:lineRule="auto"/>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参与</w:t>
      </w:r>
      <w:r>
        <w:rPr>
          <w:rFonts w:hint="eastAsia" w:ascii="宋体" w:hAnsi="宋体" w:eastAsia="宋体" w:cs="宋体"/>
          <w:sz w:val="24"/>
          <w:szCs w:val="24"/>
          <w:lang w:eastAsia="zh-CN"/>
        </w:rPr>
        <w:t>人名称）</w:t>
      </w:r>
      <w:r>
        <w:rPr>
          <w:rFonts w:hint="eastAsia" w:ascii="宋体" w:hAnsi="宋体" w:eastAsia="宋体" w:cs="宋体"/>
          <w:sz w:val="24"/>
          <w:szCs w:val="24"/>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.我方己仔细研究了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lang w:eastAsia="zh-CN"/>
        </w:rPr>
        <w:t>（项目名称）</w:t>
      </w:r>
      <w:r>
        <w:rPr>
          <w:rFonts w:hint="eastAsia" w:ascii="宋体" w:hAnsi="宋体" w:eastAsia="宋体" w:cs="宋体"/>
          <w:sz w:val="24"/>
          <w:szCs w:val="24"/>
          <w:lang w:val="en-US" w:eastAsia="zh-CN"/>
        </w:rPr>
        <w:t>遴选</w:t>
      </w:r>
      <w:r>
        <w:rPr>
          <w:rFonts w:hint="eastAsia" w:ascii="宋体" w:hAnsi="宋体" w:eastAsia="宋体" w:cs="宋体"/>
          <w:sz w:val="24"/>
          <w:szCs w:val="24"/>
        </w:rPr>
        <w:t>文件的全部内容，愿意以</w:t>
      </w:r>
      <w:bookmarkStart w:id="7" w:name="_Hlk81653005"/>
      <w:r>
        <w:rPr>
          <w:rFonts w:hint="eastAsia" w:ascii="宋体" w:hAnsi="宋体" w:eastAsia="宋体" w:cs="宋体"/>
          <w:sz w:val="24"/>
          <w:szCs w:val="24"/>
        </w:rPr>
        <w:t>含税价人民币（大写）</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）的报价（其中增值税税</w:t>
      </w:r>
      <w:r>
        <w:rPr>
          <w:rFonts w:hint="eastAsia" w:ascii="宋体" w:hAnsi="宋体" w:eastAsia="宋体" w:cs="宋体"/>
          <w:sz w:val="24"/>
          <w:szCs w:val="24"/>
          <w:lang w:eastAsia="zh-CN"/>
        </w:rPr>
        <w:t>率</w:t>
      </w:r>
      <w:r>
        <w:rPr>
          <w:rFonts w:hint="eastAsia" w:ascii="宋体" w:hAnsi="宋体" w:eastAsia="宋体" w:cs="宋体"/>
          <w:sz w:val="24"/>
          <w:szCs w:val="24"/>
        </w:rPr>
        <w:t>为</w:t>
      </w:r>
      <w:r>
        <w:rPr>
          <w:rFonts w:hint="eastAsia" w:ascii="宋体" w:hAnsi="宋体" w:eastAsia="宋体" w:cs="宋体"/>
          <w:sz w:val="24"/>
          <w:szCs w:val="24"/>
          <w:lang w:eastAsia="zh-CN"/>
        </w:rPr>
        <w:t>：</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w:t>
      </w:r>
      <w:bookmarkEnd w:id="7"/>
      <w:r>
        <w:rPr>
          <w:rFonts w:hint="eastAsia" w:ascii="宋体" w:hAnsi="宋体" w:eastAsia="宋体" w:cs="宋体"/>
          <w:sz w:val="24"/>
          <w:szCs w:val="24"/>
        </w:rPr>
        <w:t>提供本项目服务，并按合同约定履行义务。</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.我方的响应文件包括下列内容：</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（1）响应函</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法定代表人（单位负责人）身份证明；</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eastAsia="宋体" w:cs="宋体"/>
          <w:sz w:val="24"/>
          <w:szCs w:val="24"/>
        </w:rPr>
        <w:t>授权委托书</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（3）联合体协议书（如有）</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（4）响应保证金（如有）</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（5）报价表</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（6）商务和技术偏差表</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（7）资格审查资料</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（8）响应方案</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响应文件的上述组成部分如存在内容不一致的，以响应函为准。</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3.我方承诺除商务和技术偏差表列出的偏差外</w:t>
      </w:r>
      <w:r>
        <w:rPr>
          <w:rFonts w:hint="eastAsia" w:ascii="宋体" w:hAnsi="宋体" w:eastAsia="宋体" w:cs="宋体"/>
          <w:sz w:val="24"/>
          <w:szCs w:val="24"/>
          <w:lang w:eastAsia="zh-CN"/>
        </w:rPr>
        <w:t>，</w:t>
      </w:r>
      <w:r>
        <w:rPr>
          <w:rFonts w:hint="eastAsia" w:ascii="宋体" w:hAnsi="宋体" w:eastAsia="宋体" w:cs="宋体"/>
          <w:sz w:val="24"/>
          <w:szCs w:val="24"/>
        </w:rPr>
        <w:t>我方响应招标文件的全部要求。</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4.我方承诺在招标文件规定的响应文件有效期内不撤销响应文件。</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5.如我方成交，我方承诺：</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（1）在收到成交通知后，在规定的期限内与你方签订合同；</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（2）在合同约定的期限内完成合同规定的全部义务。</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6.我方在此声明，所递交的响应文件及有关资料内容完整、真实和准确。</w:t>
      </w:r>
    </w:p>
    <w:p>
      <w:pPr>
        <w:pStyle w:val="70"/>
        <w:pageBreakBefore w:val="0"/>
        <w:tabs>
          <w:tab w:val="left" w:leader="underscore" w:pos="2400"/>
        </w:tabs>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bookmarkStart w:id="8" w:name="_Hlk79330213"/>
      <w:r>
        <w:rPr>
          <w:rFonts w:hint="eastAsia" w:ascii="宋体" w:hAnsi="宋体" w:eastAsia="宋体" w:cs="宋体"/>
          <w:sz w:val="24"/>
          <w:szCs w:val="24"/>
        </w:rPr>
        <w:t>7.</w:t>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lang w:val="en-US"/>
        </w:rPr>
        <w:t>其他补充说明</w:t>
      </w:r>
      <w:r>
        <w:rPr>
          <w:rFonts w:hint="eastAsia" w:ascii="宋体" w:hAnsi="宋体" w:eastAsia="宋体" w:cs="宋体"/>
          <w:sz w:val="24"/>
          <w:szCs w:val="24"/>
        </w:rPr>
        <w:t>）</w:t>
      </w:r>
    </w:p>
    <w:bookmarkEnd w:id="8"/>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lang w:eastAsia="zh-CN"/>
        </w:rPr>
      </w:pPr>
      <w:bookmarkStart w:id="9" w:name="_Hlk79330239"/>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（盖单位章</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法定代表人（单位负责人）或其授权的代理人：</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（签字</w:t>
      </w:r>
      <w:r>
        <w:rPr>
          <w:rFonts w:hint="eastAsia" w:ascii="宋体" w:hAnsi="宋体" w:eastAsia="宋体" w:cs="宋体"/>
          <w:sz w:val="24"/>
          <w:szCs w:val="24"/>
          <w:lang w:eastAsia="zh-CN"/>
        </w:rPr>
        <w:t>或盖人名章</w:t>
      </w:r>
      <w:r>
        <w:rPr>
          <w:rFonts w:hint="eastAsia" w:ascii="宋体" w:hAnsi="宋体" w:eastAsia="宋体" w:cs="宋体"/>
          <w:sz w:val="24"/>
          <w:szCs w:val="24"/>
        </w:rPr>
        <w:t>）</w:t>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lang w:eastAsia="zh-CN"/>
        </w:rPr>
        <w:t>电话：</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传真：</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lang w:eastAsia="zh-CN"/>
        </w:rPr>
        <w:t>邮政编码：</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kinsoku/>
        <w:wordWrap/>
        <w:overflowPunct/>
        <w:topLinePunct w:val="0"/>
        <w:autoSpaceDE/>
        <w:autoSpaceDN/>
        <w:bidi w:val="0"/>
        <w:snapToGrid w:val="0"/>
        <w:spacing w:after="0" w:line="360" w:lineRule="auto"/>
        <w:ind w:left="5250" w:leftChars="2500"/>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bookmarkEnd w:id="9"/>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bookmarkStart w:id="10" w:name="_Toc79948061"/>
      <w:bookmarkStart w:id="11" w:name="_Toc19715221"/>
      <w:bookmarkStart w:id="12" w:name="_Toc138689838"/>
      <w:bookmarkStart w:id="13" w:name="_Toc19105773"/>
      <w:bookmarkStart w:id="14" w:name="_Hlk79945751"/>
      <w:r>
        <w:rPr>
          <w:rFonts w:hint="eastAsia" w:ascii="宋体" w:hAnsi="宋体" w:eastAsia="宋体" w:cs="宋体"/>
          <w:sz w:val="24"/>
          <w:szCs w:val="24"/>
        </w:rPr>
        <w:t>二、法定代表人（单位负责人）身份证明</w:t>
      </w:r>
      <w:bookmarkEnd w:id="10"/>
      <w:bookmarkEnd w:id="11"/>
      <w:bookmarkEnd w:id="12"/>
      <w:bookmarkEnd w:id="13"/>
    </w:p>
    <w:p>
      <w:pPr>
        <w:pStyle w:val="12"/>
        <w:pageBreakBefore w:val="0"/>
        <w:tabs>
          <w:tab w:val="left" w:pos="3928"/>
        </w:tabs>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供应商名称：</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姓名：</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性别：</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年龄：</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职务：</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系</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（供应商名称）的法定代表人（单位负责人）。</w:t>
      </w: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rPr>
      </w:pPr>
      <w:r>
        <w:rPr>
          <w:rFonts w:hint="eastAsia" w:ascii="宋体" w:hAnsi="宋体" w:eastAsia="宋体" w:cs="宋体"/>
          <w:sz w:val="24"/>
          <w:szCs w:val="24"/>
        </w:rPr>
        <w:t>特此证明。</w:t>
      </w:r>
    </w:p>
    <w:tbl>
      <w:tblPr>
        <w:tblStyle w:val="34"/>
        <w:tblpPr w:leftFromText="180" w:rightFromText="180" w:vertAnchor="text" w:horzAnchor="page" w:tblpX="1781" w:tblpY="4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trPr>
        <w:tc>
          <w:tcPr>
            <w:tcW w:w="8052" w:type="dxa"/>
          </w:tcPr>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r>
              <w:rPr>
                <w:rFonts w:hint="eastAsia" w:ascii="宋体" w:hAnsi="宋体" w:eastAsia="宋体" w:cs="宋体"/>
                <w:color w:val="BFBFBF" w:themeColor="background1" w:themeShade="BF"/>
                <w:sz w:val="24"/>
                <w:szCs w:val="24"/>
              </w:rPr>
              <w:t>法定代表人身份证复印件</w:t>
            </w:r>
          </w:p>
        </w:tc>
      </w:tr>
    </w:tbl>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u w:val="single"/>
        </w:rPr>
      </w:pPr>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（盖章）</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Style w:val="70"/>
        <w:pageBreakBefore w:val="0"/>
        <w:kinsoku/>
        <w:wordWrap/>
        <w:overflowPunct/>
        <w:topLinePunct w:val="0"/>
        <w:autoSpaceDE/>
        <w:autoSpaceDN/>
        <w:bidi w:val="0"/>
        <w:snapToGrid w:val="0"/>
        <w:spacing w:after="0" w:line="360" w:lineRule="auto"/>
        <w:ind w:left="5250" w:leftChars="2500"/>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bookmarkEnd w:id="14"/>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15" w:name="_Toc138689839"/>
      <w:r>
        <w:rPr>
          <w:rFonts w:hint="eastAsia" w:ascii="宋体" w:hAnsi="宋体" w:eastAsia="宋体" w:cs="宋体"/>
          <w:sz w:val="24"/>
          <w:szCs w:val="24"/>
        </w:rPr>
        <w:t>二、授权委托书</w:t>
      </w:r>
      <w:bookmarkEnd w:id="15"/>
    </w:p>
    <w:p>
      <w:pPr>
        <w:pStyle w:val="70"/>
        <w:pageBreakBefore w:val="0"/>
        <w:tabs>
          <w:tab w:val="left" w:pos="2587"/>
          <w:tab w:val="left" w:pos="4867"/>
          <w:tab w:val="left" w:pos="5597"/>
          <w:tab w:val="left" w:pos="6782"/>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pos="2587"/>
          <w:tab w:val="left" w:pos="4867"/>
          <w:tab w:val="left" w:pos="5597"/>
          <w:tab w:val="left" w:pos="6782"/>
        </w:tabs>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bookmarkStart w:id="16" w:name="_Hlk88653372"/>
      <w:r>
        <w:rPr>
          <w:rFonts w:hint="eastAsia" w:ascii="宋体" w:hAnsi="宋体" w:eastAsia="宋体" w:cs="宋体"/>
          <w:sz w:val="24"/>
          <w:szCs w:val="24"/>
        </w:rPr>
        <w:t>本人</w:t>
      </w:r>
      <w:r>
        <w:rPr>
          <w:rFonts w:hint="eastAsia" w:ascii="宋体" w:hAnsi="宋体" w:eastAsia="宋体" w:cs="宋体"/>
          <w:sz w:val="24"/>
          <w:szCs w:val="24"/>
          <w:u w:val="single"/>
        </w:rPr>
        <w:tab/>
      </w:r>
      <w:r>
        <w:rPr>
          <w:rFonts w:hint="eastAsia" w:ascii="宋体" w:hAnsi="宋体" w:eastAsia="宋体" w:cs="宋体"/>
          <w:sz w:val="24"/>
          <w:szCs w:val="24"/>
        </w:rPr>
        <w:t>（姓名）系</w:t>
      </w:r>
      <w:r>
        <w:rPr>
          <w:rFonts w:hint="eastAsia" w:ascii="宋体" w:hAnsi="宋体" w:eastAsia="宋体" w:cs="宋体"/>
          <w:sz w:val="24"/>
          <w:szCs w:val="24"/>
          <w:u w:val="single"/>
        </w:rPr>
        <w:tab/>
      </w:r>
      <w:r>
        <w:rPr>
          <w:rFonts w:hint="eastAsia" w:ascii="宋体" w:hAnsi="宋体" w:eastAsia="宋体" w:cs="宋体"/>
          <w:sz w:val="24"/>
          <w:szCs w:val="24"/>
        </w:rPr>
        <w:t>（供应商名称）的法定代表人（单位负责人），现委托</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为我方代理人。代理人根据授权，以我方名义签署、澄清确认、递交、撤回、修改</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lang w:val="en-US"/>
        </w:rPr>
        <w:t>项目名称</w:t>
      </w:r>
      <w:r>
        <w:rPr>
          <w:rFonts w:hint="eastAsia" w:ascii="宋体" w:hAnsi="宋体" w:eastAsia="宋体" w:cs="宋体"/>
          <w:sz w:val="24"/>
          <w:szCs w:val="24"/>
        </w:rPr>
        <w:t>）响应文件、签订合同和处理有关事宜，其法律后果由我方承担。</w:t>
      </w:r>
    </w:p>
    <w:p>
      <w:pPr>
        <w:pStyle w:val="70"/>
        <w:pageBreakBefore w:val="0"/>
        <w:tabs>
          <w:tab w:val="left" w:pos="5875"/>
        </w:tabs>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委托期限：自本委托书签署之日起至</w:t>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lang w:val="en-US"/>
        </w:rPr>
        <w:t>项目名称</w:t>
      </w:r>
      <w:r>
        <w:rPr>
          <w:rFonts w:hint="eastAsia" w:ascii="宋体" w:hAnsi="宋体" w:eastAsia="宋体" w:cs="宋体"/>
          <w:sz w:val="24"/>
          <w:szCs w:val="24"/>
        </w:rPr>
        <w:t>）招标项目签订招标合同之日止。</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代理人无转委托权。</w:t>
      </w:r>
    </w:p>
    <w:tbl>
      <w:tblPr>
        <w:tblStyle w:val="34"/>
        <w:tblpPr w:leftFromText="180" w:rightFromText="180" w:vertAnchor="text" w:horzAnchor="page" w:tblpX="1781" w:tblpY="4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trPr>
        <w:tc>
          <w:tcPr>
            <w:tcW w:w="8052" w:type="dxa"/>
          </w:tcPr>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r>
              <w:rPr>
                <w:rFonts w:hint="eastAsia" w:ascii="宋体" w:hAnsi="宋体" w:eastAsia="宋体" w:cs="宋体"/>
                <w:color w:val="BFBFBF" w:themeColor="background1" w:themeShade="BF"/>
                <w:sz w:val="24"/>
                <w:szCs w:val="24"/>
              </w:rPr>
              <w:t>法定代表人身份证复印件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trPr>
        <w:tc>
          <w:tcPr>
            <w:tcW w:w="8052" w:type="dxa"/>
          </w:tcPr>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r>
              <w:rPr>
                <w:rFonts w:hint="eastAsia" w:ascii="宋体" w:hAnsi="宋体" w:eastAsia="宋体" w:cs="宋体"/>
                <w:color w:val="BFBFBF" w:themeColor="background1" w:themeShade="BF"/>
                <w:sz w:val="24"/>
                <w:szCs w:val="24"/>
              </w:rPr>
              <w:t>被授权人身份证复印件</w:t>
            </w:r>
          </w:p>
        </w:tc>
      </w:tr>
    </w:tbl>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bookmarkStart w:id="17" w:name="_Hlk79330393"/>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rPr>
        <w:t>委托代理人：</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（签字</w:t>
      </w:r>
      <w:r>
        <w:rPr>
          <w:rFonts w:hint="eastAsia" w:ascii="宋体" w:hAnsi="宋体" w:eastAsia="宋体" w:cs="宋体"/>
          <w:sz w:val="24"/>
          <w:szCs w:val="24"/>
          <w:lang w:eastAsia="zh-CN"/>
        </w:rPr>
        <w:t>或盖人名章</w:t>
      </w:r>
      <w:r>
        <w:rPr>
          <w:rFonts w:hint="eastAsia" w:ascii="宋体" w:hAnsi="宋体" w:eastAsia="宋体" w:cs="宋体"/>
          <w:sz w:val="24"/>
          <w:szCs w:val="24"/>
        </w:rPr>
        <w:t>）</w:t>
      </w: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tabs>
          <w:tab w:val="left" w:pos="571"/>
          <w:tab w:val="left" w:pos="1445"/>
          <w:tab w:val="left" w:pos="1704"/>
          <w:tab w:val="left" w:pos="1904"/>
          <w:tab w:val="left" w:pos="2275"/>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kinsoku/>
        <w:wordWrap/>
        <w:overflowPunct/>
        <w:topLinePunct w:val="0"/>
        <w:autoSpaceDE/>
        <w:autoSpaceDN/>
        <w:bidi w:val="0"/>
        <w:snapToGrid w:val="0"/>
        <w:spacing w:after="0" w:line="360" w:lineRule="auto"/>
        <w:ind w:left="5250" w:leftChars="2500"/>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bookmarkEnd w:id="16"/>
    <w:bookmarkEnd w:id="17"/>
    <w:p>
      <w:pPr>
        <w:pStyle w:val="3"/>
        <w:pageBreakBefore w:val="0"/>
        <w:numPr>
          <w:ilvl w:val="0"/>
          <w:numId w:val="9"/>
        </w:numPr>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资格审查资料</w:t>
      </w:r>
    </w:p>
    <w:p>
      <w:pPr>
        <w:pStyle w:val="4"/>
        <w:pageBreakBefore w:val="0"/>
        <w:kinsoku/>
        <w:wordWrap/>
        <w:overflowPunct/>
        <w:topLinePunct w:val="0"/>
        <w:autoSpaceDE/>
        <w:autoSpaceDN/>
        <w:bidi w:val="0"/>
        <w:spacing w:line="360" w:lineRule="auto"/>
        <w:jc w:val="left"/>
        <w:rPr>
          <w:rFonts w:hint="eastAsia" w:ascii="宋体" w:hAnsi="宋体" w:eastAsia="宋体" w:cs="宋体"/>
          <w:sz w:val="24"/>
          <w:szCs w:val="24"/>
        </w:rPr>
      </w:pPr>
      <w:r>
        <w:rPr>
          <w:rFonts w:hint="eastAsia" w:ascii="宋体" w:hAnsi="宋体" w:eastAsia="宋体" w:cs="宋体"/>
          <w:sz w:val="24"/>
          <w:szCs w:val="24"/>
        </w:rPr>
        <w:t>（一）基本情况</w:t>
      </w:r>
    </w:p>
    <w:p>
      <w:pPr>
        <w:pageBreakBefore w:val="0"/>
        <w:kinsoku/>
        <w:wordWrap/>
        <w:overflowPunct/>
        <w:topLinePunct w:val="0"/>
        <w:autoSpaceDE/>
        <w:autoSpaceDN/>
        <w:bidi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1、中华人民共和国境内注册的独立法人，具备工商行政主管部门核发的有效营业执照（或事业单位法人证书），</w:t>
      </w:r>
      <w:r>
        <w:rPr>
          <w:rFonts w:hint="eastAsia" w:ascii="宋体" w:hAnsi="宋体" w:eastAsia="宋体" w:cs="宋体"/>
          <w:sz w:val="24"/>
          <w:szCs w:val="24"/>
          <w:lang w:val="en-US" w:eastAsia="zh-CN"/>
        </w:rPr>
        <w:t>提供复印件并加盖公章</w:t>
      </w:r>
      <w:r>
        <w:rPr>
          <w:rFonts w:hint="eastAsia" w:ascii="宋体" w:hAnsi="宋体" w:eastAsia="宋体" w:cs="宋体"/>
          <w:sz w:val="24"/>
          <w:szCs w:val="24"/>
        </w:rPr>
        <w:t>；</w:t>
      </w:r>
    </w:p>
    <w:p>
      <w:pPr>
        <w:pageBreakBefore w:val="0"/>
        <w:kinsoku/>
        <w:wordWrap/>
        <w:overflowPunct/>
        <w:topLinePunct w:val="0"/>
        <w:autoSpaceDE/>
        <w:autoSpaceDN/>
        <w:bidi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供应商需在应急管理部消防救援局备案，且企业备案信息应包含消防安全评估，备案信息可在应急管理部消防救援局官网（https://www.119.gov.cn/），社会消防技术服务机构信息系统中查询</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3、①未被国家企业信用信息公示系统列入严重违法失信企业名单；②未在“信用中国”网站被列入失信被执行人名单；③在近三年内供应商及其法定代表人、拟委任的项目负责人无行贿犯罪行为。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供应商应提供上一年度的审计报告（含财务报表）或近六个月内银行出具的有效资信证明作为证明文件（加盖单位公章）。</w:t>
      </w:r>
    </w:p>
    <w:p>
      <w:pPr>
        <w:pStyle w:val="3"/>
        <w:pageBreakBefore w:val="0"/>
        <w:numPr>
          <w:ilvl w:val="0"/>
          <w:numId w:val="9"/>
        </w:numPr>
        <w:kinsoku/>
        <w:wordWrap/>
        <w:overflowPunct/>
        <w:topLinePunct w:val="0"/>
        <w:autoSpaceDE/>
        <w:autoSpaceDN/>
        <w:bidi w:val="0"/>
        <w:snapToGrid w:val="0"/>
        <w:spacing w:line="36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报价单</w:t>
      </w:r>
    </w:p>
    <w:p>
      <w:pPr>
        <w:pageBreakBefore w:val="0"/>
        <w:numPr>
          <w:ilvl w:val="0"/>
          <w:numId w:val="10"/>
        </w:numPr>
        <w:tabs>
          <w:tab w:val="left" w:pos="709"/>
        </w:tabs>
        <w:kinsoku/>
        <w:wordWrap/>
        <w:overflowPunct/>
        <w:topLinePunct w:val="0"/>
        <w:autoSpaceDE/>
        <w:autoSpaceDN/>
        <w:bidi w:val="0"/>
        <w:spacing w:line="360" w:lineRule="auto"/>
        <w:ind w:left="701" w:hanging="70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报价单</w:t>
      </w:r>
    </w:p>
    <w:p>
      <w:pPr>
        <w:pageBreakBefore w:val="0"/>
        <w:widowControl w:val="0"/>
        <w:numPr>
          <w:ilvl w:val="0"/>
          <w:numId w:val="0"/>
        </w:numPr>
        <w:tabs>
          <w:tab w:val="left" w:pos="709"/>
        </w:tabs>
        <w:kinsoku/>
        <w:wordWrap/>
        <w:overflowPunct/>
        <w:topLinePunct w:val="0"/>
        <w:autoSpaceDE/>
        <w:autoSpaceDN/>
        <w:bidi w:val="0"/>
        <w:spacing w:line="360" w:lineRule="auto"/>
        <w:jc w:val="both"/>
        <w:rPr>
          <w:rFonts w:hint="eastAsia" w:ascii="宋体" w:hAnsi="宋体" w:eastAsia="宋体" w:cs="宋体"/>
          <w:sz w:val="24"/>
          <w:szCs w:val="24"/>
          <w:lang w:val="en-US" w:eastAsia="zh-CN"/>
        </w:rPr>
      </w:pPr>
    </w:p>
    <w:p>
      <w:pPr>
        <w:pageBreakBefore w:val="0"/>
        <w:widowControl w:val="0"/>
        <w:numPr>
          <w:ilvl w:val="0"/>
          <w:numId w:val="0"/>
        </w:numPr>
        <w:tabs>
          <w:tab w:val="left" w:pos="709"/>
        </w:tabs>
        <w:kinsoku/>
        <w:wordWrap/>
        <w:overflowPunct/>
        <w:topLinePunct w:val="0"/>
        <w:autoSpaceDE/>
        <w:autoSpaceDN/>
        <w:bidi w:val="0"/>
        <w:spacing w:line="360" w:lineRule="auto"/>
        <w:jc w:val="both"/>
        <w:rPr>
          <w:rFonts w:hint="eastAsia" w:ascii="宋体" w:hAnsi="宋体" w:eastAsia="宋体" w:cs="宋体"/>
          <w:sz w:val="24"/>
          <w:szCs w:val="24"/>
          <w:lang w:val="en-US" w:eastAsia="zh-CN"/>
        </w:rPr>
      </w:pPr>
    </w:p>
    <w:tbl>
      <w:tblPr>
        <w:tblStyle w:val="33"/>
        <w:tblW w:w="100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3"/>
        <w:gridCol w:w="1939"/>
        <w:gridCol w:w="1406"/>
        <w:gridCol w:w="1939"/>
        <w:gridCol w:w="1939"/>
        <w:gridCol w:w="16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项目面积（㎡）</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项目成员数</w:t>
            </w:r>
          </w:p>
        </w:tc>
        <w:tc>
          <w:tcPr>
            <w:tcW w:w="1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主要负责人职称</w:t>
            </w:r>
          </w:p>
        </w:tc>
        <w:tc>
          <w:tcPr>
            <w:tcW w:w="1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技术负责人职称</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2447</w:t>
            </w:r>
            <w:r>
              <w:rPr>
                <w:rFonts w:hint="eastAsia" w:ascii="宋体" w:hAnsi="宋体" w:eastAsia="宋体" w:cs="宋体"/>
                <w:i w:val="0"/>
                <w:iCs w:val="0"/>
                <w:color w:val="000000"/>
                <w:kern w:val="0"/>
                <w:sz w:val="24"/>
                <w:szCs w:val="24"/>
                <w:u w:val="none"/>
                <w:lang w:val="en-US" w:eastAsia="zh-CN" w:bidi="ar"/>
              </w:rPr>
              <w:t>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numPr>
                <w:ilvl w:val="0"/>
                <w:numId w:val="11"/>
              </w:numPr>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我公司承诺本报价符合遴选文件“第二章 遴选需求”中的全部要求。</w:t>
            </w:r>
          </w:p>
          <w:p>
            <w:pPr>
              <w:keepNext w:val="0"/>
              <w:keepLines w:val="0"/>
              <w:pageBreakBefore w:val="0"/>
              <w:widowControl/>
              <w:numPr>
                <w:ilvl w:val="0"/>
                <w:numId w:val="11"/>
              </w:numPr>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评估报告科学严谨，符合国家法律法规及标准规范的要求，符合医院实际需求，</w:t>
            </w:r>
          </w:p>
          <w:p>
            <w:pPr>
              <w:keepNext w:val="0"/>
              <w:keepLines w:val="0"/>
              <w:pageBreakBefore w:val="0"/>
              <w:widowControl/>
              <w:numPr>
                <w:ilvl w:val="0"/>
                <w:numId w:val="0"/>
              </w:numPr>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能够切实提高消防安全管理水平。</w:t>
            </w:r>
          </w:p>
        </w:tc>
      </w:tr>
    </w:tbl>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bookmarkStart w:id="18" w:name="_Toc138689840"/>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四、商务部分</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1、资质认证：</w:t>
      </w:r>
      <w:r>
        <w:rPr>
          <w:rFonts w:hint="eastAsia" w:ascii="宋体" w:hAnsi="宋体" w:eastAsia="宋体" w:cs="宋体"/>
          <w:i w:val="0"/>
          <w:iCs w:val="0"/>
          <w:color w:val="000000"/>
          <w:kern w:val="0"/>
          <w:sz w:val="24"/>
          <w:szCs w:val="24"/>
          <w:u w:val="none"/>
          <w:lang w:val="en-US" w:eastAsia="zh-CN" w:bidi="ar"/>
        </w:rPr>
        <w:t>省一级消防协会颁发的会员证书及应急局颁发的安全评价资质证书，提供</w:t>
      </w:r>
      <w:r>
        <w:rPr>
          <w:rFonts w:hint="eastAsia" w:ascii="宋体" w:hAnsi="宋体" w:eastAsia="宋体" w:cs="宋体"/>
          <w:sz w:val="24"/>
          <w:szCs w:val="24"/>
        </w:rPr>
        <w:t>复印件</w:t>
      </w:r>
      <w:r>
        <w:rPr>
          <w:rFonts w:hint="eastAsia" w:ascii="宋体" w:hAnsi="宋体" w:eastAsia="宋体" w:cs="宋体"/>
          <w:sz w:val="24"/>
          <w:szCs w:val="24"/>
          <w:lang w:val="en-US" w:eastAsia="zh-CN"/>
        </w:rPr>
        <w:t>并加盖公章</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2、业绩情况：提供近三年从事过</w:t>
      </w:r>
      <w:r>
        <w:rPr>
          <w:rFonts w:hint="eastAsia" w:ascii="宋体" w:hAnsi="宋体" w:eastAsia="宋体" w:cs="宋体"/>
          <w:sz w:val="24"/>
          <w:szCs w:val="24"/>
          <w:lang w:val="en-US" w:eastAsia="zh-CN"/>
        </w:rPr>
        <w:t>类似检测项目</w:t>
      </w:r>
      <w:r>
        <w:rPr>
          <w:rFonts w:hint="eastAsia" w:ascii="宋体" w:hAnsi="宋体" w:eastAsia="宋体" w:cs="宋体"/>
          <w:sz w:val="24"/>
          <w:szCs w:val="24"/>
        </w:rPr>
        <w:t>合同复印件加盖公章，依合同内容情况填写项目情况表。</w:t>
      </w:r>
    </w:p>
    <w:tbl>
      <w:tblPr>
        <w:tblStyle w:val="33"/>
        <w:tblW w:w="9898" w:type="dxa"/>
        <w:jc w:val="center"/>
        <w:tblLayout w:type="fixed"/>
        <w:tblCellMar>
          <w:top w:w="0" w:type="dxa"/>
          <w:left w:w="10" w:type="dxa"/>
          <w:bottom w:w="0" w:type="dxa"/>
          <w:right w:w="10" w:type="dxa"/>
        </w:tblCellMar>
      </w:tblPr>
      <w:tblGrid>
        <w:gridCol w:w="1509"/>
        <w:gridCol w:w="1732"/>
        <w:gridCol w:w="2219"/>
        <w:gridCol w:w="2219"/>
        <w:gridCol w:w="2219"/>
      </w:tblGrid>
      <w:tr>
        <w:tblPrEx>
          <w:tblCellMar>
            <w:top w:w="0" w:type="dxa"/>
            <w:left w:w="10" w:type="dxa"/>
            <w:bottom w:w="0" w:type="dxa"/>
            <w:right w:w="10" w:type="dxa"/>
          </w:tblCellMar>
        </w:tblPrEx>
        <w:trPr>
          <w:trHeight w:val="560" w:hRule="exact"/>
          <w:jc w:val="center"/>
        </w:trPr>
        <w:tc>
          <w:tcPr>
            <w:tcW w:w="9898" w:type="dxa"/>
            <w:gridSpan w:val="5"/>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项目情况表</w:t>
            </w:r>
          </w:p>
        </w:tc>
      </w:tr>
      <w:tr>
        <w:tblPrEx>
          <w:tblCellMar>
            <w:top w:w="0" w:type="dxa"/>
            <w:left w:w="10" w:type="dxa"/>
            <w:bottom w:w="0" w:type="dxa"/>
            <w:right w:w="10" w:type="dxa"/>
          </w:tblCellMar>
        </w:tblPrEx>
        <w:trPr>
          <w:trHeight w:val="560" w:hRule="exact"/>
          <w:jc w:val="center"/>
        </w:trPr>
        <w:tc>
          <w:tcPr>
            <w:tcW w:w="1509"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序号</w:t>
            </w:r>
          </w:p>
        </w:tc>
        <w:tc>
          <w:tcPr>
            <w:tcW w:w="173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2219"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服务内容</w:t>
            </w: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委托人/发包人名称</w:t>
            </w: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项目金额</w:t>
            </w:r>
          </w:p>
        </w:tc>
      </w:tr>
      <w:tr>
        <w:tblPrEx>
          <w:tblCellMar>
            <w:top w:w="0" w:type="dxa"/>
            <w:left w:w="10" w:type="dxa"/>
            <w:bottom w:w="0" w:type="dxa"/>
            <w:right w:w="10" w:type="dxa"/>
          </w:tblCellMar>
        </w:tblPrEx>
        <w:trPr>
          <w:trHeight w:val="560" w:hRule="exact"/>
          <w:jc w:val="center"/>
        </w:trPr>
        <w:tc>
          <w:tcPr>
            <w:tcW w:w="1509"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73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r>
      <w:tr>
        <w:tblPrEx>
          <w:tblCellMar>
            <w:top w:w="0" w:type="dxa"/>
            <w:left w:w="10" w:type="dxa"/>
            <w:bottom w:w="0" w:type="dxa"/>
            <w:right w:w="10" w:type="dxa"/>
          </w:tblCellMar>
        </w:tblPrEx>
        <w:trPr>
          <w:trHeight w:val="560" w:hRule="exact"/>
          <w:jc w:val="center"/>
        </w:trPr>
        <w:tc>
          <w:tcPr>
            <w:tcW w:w="1509"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73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eastAsia="zh-CN"/>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r>
      <w:tr>
        <w:tblPrEx>
          <w:tblCellMar>
            <w:top w:w="0" w:type="dxa"/>
            <w:left w:w="10" w:type="dxa"/>
            <w:bottom w:w="0" w:type="dxa"/>
            <w:right w:w="10" w:type="dxa"/>
          </w:tblCellMar>
        </w:tblPrEx>
        <w:trPr>
          <w:trHeight w:val="643"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684"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763"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473"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570"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c>
          <w:tcPr>
            <w:tcW w:w="395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r>
    </w:tbl>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五、技术</w:t>
      </w:r>
      <w:bookmarkEnd w:id="18"/>
      <w:r>
        <w:rPr>
          <w:rFonts w:hint="eastAsia" w:ascii="宋体" w:hAnsi="宋体" w:eastAsia="宋体" w:cs="宋体"/>
          <w:sz w:val="24"/>
          <w:szCs w:val="24"/>
        </w:rPr>
        <w:t>部分</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kern w:val="2"/>
          <w:sz w:val="24"/>
          <w:szCs w:val="24"/>
          <w:lang w:eastAsia="zh-CN"/>
        </w:rPr>
        <w:t>标准制订：参加过消防安全国家、地方标准或行业标准编制工作。（提供证明资料</w:t>
      </w:r>
      <w:r>
        <w:rPr>
          <w:rFonts w:hint="eastAsia" w:ascii="宋体" w:hAnsi="宋体" w:eastAsia="宋体" w:cs="宋体"/>
          <w:kern w:val="2"/>
          <w:sz w:val="24"/>
          <w:szCs w:val="24"/>
          <w:lang w:val="en-US" w:eastAsia="zh-CN"/>
        </w:rPr>
        <w:t>并加盖公章</w:t>
      </w:r>
      <w:r>
        <w:rPr>
          <w:rFonts w:hint="eastAsia" w:ascii="宋体" w:hAnsi="宋体" w:eastAsia="宋体" w:cs="宋体"/>
          <w:kern w:val="2"/>
          <w:sz w:val="24"/>
          <w:szCs w:val="24"/>
          <w:lang w:eastAsia="zh-CN"/>
        </w:rPr>
        <w:t>）</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numPr>
          <w:ilvl w:val="0"/>
          <w:numId w:val="10"/>
        </w:numPr>
        <w:kinsoku/>
        <w:wordWrap/>
        <w:overflowPunct/>
        <w:topLinePunct w:val="0"/>
        <w:autoSpaceDE/>
        <w:autoSpaceDN/>
        <w:bidi w:val="0"/>
        <w:snapToGrid w:val="0"/>
        <w:spacing w:line="360" w:lineRule="auto"/>
        <w:ind w:left="701" w:leftChars="0" w:hanging="701" w:firstLineChars="0"/>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技术团队配置：</w:t>
      </w:r>
    </w:p>
    <w:p>
      <w:pPr>
        <w:pageBreakBefore w:val="0"/>
        <w:numPr>
          <w:ilvl w:val="0"/>
          <w:numId w:val="0"/>
        </w:numPr>
        <w:kinsoku/>
        <w:wordWrap/>
        <w:overflowPunct/>
        <w:topLinePunct w:val="0"/>
        <w:autoSpaceDE/>
        <w:autoSpaceDN/>
        <w:bidi w:val="0"/>
        <w:snapToGrid w:val="0"/>
        <w:spacing w:line="360" w:lineRule="auto"/>
        <w:ind w:leftChars="0"/>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 xml:space="preserve"> 2.1</w:t>
      </w:r>
      <w:r>
        <w:rPr>
          <w:rFonts w:hint="eastAsia" w:ascii="宋体" w:hAnsi="宋体" w:eastAsia="宋体" w:cs="宋体"/>
          <w:kern w:val="2"/>
          <w:sz w:val="24"/>
          <w:szCs w:val="24"/>
          <w:lang w:eastAsia="zh-CN"/>
        </w:rPr>
        <w:t>项目负责人具备高工资格且承担过医院消防安全评估经验。</w:t>
      </w:r>
    </w:p>
    <w:p>
      <w:pPr>
        <w:pStyle w:val="4"/>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主要</w:t>
      </w:r>
      <w:r>
        <w:rPr>
          <w:rFonts w:hint="eastAsia" w:ascii="宋体" w:hAnsi="宋体" w:eastAsia="宋体" w:cs="宋体"/>
          <w:sz w:val="24"/>
          <w:szCs w:val="24"/>
          <w:lang w:val="en-US" w:eastAsia="zh-CN"/>
        </w:rPr>
        <w:t>负责</w:t>
      </w:r>
      <w:r>
        <w:rPr>
          <w:rFonts w:hint="eastAsia" w:ascii="宋体" w:hAnsi="宋体" w:eastAsia="宋体" w:cs="宋体"/>
          <w:sz w:val="24"/>
          <w:szCs w:val="24"/>
        </w:rPr>
        <w:t>人员简历表</w:t>
      </w:r>
    </w:p>
    <w:tbl>
      <w:tblPr>
        <w:tblStyle w:val="33"/>
        <w:tblW w:w="8277" w:type="dxa"/>
        <w:jc w:val="center"/>
        <w:tblLayout w:type="fixed"/>
        <w:tblCellMar>
          <w:top w:w="0" w:type="dxa"/>
          <w:left w:w="10" w:type="dxa"/>
          <w:bottom w:w="0" w:type="dxa"/>
          <w:right w:w="10" w:type="dxa"/>
        </w:tblCellMar>
      </w:tblPr>
      <w:tblGrid>
        <w:gridCol w:w="1072"/>
        <w:gridCol w:w="1106"/>
        <w:gridCol w:w="1368"/>
        <w:gridCol w:w="1364"/>
        <w:gridCol w:w="1775"/>
        <w:gridCol w:w="1592"/>
      </w:tblGrid>
      <w:tr>
        <w:tblPrEx>
          <w:tblCellMar>
            <w:top w:w="0" w:type="dxa"/>
            <w:left w:w="10" w:type="dxa"/>
            <w:bottom w:w="0" w:type="dxa"/>
            <w:right w:w="10" w:type="dxa"/>
          </w:tblCellMar>
        </w:tblPrEx>
        <w:trPr>
          <w:trHeight w:val="1062"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bookmarkStart w:id="19" w:name="_Hlk88508244"/>
            <w:r>
              <w:rPr>
                <w:rFonts w:hint="eastAsia" w:ascii="宋体" w:hAnsi="宋体" w:eastAsia="宋体" w:cs="宋体"/>
                <w:sz w:val="24"/>
                <w:szCs w:val="24"/>
              </w:rPr>
              <w:t>姓名</w:t>
            </w:r>
          </w:p>
        </w:tc>
        <w:tc>
          <w:tcPr>
            <w:tcW w:w="110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368"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年龄</w:t>
            </w:r>
          </w:p>
        </w:tc>
        <w:tc>
          <w:tcPr>
            <w:tcW w:w="136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774"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执业或职业</w:t>
            </w:r>
          </w:p>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资格证书名称</w:t>
            </w: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职称</w:t>
            </w:r>
          </w:p>
        </w:tc>
        <w:tc>
          <w:tcPr>
            <w:tcW w:w="3838" w:type="dxa"/>
            <w:gridSpan w:val="3"/>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774"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学历</w:t>
            </w: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工作年限</w:t>
            </w:r>
          </w:p>
        </w:tc>
        <w:tc>
          <w:tcPr>
            <w:tcW w:w="7205" w:type="dxa"/>
            <w:gridSpan w:val="5"/>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1429"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时间</w:t>
            </w:r>
          </w:p>
        </w:tc>
        <w:tc>
          <w:tcPr>
            <w:tcW w:w="5613" w:type="dxa"/>
            <w:gridSpan w:val="4"/>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参加过的类似项目</w:t>
            </w:r>
          </w:p>
        </w:tc>
        <w:tc>
          <w:tcPr>
            <w:tcW w:w="1592"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eastAsia="zh-CN"/>
              </w:rPr>
            </w:pPr>
            <w:r>
              <w:rPr>
                <w:rFonts w:hint="eastAsia" w:ascii="宋体" w:hAnsi="宋体" w:eastAsia="宋体" w:cs="宋体"/>
                <w:sz w:val="24"/>
                <w:szCs w:val="24"/>
              </w:rPr>
              <w:t>委托人/发包人</w:t>
            </w:r>
            <w:r>
              <w:rPr>
                <w:rFonts w:hint="eastAsia" w:ascii="宋体" w:hAnsi="宋体" w:eastAsia="宋体" w:cs="宋体"/>
                <w:sz w:val="24"/>
                <w:szCs w:val="24"/>
                <w:lang w:eastAsia="zh-CN"/>
              </w:rPr>
              <w:t>及</w:t>
            </w:r>
          </w:p>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联系电话</w:t>
            </w: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bookmarkEnd w:id="19"/>
    </w:tbl>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p>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注：要求在本表后附相关证明材料。</w:t>
      </w:r>
    </w:p>
    <w:p>
      <w:pPr>
        <w:pageBreakBefore w:val="0"/>
        <w:widowControl/>
        <w:kinsoku/>
        <w:wordWrap/>
        <w:overflowPunct/>
        <w:topLinePunct w:val="0"/>
        <w:autoSpaceDE/>
        <w:autoSpaceDN/>
        <w:bidi w:val="0"/>
        <w:spacing w:line="360" w:lineRule="auto"/>
        <w:rPr>
          <w:rFonts w:hint="eastAsia" w:ascii="宋体" w:hAnsi="宋体" w:eastAsia="宋体" w:cs="宋体"/>
          <w:sz w:val="24"/>
          <w:szCs w:val="24"/>
          <w:lang w:val="zh-TW" w:eastAsia="zh-TW" w:bidi="zh-TW"/>
        </w:rPr>
      </w:pPr>
    </w:p>
    <w:p>
      <w:pPr>
        <w:pStyle w:val="4"/>
        <w:pageBreakBefore w:val="0"/>
        <w:kinsoku/>
        <w:wordWrap/>
        <w:overflowPunct/>
        <w:topLinePunct w:val="0"/>
        <w:autoSpaceDE/>
        <w:autoSpaceDN/>
        <w:bidi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2.2</w:t>
      </w:r>
      <w:r>
        <w:rPr>
          <w:rFonts w:hint="eastAsia" w:ascii="宋体" w:hAnsi="宋体" w:eastAsia="宋体" w:cs="宋体"/>
          <w:sz w:val="24"/>
          <w:szCs w:val="24"/>
        </w:rPr>
        <w:t>参与项目评价的项目组成员</w:t>
      </w:r>
      <w:r>
        <w:rPr>
          <w:rFonts w:hint="eastAsia" w:ascii="宋体" w:hAnsi="宋体" w:eastAsia="宋体" w:cs="宋体"/>
          <w:sz w:val="24"/>
          <w:szCs w:val="24"/>
          <w:lang w:val="en-US" w:eastAsia="zh-CN"/>
        </w:rPr>
        <w:t>的相关资质：</w:t>
      </w:r>
    </w:p>
    <w:p>
      <w:pPr>
        <w:pStyle w:val="4"/>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拟委任的主要人员汇总表</w:t>
      </w:r>
    </w:p>
    <w:tbl>
      <w:tblPr>
        <w:tblStyle w:val="33"/>
        <w:tblW w:w="8279" w:type="dxa"/>
        <w:jc w:val="center"/>
        <w:tblLayout w:type="fixed"/>
        <w:tblCellMar>
          <w:top w:w="0" w:type="dxa"/>
          <w:left w:w="10" w:type="dxa"/>
          <w:bottom w:w="0" w:type="dxa"/>
          <w:right w:w="10" w:type="dxa"/>
        </w:tblCellMar>
      </w:tblPr>
      <w:tblGrid>
        <w:gridCol w:w="614"/>
        <w:gridCol w:w="1405"/>
        <w:gridCol w:w="1354"/>
        <w:gridCol w:w="776"/>
        <w:gridCol w:w="4130"/>
      </w:tblGrid>
      <w:tr>
        <w:tblPrEx>
          <w:tblCellMar>
            <w:top w:w="0" w:type="dxa"/>
            <w:left w:w="10" w:type="dxa"/>
            <w:bottom w:w="0" w:type="dxa"/>
            <w:right w:w="10" w:type="dxa"/>
          </w:tblCellMar>
        </w:tblPrEx>
        <w:trPr>
          <w:trHeight w:val="570" w:hRule="exact"/>
          <w:jc w:val="center"/>
        </w:trPr>
        <w:tc>
          <w:tcPr>
            <w:tcW w:w="614"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bookmarkStart w:id="20" w:name="_Hlk88508222"/>
            <w:r>
              <w:rPr>
                <w:rFonts w:hint="eastAsia" w:ascii="宋体" w:hAnsi="宋体" w:eastAsia="宋体" w:cs="宋体"/>
                <w:b/>
                <w:bCs/>
                <w:sz w:val="24"/>
                <w:szCs w:val="24"/>
              </w:rPr>
              <w:t>序号</w:t>
            </w:r>
          </w:p>
        </w:tc>
        <w:tc>
          <w:tcPr>
            <w:tcW w:w="1405"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本项目任职</w:t>
            </w:r>
          </w:p>
        </w:tc>
        <w:tc>
          <w:tcPr>
            <w:tcW w:w="1354"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姓名</w:t>
            </w:r>
          </w:p>
        </w:tc>
        <w:tc>
          <w:tcPr>
            <w:tcW w:w="776"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职称</w:t>
            </w:r>
          </w:p>
        </w:tc>
        <w:tc>
          <w:tcPr>
            <w:tcW w:w="4130" w:type="dxa"/>
            <w:vMerge w:val="restart"/>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执业资格证明</w:t>
            </w:r>
          </w:p>
        </w:tc>
      </w:tr>
      <w:tr>
        <w:tblPrEx>
          <w:tblCellMar>
            <w:top w:w="0" w:type="dxa"/>
            <w:left w:w="10" w:type="dxa"/>
            <w:bottom w:w="0" w:type="dxa"/>
            <w:right w:w="10" w:type="dxa"/>
          </w:tblCellMar>
        </w:tblPrEx>
        <w:trPr>
          <w:trHeight w:val="561" w:hRule="exact"/>
          <w:jc w:val="center"/>
        </w:trPr>
        <w:tc>
          <w:tcPr>
            <w:tcW w:w="614"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vMerge w:val="continue"/>
            <w:tcBorders>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7"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7"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12" w:hRule="exact"/>
          <w:jc w:val="center"/>
        </w:trPr>
        <w:tc>
          <w:tcPr>
            <w:tcW w:w="61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bookmarkEnd w:id="20"/>
    </w:tbl>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p>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注：要求在本表后附相关证明材料。</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六、服务部分</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1、前期准备方案：</w:t>
      </w:r>
      <w:r>
        <w:rPr>
          <w:rFonts w:hint="eastAsia" w:ascii="宋体" w:hAnsi="宋体" w:eastAsia="宋体" w:cs="宋体"/>
          <w:sz w:val="24"/>
          <w:szCs w:val="24"/>
          <w:lang w:val="en-US" w:eastAsia="zh-CN"/>
        </w:rPr>
        <w:t>包含准备方案和遵守院内规章承诺书（</w:t>
      </w:r>
      <w:r>
        <w:rPr>
          <w:rFonts w:hint="eastAsia" w:ascii="宋体" w:hAnsi="宋体" w:eastAsia="宋体" w:cs="宋体"/>
          <w:sz w:val="24"/>
          <w:szCs w:val="24"/>
        </w:rPr>
        <w:t>格式自拟</w:t>
      </w:r>
      <w:r>
        <w:rPr>
          <w:rFonts w:hint="eastAsia" w:ascii="宋体" w:hAnsi="宋体" w:eastAsia="宋体" w:cs="宋体"/>
          <w:sz w:val="24"/>
          <w:szCs w:val="24"/>
          <w:lang w:val="en-US" w:eastAsia="zh-CN"/>
        </w:rPr>
        <w:t>）</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i w:val="0"/>
          <w:iCs w:val="0"/>
          <w:color w:val="000000"/>
          <w:kern w:val="0"/>
          <w:sz w:val="24"/>
          <w:szCs w:val="24"/>
          <w:u w:val="none"/>
          <w:lang w:val="en-US" w:eastAsia="zh-CN" w:bidi="ar"/>
        </w:rPr>
        <w:t>评估服务方案</w:t>
      </w:r>
      <w:r>
        <w:rPr>
          <w:rFonts w:hint="eastAsia" w:ascii="宋体" w:hAnsi="宋体" w:eastAsia="宋体" w:cs="宋体"/>
          <w:sz w:val="24"/>
          <w:szCs w:val="24"/>
        </w:rPr>
        <w:t>：</w:t>
      </w:r>
      <w:r>
        <w:rPr>
          <w:rFonts w:hint="eastAsia" w:ascii="宋体" w:hAnsi="宋体" w:eastAsia="宋体" w:cs="宋体"/>
          <w:sz w:val="24"/>
          <w:szCs w:val="24"/>
          <w:lang w:val="en-US" w:eastAsia="zh-CN"/>
        </w:rPr>
        <w:t>（格式自拟））</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3、质量保障措施：格式自拟并提供承诺书（格式自拟）</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21" w:name="_Toc138689843"/>
      <w:r>
        <w:rPr>
          <w:rFonts w:hint="eastAsia" w:ascii="宋体" w:hAnsi="宋体" w:eastAsia="宋体" w:cs="宋体"/>
          <w:sz w:val="24"/>
          <w:szCs w:val="24"/>
          <w:lang w:val="en-US" w:eastAsia="zh-CN"/>
        </w:rPr>
        <w:t>七</w:t>
      </w:r>
      <w:r>
        <w:rPr>
          <w:rFonts w:hint="eastAsia" w:ascii="宋体" w:hAnsi="宋体" w:eastAsia="宋体" w:cs="宋体"/>
          <w:sz w:val="24"/>
          <w:szCs w:val="24"/>
        </w:rPr>
        <w:t>、</w:t>
      </w:r>
      <w:bookmarkEnd w:id="21"/>
      <w:r>
        <w:rPr>
          <w:rFonts w:hint="eastAsia" w:ascii="宋体" w:hAnsi="宋体" w:eastAsia="宋体" w:cs="宋体"/>
          <w:sz w:val="24"/>
          <w:szCs w:val="24"/>
        </w:rPr>
        <w:t>其他资料</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供应商需提交的其他资料。</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sectPr>
      <w:headerReference r:id="rId6" w:type="first"/>
      <w:footerReference r:id="rId9" w:type="first"/>
      <w:headerReference r:id="rId4" w:type="default"/>
      <w:footerReference r:id="rId7" w:type="default"/>
      <w:headerReference r:id="rId5" w:type="even"/>
      <w:footerReference r:id="rId8" w:type="even"/>
      <w:pgSz w:w="11906" w:h="16838"/>
      <w:pgMar w:top="1584" w:right="1584" w:bottom="1478" w:left="1576" w:header="850" w:footer="994"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43"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2970103"/>
    </w:sdtPr>
    <w:sdtEndPr>
      <w:rPr>
        <w:rFonts w:ascii="Times New Roman" w:hAnsi="Times New Roman" w:cs="Times New Roman"/>
      </w:rPr>
    </w:sdtEndPr>
    <w:sdtContent>
      <w:p>
        <w:pPr>
          <w:pStyle w:val="2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5</w:t>
        </w:r>
        <w:r>
          <w:rPr>
            <w:rFonts w:ascii="Times New Roman" w:hAnsi="Times New Roman" w:cs="Times New Roman"/>
          </w:rPr>
          <w:fldChar w:fldCharType="end"/>
        </w:r>
      </w:p>
    </w:sdtContent>
  </w:sdt>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right" w:pos="8647"/>
        <w:tab w:val="clear" w:pos="8306"/>
      </w:tabs>
      <w:jc w:val="both"/>
      <w:rPr>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C696C"/>
    <w:multiLevelType w:val="singleLevel"/>
    <w:tmpl w:val="8B2C696C"/>
    <w:lvl w:ilvl="0" w:tentative="0">
      <w:start w:val="1"/>
      <w:numFmt w:val="decimal"/>
      <w:suff w:val="nothing"/>
      <w:lvlText w:val="%1、"/>
      <w:lvlJc w:val="left"/>
    </w:lvl>
  </w:abstractNum>
  <w:abstractNum w:abstractNumId="1">
    <w:nsid w:val="96E7CA71"/>
    <w:multiLevelType w:val="singleLevel"/>
    <w:tmpl w:val="96E7CA71"/>
    <w:lvl w:ilvl="0" w:tentative="0">
      <w:start w:val="1"/>
      <w:numFmt w:val="decimal"/>
      <w:suff w:val="nothing"/>
      <w:lvlText w:val="%1）"/>
      <w:lvlJc w:val="left"/>
      <w:pPr>
        <w:ind w:left="0" w:firstLine="403"/>
      </w:pPr>
      <w:rPr>
        <w:rFonts w:hint="default"/>
      </w:rPr>
    </w:lvl>
  </w:abstractNum>
  <w:abstractNum w:abstractNumId="2">
    <w:nsid w:val="A28431FB"/>
    <w:multiLevelType w:val="singleLevel"/>
    <w:tmpl w:val="A28431FB"/>
    <w:lvl w:ilvl="0" w:tentative="0">
      <w:start w:val="1"/>
      <w:numFmt w:val="decimal"/>
      <w:suff w:val="nothing"/>
      <w:lvlText w:val="%1）"/>
      <w:lvlJc w:val="left"/>
      <w:pPr>
        <w:ind w:left="0" w:firstLine="403"/>
      </w:pPr>
      <w:rPr>
        <w:rFonts w:hint="default"/>
      </w:rPr>
    </w:lvl>
  </w:abstractNum>
  <w:abstractNum w:abstractNumId="3">
    <w:nsid w:val="AE70365E"/>
    <w:multiLevelType w:val="singleLevel"/>
    <w:tmpl w:val="AE70365E"/>
    <w:lvl w:ilvl="0" w:tentative="0">
      <w:start w:val="3"/>
      <w:numFmt w:val="chineseCounting"/>
      <w:suff w:val="nothing"/>
      <w:lvlText w:val="%1、"/>
      <w:lvlJc w:val="left"/>
      <w:rPr>
        <w:rFonts w:hint="eastAsia"/>
      </w:rPr>
    </w:lvl>
  </w:abstractNum>
  <w:abstractNum w:abstractNumId="4">
    <w:nsid w:val="BC49FC80"/>
    <w:multiLevelType w:val="singleLevel"/>
    <w:tmpl w:val="BC49FC80"/>
    <w:lvl w:ilvl="0" w:tentative="0">
      <w:start w:val="1"/>
      <w:numFmt w:val="decimal"/>
      <w:suff w:val="nothing"/>
      <w:lvlText w:val="%1、"/>
      <w:lvlJc w:val="left"/>
    </w:lvl>
  </w:abstractNum>
  <w:abstractNum w:abstractNumId="5">
    <w:nsid w:val="C76EF000"/>
    <w:multiLevelType w:val="singleLevel"/>
    <w:tmpl w:val="C76EF000"/>
    <w:lvl w:ilvl="0" w:tentative="0">
      <w:start w:val="1"/>
      <w:numFmt w:val="decimal"/>
      <w:suff w:val="nothing"/>
      <w:lvlText w:val="%1．"/>
      <w:lvlJc w:val="left"/>
      <w:pPr>
        <w:ind w:left="0" w:firstLine="400"/>
      </w:pPr>
      <w:rPr>
        <w:rFonts w:hint="default"/>
      </w:rPr>
    </w:lvl>
  </w:abstractNum>
  <w:abstractNum w:abstractNumId="6">
    <w:nsid w:val="0A82A472"/>
    <w:multiLevelType w:val="singleLevel"/>
    <w:tmpl w:val="0A82A472"/>
    <w:lvl w:ilvl="0" w:tentative="0">
      <w:start w:val="5"/>
      <w:numFmt w:val="chineseCounting"/>
      <w:suff w:val="space"/>
      <w:lvlText w:val="第%1条"/>
      <w:lvlJc w:val="left"/>
      <w:rPr>
        <w:rFonts w:hint="eastAsia"/>
      </w:rPr>
    </w:lvl>
  </w:abstractNum>
  <w:abstractNum w:abstractNumId="7">
    <w:nsid w:val="1488FC55"/>
    <w:multiLevelType w:val="singleLevel"/>
    <w:tmpl w:val="1488FC55"/>
    <w:lvl w:ilvl="0" w:tentative="0">
      <w:start w:val="1"/>
      <w:numFmt w:val="decimal"/>
      <w:suff w:val="nothing"/>
      <w:lvlText w:val="%1）"/>
      <w:lvlJc w:val="left"/>
      <w:pPr>
        <w:ind w:left="0" w:firstLine="403"/>
      </w:pPr>
      <w:rPr>
        <w:rFonts w:hint="default"/>
      </w:rPr>
    </w:lvl>
  </w:abstractNum>
  <w:abstractNum w:abstractNumId="8">
    <w:nsid w:val="45915370"/>
    <w:multiLevelType w:val="singleLevel"/>
    <w:tmpl w:val="45915370"/>
    <w:lvl w:ilvl="0" w:tentative="0">
      <w:start w:val="1"/>
      <w:numFmt w:val="decimal"/>
      <w:suff w:val="nothing"/>
      <w:lvlText w:val="%1）"/>
      <w:lvlJc w:val="left"/>
      <w:pPr>
        <w:ind w:left="0" w:firstLine="403"/>
      </w:pPr>
      <w:rPr>
        <w:rFonts w:hint="default"/>
      </w:rPr>
    </w:lvl>
  </w:abstractNum>
  <w:abstractNum w:abstractNumId="9">
    <w:nsid w:val="67B53205"/>
    <w:multiLevelType w:val="singleLevel"/>
    <w:tmpl w:val="67B53205"/>
    <w:lvl w:ilvl="0" w:tentative="0">
      <w:start w:val="1"/>
      <w:numFmt w:val="chineseCounting"/>
      <w:suff w:val="space"/>
      <w:lvlText w:val="第%1章"/>
      <w:lvlJc w:val="left"/>
      <w:rPr>
        <w:rFonts w:hint="eastAsia"/>
        <w:sz w:val="36"/>
        <w:szCs w:val="36"/>
      </w:rPr>
    </w:lvl>
  </w:abstractNum>
  <w:abstractNum w:abstractNumId="10">
    <w:nsid w:val="74519D00"/>
    <w:multiLevelType w:val="singleLevel"/>
    <w:tmpl w:val="74519D00"/>
    <w:lvl w:ilvl="0" w:tentative="0">
      <w:start w:val="1"/>
      <w:numFmt w:val="decimal"/>
      <w:suff w:val="nothing"/>
      <w:lvlText w:val="%1）"/>
      <w:lvlJc w:val="left"/>
      <w:pPr>
        <w:ind w:left="0" w:firstLine="403"/>
      </w:pPr>
      <w:rPr>
        <w:rFonts w:hint="default"/>
      </w:rPr>
    </w:lvl>
  </w:abstractNum>
  <w:num w:numId="1">
    <w:abstractNumId w:val="9"/>
  </w:num>
  <w:num w:numId="2">
    <w:abstractNumId w:val="6"/>
  </w:num>
  <w:num w:numId="3">
    <w:abstractNumId w:val="5"/>
  </w:num>
  <w:num w:numId="4">
    <w:abstractNumId w:val="2"/>
  </w:num>
  <w:num w:numId="5">
    <w:abstractNumId w:val="1"/>
  </w:num>
  <w:num w:numId="6">
    <w:abstractNumId w:val="8"/>
  </w:num>
  <w:num w:numId="7">
    <w:abstractNumId w:val="7"/>
  </w:num>
  <w:num w:numId="8">
    <w:abstractNumId w:val="10"/>
  </w:num>
  <w:num w:numId="9">
    <w:abstractNumId w:val="3"/>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2"/>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kNzUwYWRlOTE0ZTYxZmU0YzMzNGMwNzJhMGYwNmUifQ=="/>
  </w:docVars>
  <w:rsids>
    <w:rsidRoot w:val="00172A27"/>
    <w:rsid w:val="00001FE1"/>
    <w:rsid w:val="00005992"/>
    <w:rsid w:val="00012F88"/>
    <w:rsid w:val="00022613"/>
    <w:rsid w:val="000242F1"/>
    <w:rsid w:val="00025617"/>
    <w:rsid w:val="00030F03"/>
    <w:rsid w:val="000318AF"/>
    <w:rsid w:val="000373AD"/>
    <w:rsid w:val="00051631"/>
    <w:rsid w:val="0005544E"/>
    <w:rsid w:val="00056163"/>
    <w:rsid w:val="00056519"/>
    <w:rsid w:val="00064FDC"/>
    <w:rsid w:val="00065A9C"/>
    <w:rsid w:val="000749FC"/>
    <w:rsid w:val="00076BB1"/>
    <w:rsid w:val="00083FCF"/>
    <w:rsid w:val="00085854"/>
    <w:rsid w:val="00085B17"/>
    <w:rsid w:val="000B64A4"/>
    <w:rsid w:val="000C296D"/>
    <w:rsid w:val="000D22B7"/>
    <w:rsid w:val="000D28F2"/>
    <w:rsid w:val="000D7ECA"/>
    <w:rsid w:val="000E532E"/>
    <w:rsid w:val="000F2C98"/>
    <w:rsid w:val="000F5329"/>
    <w:rsid w:val="00101104"/>
    <w:rsid w:val="00105A46"/>
    <w:rsid w:val="00106CF3"/>
    <w:rsid w:val="00124757"/>
    <w:rsid w:val="001331C5"/>
    <w:rsid w:val="00172A27"/>
    <w:rsid w:val="001801A6"/>
    <w:rsid w:val="00183052"/>
    <w:rsid w:val="00183E2A"/>
    <w:rsid w:val="001A7870"/>
    <w:rsid w:val="001D2967"/>
    <w:rsid w:val="001F5384"/>
    <w:rsid w:val="00212C3F"/>
    <w:rsid w:val="002147D1"/>
    <w:rsid w:val="00230057"/>
    <w:rsid w:val="00243779"/>
    <w:rsid w:val="002438AE"/>
    <w:rsid w:val="002558F6"/>
    <w:rsid w:val="002639C7"/>
    <w:rsid w:val="00277C03"/>
    <w:rsid w:val="00292079"/>
    <w:rsid w:val="002925C7"/>
    <w:rsid w:val="00294E01"/>
    <w:rsid w:val="002961D5"/>
    <w:rsid w:val="002B1D3D"/>
    <w:rsid w:val="002C37DE"/>
    <w:rsid w:val="002C7368"/>
    <w:rsid w:val="002D2E72"/>
    <w:rsid w:val="002D5F60"/>
    <w:rsid w:val="002F059A"/>
    <w:rsid w:val="002F101F"/>
    <w:rsid w:val="0030718B"/>
    <w:rsid w:val="00321C8C"/>
    <w:rsid w:val="00330CDA"/>
    <w:rsid w:val="003371E3"/>
    <w:rsid w:val="00351872"/>
    <w:rsid w:val="0036060A"/>
    <w:rsid w:val="00363316"/>
    <w:rsid w:val="00366D65"/>
    <w:rsid w:val="00374669"/>
    <w:rsid w:val="003836C4"/>
    <w:rsid w:val="003836EF"/>
    <w:rsid w:val="00384056"/>
    <w:rsid w:val="00385D02"/>
    <w:rsid w:val="003A1823"/>
    <w:rsid w:val="003A34FF"/>
    <w:rsid w:val="003A7162"/>
    <w:rsid w:val="003D4FB7"/>
    <w:rsid w:val="003D5439"/>
    <w:rsid w:val="003E04E4"/>
    <w:rsid w:val="003E2DDB"/>
    <w:rsid w:val="003F2F7A"/>
    <w:rsid w:val="003F5AFF"/>
    <w:rsid w:val="0040608C"/>
    <w:rsid w:val="00410A4A"/>
    <w:rsid w:val="004213D4"/>
    <w:rsid w:val="00422DFE"/>
    <w:rsid w:val="004327F1"/>
    <w:rsid w:val="00433C6F"/>
    <w:rsid w:val="00445136"/>
    <w:rsid w:val="0045224B"/>
    <w:rsid w:val="00461AF7"/>
    <w:rsid w:val="00464704"/>
    <w:rsid w:val="00480EA3"/>
    <w:rsid w:val="00485521"/>
    <w:rsid w:val="0049265C"/>
    <w:rsid w:val="00493BA9"/>
    <w:rsid w:val="00496505"/>
    <w:rsid w:val="00497BC2"/>
    <w:rsid w:val="004A2414"/>
    <w:rsid w:val="004A6A54"/>
    <w:rsid w:val="004B3059"/>
    <w:rsid w:val="004B59AB"/>
    <w:rsid w:val="004B6464"/>
    <w:rsid w:val="004E4713"/>
    <w:rsid w:val="004F154D"/>
    <w:rsid w:val="004F4BF9"/>
    <w:rsid w:val="00505CC1"/>
    <w:rsid w:val="00510E89"/>
    <w:rsid w:val="00514F77"/>
    <w:rsid w:val="00517BF6"/>
    <w:rsid w:val="005267D2"/>
    <w:rsid w:val="00533261"/>
    <w:rsid w:val="005410F6"/>
    <w:rsid w:val="00560286"/>
    <w:rsid w:val="00561863"/>
    <w:rsid w:val="00577675"/>
    <w:rsid w:val="00580934"/>
    <w:rsid w:val="0058398D"/>
    <w:rsid w:val="00586497"/>
    <w:rsid w:val="00586720"/>
    <w:rsid w:val="00591536"/>
    <w:rsid w:val="005A752F"/>
    <w:rsid w:val="005B2374"/>
    <w:rsid w:val="005C09E5"/>
    <w:rsid w:val="005C7CBA"/>
    <w:rsid w:val="005D0397"/>
    <w:rsid w:val="005D2440"/>
    <w:rsid w:val="005D31DB"/>
    <w:rsid w:val="005E14A4"/>
    <w:rsid w:val="0060525B"/>
    <w:rsid w:val="00606808"/>
    <w:rsid w:val="00610539"/>
    <w:rsid w:val="00635140"/>
    <w:rsid w:val="00640104"/>
    <w:rsid w:val="00644B49"/>
    <w:rsid w:val="00645C9B"/>
    <w:rsid w:val="00651373"/>
    <w:rsid w:val="00656B43"/>
    <w:rsid w:val="006643CE"/>
    <w:rsid w:val="00673646"/>
    <w:rsid w:val="00676B05"/>
    <w:rsid w:val="006A1110"/>
    <w:rsid w:val="006B2AC9"/>
    <w:rsid w:val="006B448B"/>
    <w:rsid w:val="006E3586"/>
    <w:rsid w:val="006E7235"/>
    <w:rsid w:val="006F68C8"/>
    <w:rsid w:val="00701419"/>
    <w:rsid w:val="00713E43"/>
    <w:rsid w:val="00750242"/>
    <w:rsid w:val="00754366"/>
    <w:rsid w:val="00756A97"/>
    <w:rsid w:val="00761BD7"/>
    <w:rsid w:val="0076715C"/>
    <w:rsid w:val="00790672"/>
    <w:rsid w:val="007910DE"/>
    <w:rsid w:val="007A1493"/>
    <w:rsid w:val="007A52E7"/>
    <w:rsid w:val="007B2C22"/>
    <w:rsid w:val="007B5A46"/>
    <w:rsid w:val="007C45F5"/>
    <w:rsid w:val="007E5016"/>
    <w:rsid w:val="007E50D8"/>
    <w:rsid w:val="008061E8"/>
    <w:rsid w:val="00811CD4"/>
    <w:rsid w:val="00814D1C"/>
    <w:rsid w:val="008267C7"/>
    <w:rsid w:val="00844FD7"/>
    <w:rsid w:val="008450DB"/>
    <w:rsid w:val="00851B28"/>
    <w:rsid w:val="00864D72"/>
    <w:rsid w:val="008658C4"/>
    <w:rsid w:val="00883588"/>
    <w:rsid w:val="00886CF7"/>
    <w:rsid w:val="008A0F1D"/>
    <w:rsid w:val="008A445B"/>
    <w:rsid w:val="008B2CDA"/>
    <w:rsid w:val="008C185F"/>
    <w:rsid w:val="008D0149"/>
    <w:rsid w:val="008D1843"/>
    <w:rsid w:val="008D75CE"/>
    <w:rsid w:val="008E0088"/>
    <w:rsid w:val="008F4036"/>
    <w:rsid w:val="008F62F5"/>
    <w:rsid w:val="00910F72"/>
    <w:rsid w:val="009143E0"/>
    <w:rsid w:val="00927A9E"/>
    <w:rsid w:val="00933405"/>
    <w:rsid w:val="00935D44"/>
    <w:rsid w:val="0095445A"/>
    <w:rsid w:val="00956CD7"/>
    <w:rsid w:val="009716AB"/>
    <w:rsid w:val="00982F90"/>
    <w:rsid w:val="0098629B"/>
    <w:rsid w:val="009A5EC2"/>
    <w:rsid w:val="009A6F0D"/>
    <w:rsid w:val="009C0637"/>
    <w:rsid w:val="009C58C2"/>
    <w:rsid w:val="009D7E79"/>
    <w:rsid w:val="009F61AB"/>
    <w:rsid w:val="00A046B2"/>
    <w:rsid w:val="00A101C2"/>
    <w:rsid w:val="00A13058"/>
    <w:rsid w:val="00A25753"/>
    <w:rsid w:val="00A274B2"/>
    <w:rsid w:val="00A34C81"/>
    <w:rsid w:val="00A3595C"/>
    <w:rsid w:val="00A36370"/>
    <w:rsid w:val="00A379BA"/>
    <w:rsid w:val="00A44EDE"/>
    <w:rsid w:val="00A4594C"/>
    <w:rsid w:val="00A4609D"/>
    <w:rsid w:val="00A5257A"/>
    <w:rsid w:val="00A5445D"/>
    <w:rsid w:val="00A55FB2"/>
    <w:rsid w:val="00A65493"/>
    <w:rsid w:val="00A777D0"/>
    <w:rsid w:val="00A81770"/>
    <w:rsid w:val="00A909B1"/>
    <w:rsid w:val="00A96DF9"/>
    <w:rsid w:val="00AA07C5"/>
    <w:rsid w:val="00AA6A9B"/>
    <w:rsid w:val="00AB17FA"/>
    <w:rsid w:val="00AB4261"/>
    <w:rsid w:val="00AC7B1F"/>
    <w:rsid w:val="00AD0B39"/>
    <w:rsid w:val="00AD3329"/>
    <w:rsid w:val="00AD722D"/>
    <w:rsid w:val="00AE6CF9"/>
    <w:rsid w:val="00AF141A"/>
    <w:rsid w:val="00B01EAC"/>
    <w:rsid w:val="00B06CBA"/>
    <w:rsid w:val="00B07429"/>
    <w:rsid w:val="00B22EF6"/>
    <w:rsid w:val="00B23455"/>
    <w:rsid w:val="00B239FD"/>
    <w:rsid w:val="00B23C3A"/>
    <w:rsid w:val="00B25F11"/>
    <w:rsid w:val="00B345B9"/>
    <w:rsid w:val="00B3531D"/>
    <w:rsid w:val="00B5248F"/>
    <w:rsid w:val="00B57F4B"/>
    <w:rsid w:val="00B6066D"/>
    <w:rsid w:val="00B80686"/>
    <w:rsid w:val="00B83B4A"/>
    <w:rsid w:val="00B8797F"/>
    <w:rsid w:val="00BA237A"/>
    <w:rsid w:val="00BA2A02"/>
    <w:rsid w:val="00BA7DB0"/>
    <w:rsid w:val="00BB67DE"/>
    <w:rsid w:val="00BC1427"/>
    <w:rsid w:val="00BC37B3"/>
    <w:rsid w:val="00BC5AED"/>
    <w:rsid w:val="00BC756E"/>
    <w:rsid w:val="00BD3924"/>
    <w:rsid w:val="00BD396B"/>
    <w:rsid w:val="00C008A4"/>
    <w:rsid w:val="00C035CB"/>
    <w:rsid w:val="00C11300"/>
    <w:rsid w:val="00C220A2"/>
    <w:rsid w:val="00C24D73"/>
    <w:rsid w:val="00C50A32"/>
    <w:rsid w:val="00C51623"/>
    <w:rsid w:val="00C5235B"/>
    <w:rsid w:val="00C6070C"/>
    <w:rsid w:val="00C62DBA"/>
    <w:rsid w:val="00C70180"/>
    <w:rsid w:val="00C70465"/>
    <w:rsid w:val="00C70A42"/>
    <w:rsid w:val="00C7470F"/>
    <w:rsid w:val="00C87898"/>
    <w:rsid w:val="00C940B2"/>
    <w:rsid w:val="00C942A6"/>
    <w:rsid w:val="00CC65E3"/>
    <w:rsid w:val="00CD690B"/>
    <w:rsid w:val="00CE36C8"/>
    <w:rsid w:val="00CE46E5"/>
    <w:rsid w:val="00CE7655"/>
    <w:rsid w:val="00D01A51"/>
    <w:rsid w:val="00D1168F"/>
    <w:rsid w:val="00D22E25"/>
    <w:rsid w:val="00D260C5"/>
    <w:rsid w:val="00D369E4"/>
    <w:rsid w:val="00D3748B"/>
    <w:rsid w:val="00D63669"/>
    <w:rsid w:val="00D750D3"/>
    <w:rsid w:val="00D83500"/>
    <w:rsid w:val="00D839CB"/>
    <w:rsid w:val="00D93C78"/>
    <w:rsid w:val="00DA1DEA"/>
    <w:rsid w:val="00DA4118"/>
    <w:rsid w:val="00DB70FA"/>
    <w:rsid w:val="00DB718D"/>
    <w:rsid w:val="00DC41F5"/>
    <w:rsid w:val="00DC6C50"/>
    <w:rsid w:val="00DE7117"/>
    <w:rsid w:val="00DF2ABD"/>
    <w:rsid w:val="00E100E0"/>
    <w:rsid w:val="00E23FB7"/>
    <w:rsid w:val="00E24E4E"/>
    <w:rsid w:val="00E26EEC"/>
    <w:rsid w:val="00E270AA"/>
    <w:rsid w:val="00E328C7"/>
    <w:rsid w:val="00E33F7C"/>
    <w:rsid w:val="00E34CCD"/>
    <w:rsid w:val="00E47CF1"/>
    <w:rsid w:val="00E5496A"/>
    <w:rsid w:val="00E61A8A"/>
    <w:rsid w:val="00E72B93"/>
    <w:rsid w:val="00E74B1E"/>
    <w:rsid w:val="00E8055F"/>
    <w:rsid w:val="00EA21BA"/>
    <w:rsid w:val="00EA2298"/>
    <w:rsid w:val="00EB0702"/>
    <w:rsid w:val="00EB59FD"/>
    <w:rsid w:val="00EC3D4F"/>
    <w:rsid w:val="00EC5020"/>
    <w:rsid w:val="00EE4409"/>
    <w:rsid w:val="00EE4E95"/>
    <w:rsid w:val="00EF2B7B"/>
    <w:rsid w:val="00EF664C"/>
    <w:rsid w:val="00F01EA2"/>
    <w:rsid w:val="00F0345C"/>
    <w:rsid w:val="00F12844"/>
    <w:rsid w:val="00F174C5"/>
    <w:rsid w:val="00F26182"/>
    <w:rsid w:val="00F32147"/>
    <w:rsid w:val="00F55985"/>
    <w:rsid w:val="00F80757"/>
    <w:rsid w:val="00F84DDF"/>
    <w:rsid w:val="00FA1CAF"/>
    <w:rsid w:val="00FA53BE"/>
    <w:rsid w:val="00FB1C2F"/>
    <w:rsid w:val="00FB70FE"/>
    <w:rsid w:val="00FD5EDE"/>
    <w:rsid w:val="00FE1398"/>
    <w:rsid w:val="00FE3D94"/>
    <w:rsid w:val="00FE48AF"/>
    <w:rsid w:val="00FF54CA"/>
    <w:rsid w:val="00FF7BC8"/>
    <w:rsid w:val="02771276"/>
    <w:rsid w:val="05340028"/>
    <w:rsid w:val="0D7B2DAD"/>
    <w:rsid w:val="11A10295"/>
    <w:rsid w:val="11D06ED1"/>
    <w:rsid w:val="21D64885"/>
    <w:rsid w:val="23CE05B5"/>
    <w:rsid w:val="2A4370E4"/>
    <w:rsid w:val="2EDA6975"/>
    <w:rsid w:val="34DA11CC"/>
    <w:rsid w:val="3D403240"/>
    <w:rsid w:val="3EE54331"/>
    <w:rsid w:val="48720605"/>
    <w:rsid w:val="49AE7812"/>
    <w:rsid w:val="49E360C7"/>
    <w:rsid w:val="4E036E8C"/>
    <w:rsid w:val="506E0098"/>
    <w:rsid w:val="52BB2458"/>
    <w:rsid w:val="572F305D"/>
    <w:rsid w:val="5D4D52CD"/>
    <w:rsid w:val="5F7D7514"/>
    <w:rsid w:val="652D670A"/>
    <w:rsid w:val="67CF7761"/>
    <w:rsid w:val="6EF80825"/>
    <w:rsid w:val="726826F5"/>
    <w:rsid w:val="76401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00" w:after="120" w:line="400" w:lineRule="exact"/>
      <w:jc w:val="left"/>
      <w:outlineLvl w:val="0"/>
    </w:pPr>
    <w:rPr>
      <w:b/>
      <w:bCs/>
      <w:color w:val="000000"/>
      <w:kern w:val="44"/>
      <w:sz w:val="30"/>
      <w:szCs w:val="44"/>
    </w:rPr>
  </w:style>
  <w:style w:type="paragraph" w:styleId="3">
    <w:name w:val="heading 2"/>
    <w:basedOn w:val="1"/>
    <w:next w:val="1"/>
    <w:qFormat/>
    <w:uiPriority w:val="0"/>
    <w:pPr>
      <w:keepNext/>
      <w:keepLines/>
      <w:tabs>
        <w:tab w:val="left" w:pos="668"/>
      </w:tabs>
      <w:adjustRightInd w:val="0"/>
      <w:spacing w:before="300" w:after="240" w:line="400" w:lineRule="exact"/>
      <w:ind w:left="8"/>
      <w:jc w:val="left"/>
      <w:textAlignment w:val="baseline"/>
      <w:outlineLvl w:val="1"/>
    </w:pPr>
    <w:rPr>
      <w:b/>
      <w:color w:val="000000"/>
      <w:kern w:val="0"/>
      <w:sz w:val="24"/>
      <w:szCs w:val="20"/>
    </w:rPr>
  </w:style>
  <w:style w:type="paragraph" w:styleId="4">
    <w:name w:val="heading 3"/>
    <w:basedOn w:val="1"/>
    <w:next w:val="1"/>
    <w:qFormat/>
    <w:uiPriority w:val="0"/>
    <w:pPr>
      <w:keepNext/>
      <w:adjustRightInd w:val="0"/>
      <w:snapToGrid w:val="0"/>
      <w:spacing w:line="440" w:lineRule="atLeast"/>
      <w:jc w:val="center"/>
      <w:outlineLvl w:val="2"/>
    </w:pPr>
    <w:rPr>
      <w:sz w:val="32"/>
    </w:rPr>
  </w:style>
  <w:style w:type="paragraph" w:styleId="5">
    <w:name w:val="heading 4"/>
    <w:basedOn w:val="1"/>
    <w:next w:val="1"/>
    <w:qFormat/>
    <w:uiPriority w:val="0"/>
    <w:pPr>
      <w:keepNext/>
      <w:adjustRightInd w:val="0"/>
      <w:snapToGrid w:val="0"/>
      <w:spacing w:line="440" w:lineRule="atLeast"/>
      <w:jc w:val="center"/>
      <w:outlineLvl w:val="3"/>
    </w:pPr>
    <w:rPr>
      <w:b/>
      <w:sz w:val="32"/>
      <w:szCs w:val="48"/>
    </w:rPr>
  </w:style>
  <w:style w:type="paragraph" w:styleId="6">
    <w:name w:val="heading 5"/>
    <w:basedOn w:val="1"/>
    <w:next w:val="1"/>
    <w:qFormat/>
    <w:uiPriority w:val="0"/>
    <w:pPr>
      <w:keepNext/>
      <w:tabs>
        <w:tab w:val="left" w:pos="2700"/>
        <w:tab w:val="left" w:pos="3150"/>
      </w:tabs>
      <w:spacing w:before="78" w:beforeLines="25" w:line="400" w:lineRule="exact"/>
      <w:jc w:val="center"/>
      <w:outlineLvl w:val="4"/>
    </w:pPr>
    <w:rPr>
      <w:b/>
      <w:bCs/>
      <w:sz w:val="28"/>
    </w:rPr>
  </w:style>
  <w:style w:type="paragraph" w:styleId="7">
    <w:name w:val="heading 6"/>
    <w:basedOn w:val="1"/>
    <w:next w:val="1"/>
    <w:qFormat/>
    <w:uiPriority w:val="0"/>
    <w:pPr>
      <w:keepNext/>
      <w:adjustRightInd w:val="0"/>
      <w:snapToGrid w:val="0"/>
      <w:spacing w:line="440" w:lineRule="atLeast"/>
      <w:jc w:val="center"/>
      <w:outlineLvl w:val="5"/>
    </w:pPr>
    <w:rPr>
      <w:b/>
      <w:caps/>
      <w:sz w:val="44"/>
    </w:rPr>
  </w:style>
  <w:style w:type="paragraph" w:styleId="8">
    <w:name w:val="heading 7"/>
    <w:basedOn w:val="1"/>
    <w:next w:val="1"/>
    <w:qFormat/>
    <w:uiPriority w:val="0"/>
    <w:pPr>
      <w:keepNext/>
      <w:keepLines/>
      <w:spacing w:before="240" w:after="64" w:line="320" w:lineRule="auto"/>
      <w:outlineLvl w:val="6"/>
    </w:pPr>
    <w:rPr>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0"/>
    <w:pPr>
      <w:ind w:left="1050"/>
      <w:jc w:val="left"/>
    </w:pPr>
    <w:rPr>
      <w:rFonts w:ascii="Calibri" w:hAnsi="Calibri"/>
      <w:sz w:val="20"/>
      <w:szCs w:val="20"/>
    </w:rPr>
  </w:style>
  <w:style w:type="paragraph" w:styleId="10">
    <w:name w:val="Document Map"/>
    <w:basedOn w:val="1"/>
    <w:qFormat/>
    <w:uiPriority w:val="0"/>
    <w:pPr>
      <w:shd w:val="clear" w:color="auto" w:fill="000080"/>
    </w:pPr>
  </w:style>
  <w:style w:type="paragraph" w:styleId="11">
    <w:name w:val="annotation text"/>
    <w:basedOn w:val="1"/>
    <w:link w:val="41"/>
    <w:qFormat/>
    <w:uiPriority w:val="0"/>
    <w:pPr>
      <w:jc w:val="left"/>
    </w:pPr>
  </w:style>
  <w:style w:type="paragraph" w:styleId="12">
    <w:name w:val="Body Text"/>
    <w:basedOn w:val="1"/>
    <w:qFormat/>
    <w:uiPriority w:val="0"/>
    <w:pPr>
      <w:adjustRightInd w:val="0"/>
      <w:snapToGrid w:val="0"/>
      <w:spacing w:line="440" w:lineRule="atLeast"/>
      <w:jc w:val="center"/>
    </w:pPr>
    <w:rPr>
      <w:rFonts w:eastAsia="黑体"/>
      <w:b/>
      <w:sz w:val="32"/>
    </w:rPr>
  </w:style>
  <w:style w:type="paragraph" w:styleId="13">
    <w:name w:val="Body Text Indent"/>
    <w:basedOn w:val="1"/>
    <w:qFormat/>
    <w:uiPriority w:val="0"/>
    <w:pPr>
      <w:spacing w:line="480" w:lineRule="auto"/>
      <w:ind w:left="359" w:leftChars="171"/>
    </w:pPr>
    <w:rPr>
      <w:sz w:val="24"/>
    </w:rPr>
  </w:style>
  <w:style w:type="paragraph" w:styleId="14">
    <w:name w:val="Block Text"/>
    <w:basedOn w:val="1"/>
    <w:qFormat/>
    <w:uiPriority w:val="0"/>
    <w:pPr>
      <w:tabs>
        <w:tab w:val="left" w:pos="576"/>
      </w:tabs>
      <w:autoSpaceDE w:val="0"/>
      <w:autoSpaceDN w:val="0"/>
      <w:adjustRightInd w:val="0"/>
      <w:spacing w:after="78" w:afterLines="25" w:line="400" w:lineRule="exact"/>
      <w:ind w:left="559" w:leftChars="266" w:right="23" w:rightChars="11" w:firstLine="2"/>
    </w:pPr>
    <w:rPr>
      <w:color w:val="000000"/>
      <w:sz w:val="24"/>
    </w:rPr>
  </w:style>
  <w:style w:type="paragraph" w:styleId="15">
    <w:name w:val="toc 5"/>
    <w:basedOn w:val="1"/>
    <w:next w:val="1"/>
    <w:qFormat/>
    <w:uiPriority w:val="0"/>
    <w:pPr>
      <w:ind w:left="630"/>
      <w:jc w:val="left"/>
    </w:pPr>
    <w:rPr>
      <w:rFonts w:ascii="Calibri" w:hAnsi="Calibri"/>
      <w:sz w:val="20"/>
      <w:szCs w:val="20"/>
    </w:rPr>
  </w:style>
  <w:style w:type="paragraph" w:styleId="16">
    <w:name w:val="toc 3"/>
    <w:basedOn w:val="1"/>
    <w:next w:val="1"/>
    <w:qFormat/>
    <w:uiPriority w:val="0"/>
    <w:pPr>
      <w:ind w:left="210"/>
      <w:jc w:val="left"/>
    </w:pPr>
    <w:rPr>
      <w:rFonts w:ascii="Calibri" w:hAnsi="Calibri"/>
      <w:sz w:val="20"/>
      <w:szCs w:val="20"/>
    </w:rPr>
  </w:style>
  <w:style w:type="paragraph" w:styleId="17">
    <w:name w:val="Plain Text"/>
    <w:basedOn w:val="1"/>
    <w:link w:val="42"/>
    <w:qFormat/>
    <w:uiPriority w:val="0"/>
    <w:pPr>
      <w:spacing w:before="40" w:after="40"/>
    </w:pPr>
    <w:rPr>
      <w:rFonts w:ascii="宋体" w:hAnsi="宋体"/>
      <w:sz w:val="18"/>
      <w:szCs w:val="20"/>
    </w:rPr>
  </w:style>
  <w:style w:type="paragraph" w:styleId="18">
    <w:name w:val="toc 8"/>
    <w:basedOn w:val="1"/>
    <w:next w:val="1"/>
    <w:qFormat/>
    <w:uiPriority w:val="0"/>
    <w:pPr>
      <w:ind w:left="1260"/>
      <w:jc w:val="left"/>
    </w:pPr>
    <w:rPr>
      <w:rFonts w:ascii="Calibri" w:hAnsi="Calibri"/>
      <w:sz w:val="20"/>
      <w:szCs w:val="20"/>
    </w:rPr>
  </w:style>
  <w:style w:type="paragraph" w:styleId="19">
    <w:name w:val="Date"/>
    <w:basedOn w:val="1"/>
    <w:next w:val="1"/>
    <w:qFormat/>
    <w:uiPriority w:val="0"/>
    <w:pPr>
      <w:ind w:left="100" w:leftChars="2500"/>
    </w:pPr>
    <w:rPr>
      <w:b/>
      <w:color w:val="000000"/>
      <w:sz w:val="24"/>
    </w:rPr>
  </w:style>
  <w:style w:type="paragraph" w:styleId="20">
    <w:name w:val="Body Text Indent 2"/>
    <w:basedOn w:val="1"/>
    <w:qFormat/>
    <w:uiPriority w:val="0"/>
    <w:pPr>
      <w:spacing w:line="480" w:lineRule="auto"/>
      <w:ind w:left="540" w:leftChars="257" w:firstLine="240" w:firstLineChars="100"/>
    </w:pPr>
    <w:rPr>
      <w:sz w:val="24"/>
    </w:rPr>
  </w:style>
  <w:style w:type="paragraph" w:styleId="21">
    <w:name w:val="Balloon Text"/>
    <w:basedOn w:val="1"/>
    <w:link w:val="43"/>
    <w:qFormat/>
    <w:uiPriority w:val="0"/>
    <w:rPr>
      <w:sz w:val="18"/>
      <w:szCs w:val="18"/>
    </w:rPr>
  </w:style>
  <w:style w:type="paragraph" w:styleId="22">
    <w:name w:val="footer"/>
    <w:basedOn w:val="1"/>
    <w:link w:val="44"/>
    <w:qFormat/>
    <w:uiPriority w:val="0"/>
    <w:pPr>
      <w:tabs>
        <w:tab w:val="center" w:pos="4153"/>
        <w:tab w:val="right" w:pos="8306"/>
      </w:tabs>
      <w:snapToGrid w:val="0"/>
      <w:jc w:val="left"/>
    </w:pPr>
    <w:rPr>
      <w:sz w:val="18"/>
      <w:szCs w:val="18"/>
    </w:rPr>
  </w:style>
  <w:style w:type="paragraph" w:styleId="23">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360"/>
      <w:jc w:val="left"/>
    </w:pPr>
    <w:rPr>
      <w:rFonts w:ascii="Cambria" w:hAnsi="Cambria"/>
      <w:b/>
      <w:bCs/>
      <w:caps/>
      <w:sz w:val="24"/>
    </w:rPr>
  </w:style>
  <w:style w:type="paragraph" w:styleId="25">
    <w:name w:val="toc 4"/>
    <w:basedOn w:val="1"/>
    <w:next w:val="1"/>
    <w:qFormat/>
    <w:uiPriority w:val="0"/>
    <w:pPr>
      <w:ind w:left="420"/>
      <w:jc w:val="left"/>
    </w:pPr>
    <w:rPr>
      <w:rFonts w:ascii="Calibri" w:hAnsi="Calibri"/>
      <w:sz w:val="20"/>
      <w:szCs w:val="20"/>
    </w:rPr>
  </w:style>
  <w:style w:type="paragraph" w:styleId="26">
    <w:name w:val="toc 6"/>
    <w:basedOn w:val="1"/>
    <w:next w:val="1"/>
    <w:qFormat/>
    <w:uiPriority w:val="0"/>
    <w:pPr>
      <w:ind w:left="840"/>
      <w:jc w:val="left"/>
    </w:pPr>
    <w:rPr>
      <w:rFonts w:ascii="Calibri" w:hAnsi="Calibri"/>
      <w:sz w:val="20"/>
      <w:szCs w:val="20"/>
    </w:rPr>
  </w:style>
  <w:style w:type="paragraph" w:styleId="27">
    <w:name w:val="Body Text Indent 3"/>
    <w:basedOn w:val="1"/>
    <w:qFormat/>
    <w:uiPriority w:val="0"/>
    <w:pPr>
      <w:spacing w:line="420" w:lineRule="exact"/>
      <w:ind w:left="541" w:leftChars="257" w:hanging="1"/>
    </w:pPr>
    <w:rPr>
      <w:sz w:val="24"/>
    </w:rPr>
  </w:style>
  <w:style w:type="paragraph" w:styleId="28">
    <w:name w:val="toc 2"/>
    <w:basedOn w:val="1"/>
    <w:next w:val="1"/>
    <w:qFormat/>
    <w:uiPriority w:val="39"/>
    <w:pPr>
      <w:spacing w:before="240"/>
      <w:jc w:val="left"/>
    </w:pPr>
    <w:rPr>
      <w:rFonts w:ascii="Calibri" w:hAnsi="Calibri"/>
      <w:b/>
      <w:bCs/>
      <w:sz w:val="20"/>
      <w:szCs w:val="20"/>
    </w:rPr>
  </w:style>
  <w:style w:type="paragraph" w:styleId="29">
    <w:name w:val="toc 9"/>
    <w:basedOn w:val="1"/>
    <w:next w:val="1"/>
    <w:qFormat/>
    <w:uiPriority w:val="0"/>
    <w:pPr>
      <w:ind w:left="1470"/>
      <w:jc w:val="left"/>
    </w:pPr>
    <w:rPr>
      <w:rFonts w:ascii="Calibri" w:hAnsi="Calibri"/>
      <w:sz w:val="20"/>
      <w:szCs w:val="20"/>
    </w:rPr>
  </w:style>
  <w:style w:type="paragraph" w:styleId="30">
    <w:name w:val="Body Text 2"/>
    <w:basedOn w:val="1"/>
    <w:qFormat/>
    <w:uiPriority w:val="0"/>
    <w:pPr>
      <w:adjustRightInd w:val="0"/>
      <w:snapToGrid w:val="0"/>
      <w:spacing w:before="156" w:beforeLines="50" w:after="156" w:afterLines="50" w:line="300" w:lineRule="exact"/>
    </w:pPr>
    <w:rPr>
      <w:rFonts w:eastAsia="仿宋_GB2312"/>
      <w:bCs/>
      <w:sz w:val="24"/>
    </w:rPr>
  </w:style>
  <w:style w:type="paragraph" w:styleId="31">
    <w:name w:val="Normal (Web)"/>
    <w:basedOn w:val="1"/>
    <w:link w:val="46"/>
    <w:qFormat/>
    <w:uiPriority w:val="0"/>
    <w:pPr>
      <w:widowControl/>
      <w:spacing w:before="100" w:beforeAutospacing="1" w:after="100" w:afterAutospacing="1"/>
      <w:jc w:val="left"/>
    </w:pPr>
    <w:rPr>
      <w:rFonts w:ascii="宋体" w:hAnsi="宋体"/>
      <w:kern w:val="0"/>
      <w:sz w:val="24"/>
    </w:rPr>
  </w:style>
  <w:style w:type="paragraph" w:styleId="32">
    <w:name w:val="annotation subject"/>
    <w:basedOn w:val="11"/>
    <w:next w:val="11"/>
    <w:qFormat/>
    <w:uiPriority w:val="0"/>
    <w:rPr>
      <w:b/>
      <w:bCs/>
    </w:rPr>
  </w:style>
  <w:style w:type="table" w:styleId="34">
    <w:name w:val="Table Grid"/>
    <w:basedOn w:val="33"/>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22"/>
    <w:rPr>
      <w:b/>
      <w:bCs/>
    </w:rPr>
  </w:style>
  <w:style w:type="character" w:styleId="37">
    <w:name w:val="page number"/>
    <w:qFormat/>
    <w:uiPriority w:val="0"/>
  </w:style>
  <w:style w:type="character" w:styleId="38">
    <w:name w:val="Hyperlink"/>
    <w:qFormat/>
    <w:uiPriority w:val="99"/>
    <w:rPr>
      <w:color w:val="0000FF"/>
      <w:u w:val="single"/>
    </w:rPr>
  </w:style>
  <w:style w:type="character" w:styleId="39">
    <w:name w:val="annotation reference"/>
    <w:qFormat/>
    <w:uiPriority w:val="0"/>
    <w:rPr>
      <w:sz w:val="21"/>
      <w:szCs w:val="21"/>
    </w:rPr>
  </w:style>
  <w:style w:type="character" w:customStyle="1" w:styleId="40">
    <w:name w:val="标题 1 字符"/>
    <w:link w:val="2"/>
    <w:qFormat/>
    <w:uiPriority w:val="0"/>
    <w:rPr>
      <w:rFonts w:eastAsia="宋体"/>
      <w:b/>
      <w:bCs/>
      <w:color w:val="000000"/>
      <w:kern w:val="44"/>
      <w:sz w:val="30"/>
      <w:szCs w:val="44"/>
      <w:lang w:val="en-US" w:eastAsia="zh-CN" w:bidi="ar-SA"/>
    </w:rPr>
  </w:style>
  <w:style w:type="character" w:customStyle="1" w:styleId="41">
    <w:name w:val="批注文字 字符"/>
    <w:link w:val="11"/>
    <w:qFormat/>
    <w:uiPriority w:val="0"/>
    <w:rPr>
      <w:kern w:val="2"/>
      <w:sz w:val="21"/>
      <w:szCs w:val="24"/>
    </w:rPr>
  </w:style>
  <w:style w:type="character" w:customStyle="1" w:styleId="42">
    <w:name w:val="纯文本 字符"/>
    <w:link w:val="17"/>
    <w:qFormat/>
    <w:uiPriority w:val="0"/>
    <w:rPr>
      <w:rFonts w:ascii="宋体" w:hAnsi="宋体"/>
      <w:kern w:val="2"/>
      <w:sz w:val="18"/>
    </w:rPr>
  </w:style>
  <w:style w:type="character" w:customStyle="1" w:styleId="43">
    <w:name w:val="批注框文本 字符"/>
    <w:link w:val="21"/>
    <w:qFormat/>
    <w:uiPriority w:val="0"/>
    <w:rPr>
      <w:kern w:val="2"/>
      <w:sz w:val="18"/>
      <w:szCs w:val="18"/>
    </w:rPr>
  </w:style>
  <w:style w:type="character" w:customStyle="1" w:styleId="44">
    <w:name w:val="页脚 字符"/>
    <w:link w:val="22"/>
    <w:qFormat/>
    <w:uiPriority w:val="0"/>
    <w:rPr>
      <w:kern w:val="2"/>
      <w:sz w:val="18"/>
      <w:szCs w:val="18"/>
    </w:rPr>
  </w:style>
  <w:style w:type="character" w:customStyle="1" w:styleId="45">
    <w:name w:val="页眉 字符"/>
    <w:link w:val="23"/>
    <w:qFormat/>
    <w:uiPriority w:val="99"/>
    <w:rPr>
      <w:kern w:val="2"/>
      <w:sz w:val="18"/>
      <w:szCs w:val="18"/>
    </w:rPr>
  </w:style>
  <w:style w:type="character" w:customStyle="1" w:styleId="46">
    <w:name w:val="普通(网站) 字符"/>
    <w:link w:val="31"/>
    <w:qFormat/>
    <w:uiPriority w:val="0"/>
    <w:rPr>
      <w:rFonts w:ascii="宋体" w:hAnsi="宋体"/>
      <w:sz w:val="24"/>
      <w:szCs w:val="24"/>
    </w:rPr>
  </w:style>
  <w:style w:type="character" w:customStyle="1" w:styleId="47">
    <w:name w:val="内容 Char1"/>
    <w:link w:val="48"/>
    <w:qFormat/>
    <w:uiPriority w:val="0"/>
    <w:rPr>
      <w:rFonts w:ascii="宋体" w:hAnsi="宋体" w:eastAsia="宋体" w:cs="宋体"/>
      <w:kern w:val="2"/>
      <w:sz w:val="28"/>
      <w:szCs w:val="28"/>
      <w:lang w:val="en-US" w:eastAsia="zh-CN" w:bidi="ar-SA"/>
    </w:rPr>
  </w:style>
  <w:style w:type="paragraph" w:customStyle="1" w:styleId="48">
    <w:name w:val="内容"/>
    <w:basedOn w:val="1"/>
    <w:link w:val="47"/>
    <w:qFormat/>
    <w:uiPriority w:val="0"/>
    <w:pPr>
      <w:adjustRightInd w:val="0"/>
      <w:snapToGrid w:val="0"/>
      <w:spacing w:line="300" w:lineRule="auto"/>
      <w:ind w:firstLine="560" w:firstLineChars="200"/>
    </w:pPr>
    <w:rPr>
      <w:rFonts w:ascii="宋体" w:hAnsi="宋体" w:cs="宋体"/>
      <w:sz w:val="28"/>
      <w:szCs w:val="28"/>
    </w:rPr>
  </w:style>
  <w:style w:type="character" w:customStyle="1" w:styleId="49">
    <w:name w:val="章 Char"/>
    <w:qFormat/>
    <w:uiPriority w:val="0"/>
    <w:rPr>
      <w:rFonts w:ascii="方正小标宋简体" w:hAnsi="宋体" w:eastAsia="方正小标宋简体" w:cs="Times New Roman"/>
      <w:b/>
      <w:bCs/>
      <w:color w:val="000000"/>
      <w:kern w:val="44"/>
      <w:sz w:val="52"/>
      <w:szCs w:val="36"/>
    </w:rPr>
  </w:style>
  <w:style w:type="character" w:customStyle="1" w:styleId="50">
    <w:name w:val="标准段落 Char Char"/>
    <w:link w:val="51"/>
    <w:qFormat/>
    <w:uiPriority w:val="0"/>
    <w:rPr>
      <w:rFonts w:ascii="Calibri" w:hAnsi="Calibri"/>
      <w:kern w:val="2"/>
      <w:sz w:val="21"/>
      <w:szCs w:val="21"/>
    </w:rPr>
  </w:style>
  <w:style w:type="paragraph" w:customStyle="1" w:styleId="51">
    <w:name w:val="标准段落"/>
    <w:basedOn w:val="1"/>
    <w:link w:val="50"/>
    <w:qFormat/>
    <w:uiPriority w:val="0"/>
    <w:pPr>
      <w:spacing w:line="360" w:lineRule="auto"/>
      <w:ind w:firstLine="420" w:firstLineChars="200"/>
    </w:pPr>
    <w:rPr>
      <w:rFonts w:ascii="Calibri" w:hAnsi="Calibri"/>
      <w:szCs w:val="21"/>
    </w:rPr>
  </w:style>
  <w:style w:type="character" w:customStyle="1" w:styleId="52">
    <w:name w:val="标题4"/>
    <w:qFormat/>
    <w:uiPriority w:val="0"/>
    <w:rPr>
      <w:rFonts w:ascii="Times New Roman" w:hAnsi="Times New Roman" w:eastAsia="宋体"/>
      <w:sz w:val="24"/>
      <w:lang w:val="en-US"/>
    </w:rPr>
  </w:style>
  <w:style w:type="character" w:customStyle="1" w:styleId="53">
    <w:name w:val="样式 标题 2 + (符号) 宋体 小四 Char"/>
    <w:qFormat/>
    <w:uiPriority w:val="0"/>
    <w:rPr>
      <w:rFonts w:ascii="Arial" w:hAnsi="Arial" w:eastAsia="宋体"/>
      <w:b/>
      <w:bCs/>
      <w:kern w:val="2"/>
      <w:sz w:val="24"/>
      <w:szCs w:val="32"/>
      <w:lang w:val="en-US" w:eastAsia="zh-CN" w:bidi="ar-SA"/>
    </w:rPr>
  </w:style>
  <w:style w:type="paragraph" w:customStyle="1" w:styleId="54">
    <w:name w:val="文章正文"/>
    <w:basedOn w:val="1"/>
    <w:qFormat/>
    <w:uiPriority w:val="0"/>
    <w:pPr>
      <w:snapToGrid w:val="0"/>
      <w:spacing w:line="360" w:lineRule="auto"/>
      <w:ind w:firstLine="200" w:firstLineChars="200"/>
    </w:pPr>
    <w:rPr>
      <w:rFonts w:ascii="Arial" w:hAnsi="Arial" w:cs="Arial"/>
      <w:snapToGrid w:val="0"/>
      <w:kern w:val="0"/>
      <w:sz w:val="24"/>
    </w:rPr>
  </w:style>
  <w:style w:type="paragraph" w:customStyle="1" w:styleId="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Char"/>
    <w:basedOn w:val="1"/>
    <w:qFormat/>
    <w:uiPriority w:val="0"/>
    <w:rPr>
      <w:rFonts w:ascii="仿宋_GB2312" w:eastAsia="仿宋_GB2312"/>
      <w:b/>
      <w:sz w:val="32"/>
      <w:szCs w:val="32"/>
    </w:rPr>
  </w:style>
  <w:style w:type="paragraph" w:customStyle="1" w:styleId="57">
    <w:name w:val="Char1"/>
    <w:basedOn w:val="1"/>
    <w:qFormat/>
    <w:uiPriority w:val="0"/>
    <w:rPr>
      <w:rFonts w:ascii="仿宋_GB2312" w:eastAsia="仿宋_GB2312"/>
      <w:b/>
      <w:sz w:val="32"/>
      <w:szCs w:val="32"/>
    </w:rPr>
  </w:style>
  <w:style w:type="paragraph" w:customStyle="1" w:styleId="58">
    <w:name w:val="表格文字"/>
    <w:basedOn w:val="13"/>
    <w:qFormat/>
    <w:uiPriority w:val="0"/>
    <w:pPr>
      <w:spacing w:before="60" w:after="60" w:line="240" w:lineRule="auto"/>
      <w:ind w:left="0" w:leftChars="0"/>
    </w:pPr>
  </w:style>
  <w:style w:type="paragraph" w:styleId="59">
    <w:name w:val="List Paragraph"/>
    <w:basedOn w:val="1"/>
    <w:link w:val="60"/>
    <w:qFormat/>
    <w:uiPriority w:val="34"/>
    <w:pPr>
      <w:widowControl/>
      <w:ind w:left="720"/>
      <w:jc w:val="left"/>
    </w:pPr>
    <w:rPr>
      <w:rFonts w:ascii="宋体" w:hAnsi="宋体" w:cs="宋体"/>
      <w:kern w:val="0"/>
      <w:sz w:val="24"/>
    </w:rPr>
  </w:style>
  <w:style w:type="character" w:customStyle="1" w:styleId="60">
    <w:name w:val="列表段落 字符"/>
    <w:link w:val="59"/>
    <w:qFormat/>
    <w:uiPriority w:val="34"/>
    <w:rPr>
      <w:rFonts w:ascii="宋体" w:hAnsi="宋体" w:cs="宋体"/>
      <w:sz w:val="24"/>
      <w:szCs w:val="24"/>
    </w:rPr>
  </w:style>
  <w:style w:type="paragraph" w:customStyle="1" w:styleId="61">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2">
    <w:name w:val="样式一"/>
    <w:basedOn w:val="1"/>
    <w:qFormat/>
    <w:uiPriority w:val="0"/>
    <w:pPr>
      <w:autoSpaceDE w:val="0"/>
      <w:autoSpaceDN w:val="0"/>
      <w:adjustRightInd w:val="0"/>
      <w:spacing w:line="360" w:lineRule="auto"/>
      <w:textAlignment w:val="baseline"/>
    </w:pPr>
    <w:rPr>
      <w:rFonts w:ascii="宋体" w:hAnsi="宋体"/>
      <w:kern w:val="0"/>
      <w:sz w:val="24"/>
      <w:szCs w:val="20"/>
      <w:lang w:val="en-GB"/>
    </w:rPr>
  </w:style>
  <w:style w:type="paragraph" w:customStyle="1" w:styleId="63">
    <w:name w:val="Char Char5"/>
    <w:basedOn w:val="1"/>
    <w:qFormat/>
    <w:uiPriority w:val="0"/>
    <w:pPr>
      <w:widowControl/>
      <w:spacing w:after="160" w:line="240" w:lineRule="exact"/>
      <w:jc w:val="left"/>
    </w:pPr>
  </w:style>
  <w:style w:type="paragraph" w:customStyle="1" w:styleId="64">
    <w:name w:val="Char Char Char Char Char Char"/>
    <w:basedOn w:val="1"/>
    <w:qFormat/>
    <w:uiPriority w:val="0"/>
  </w:style>
  <w:style w:type="paragraph" w:customStyle="1" w:styleId="65">
    <w:name w:val="Char Char51"/>
    <w:basedOn w:val="1"/>
    <w:qFormat/>
    <w:uiPriority w:val="0"/>
    <w:pPr>
      <w:widowControl/>
      <w:spacing w:after="160" w:line="240" w:lineRule="exact"/>
      <w:jc w:val="left"/>
    </w:pPr>
  </w:style>
  <w:style w:type="paragraph" w:customStyle="1" w:styleId="66">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67">
    <w:name w:val="Heading 7 Char"/>
    <w:qFormat/>
    <w:locked/>
    <w:uiPriority w:val="0"/>
    <w:rPr>
      <w:rFonts w:ascii="Times New Roman" w:hAnsi="Times New Roman" w:eastAsia="宋体" w:cs="Times New Roman"/>
      <w:b/>
      <w:bCs/>
      <w:kern w:val="0"/>
      <w:sz w:val="24"/>
      <w:szCs w:val="24"/>
    </w:rPr>
  </w:style>
  <w:style w:type="paragraph" w:customStyle="1" w:styleId="68">
    <w:name w:val="正文1"/>
    <w:basedOn w:val="1"/>
    <w:qFormat/>
    <w:uiPriority w:val="0"/>
    <w:pPr>
      <w:overflowPunct w:val="0"/>
      <w:ind w:firstLine="480"/>
    </w:pPr>
    <w:rPr>
      <w:rFonts w:cs="宋体"/>
    </w:rPr>
  </w:style>
  <w:style w:type="paragraph" w:customStyle="1" w:styleId="69">
    <w:name w:val="Body text|3"/>
    <w:basedOn w:val="1"/>
    <w:qFormat/>
    <w:uiPriority w:val="0"/>
    <w:pPr>
      <w:spacing w:after="270"/>
    </w:pPr>
    <w:rPr>
      <w:rFonts w:ascii="宋体" w:hAnsi="宋体" w:cs="宋体"/>
      <w:sz w:val="28"/>
      <w:szCs w:val="28"/>
      <w:lang w:val="zh-TW" w:eastAsia="zh-TW" w:bidi="zh-TW"/>
    </w:rPr>
  </w:style>
  <w:style w:type="paragraph" w:customStyle="1" w:styleId="70">
    <w:name w:val="Body text|1"/>
    <w:basedOn w:val="1"/>
    <w:qFormat/>
    <w:uiPriority w:val="0"/>
    <w:pPr>
      <w:spacing w:after="2200"/>
      <w:jc w:val="center"/>
    </w:pPr>
    <w:rPr>
      <w:rFonts w:ascii="宋体" w:hAnsi="宋体" w:cs="宋体"/>
      <w:sz w:val="22"/>
      <w:szCs w:val="22"/>
      <w:lang w:val="zh-TW" w:eastAsia="zh-TW" w:bidi="zh-TW"/>
    </w:rPr>
  </w:style>
  <w:style w:type="paragraph" w:customStyle="1" w:styleId="71">
    <w:name w:val="Other|1"/>
    <w:basedOn w:val="1"/>
    <w:qFormat/>
    <w:uiPriority w:val="0"/>
    <w:pPr>
      <w:spacing w:after="270"/>
    </w:pPr>
    <w:rPr>
      <w:rFonts w:ascii="宋体" w:hAnsi="宋体" w:cs="宋体"/>
      <w:sz w:val="28"/>
      <w:szCs w:val="28"/>
      <w:lang w:val="zh-TW" w:eastAsia="zh-TW" w:bidi="zh-TW"/>
    </w:rPr>
  </w:style>
  <w:style w:type="paragraph" w:customStyle="1" w:styleId="72">
    <w:name w:val="Table caption|1"/>
    <w:basedOn w:val="1"/>
    <w:qFormat/>
    <w:uiPriority w:val="0"/>
    <w:rPr>
      <w:rFonts w:ascii="宋体" w:hAnsi="宋体" w:cs="宋体"/>
      <w:lang w:val="zh-TW" w:eastAsia="zh-TW" w:bidi="zh-TW"/>
    </w:rPr>
  </w:style>
  <w:style w:type="paragraph" w:customStyle="1" w:styleId="73">
    <w:name w:val="Header or footer|1"/>
    <w:basedOn w:val="1"/>
    <w:qFormat/>
    <w:uiPriority w:val="0"/>
    <w:rPr>
      <w:sz w:val="19"/>
      <w:szCs w:val="19"/>
      <w:lang w:val="zh-TW" w:eastAsia="zh-TW" w:bidi="zh-TW"/>
    </w:rPr>
  </w:style>
  <w:style w:type="character" w:customStyle="1" w:styleId="74">
    <w:name w:val="font31"/>
    <w:basedOn w:val="35"/>
    <w:qFormat/>
    <w:uiPriority w:val="0"/>
    <w:rPr>
      <w:rFonts w:hint="eastAsia" w:ascii="宋体" w:hAnsi="宋体" w:eastAsia="宋体" w:cs="宋体"/>
      <w:color w:val="FF0000"/>
      <w:sz w:val="21"/>
      <w:szCs w:val="21"/>
      <w:u w:val="none"/>
    </w:rPr>
  </w:style>
  <w:style w:type="character" w:customStyle="1" w:styleId="75">
    <w:name w:val="font21"/>
    <w:basedOn w:val="3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524</Words>
  <Characters>588</Characters>
  <Lines>36</Lines>
  <Paragraphs>10</Paragraphs>
  <TotalTime>8</TotalTime>
  <ScaleCrop>false</ScaleCrop>
  <LinksUpToDate>false</LinksUpToDate>
  <CharactersWithSpaces>599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2025-03-31T14:02:00Z</dcterms:created>
  <dc:creator>xing</dc:creator>
  <cp:lastModifiedBy>采购</cp:lastModifiedBy>
  <cp:lastPrinted>2025-03-29T06:08:00Z</cp:lastPrinted>
  <dcterms:modified xsi:type="dcterms:W3CDTF">2026-04-10T00:32:08Z</dcterms:modified>
  <dc:title>比选文件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2E1F4F41A2D74FFEA5A06F537282A3BA</vt:lpwstr>
  </property>
  <property fmtid="{D5CDD505-2E9C-101B-9397-08002B2CF9AE}" pid="4" name="KSOTemplateDocerSaveRecord">
    <vt:lpwstr>eyJoZGlkIjoiZjAxYTBkMThjNDRkZjgwYjNiOGY0OTQzODQzNTczNGUifQ==</vt:lpwstr>
  </property>
</Properties>
</file>