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20" w:lineRule="exact"/>
        <w:ind w:firstLine="964"/>
        <w:jc w:val="center"/>
        <w:rPr>
          <w:rFonts w:hint="eastAsia" w:ascii="宋体" w:hAnsi="宋体" w:eastAsia="宋体" w:cs="宋体"/>
          <w:b/>
          <w:bCs/>
          <w:sz w:val="48"/>
        </w:rPr>
      </w:pPr>
      <w:r>
        <w:rPr>
          <w:rFonts w:hint="eastAsia" w:ascii="宋体" w:hAnsi="宋体" w:eastAsia="宋体" w:cs="宋体"/>
          <w:b/>
          <w:bCs/>
          <w:sz w:val="48"/>
          <w:lang w:val="en-US" w:eastAsia="zh-CN"/>
        </w:rPr>
        <w:t>等级医院评审指标信息化平台</w:t>
      </w:r>
      <w:r>
        <w:rPr>
          <w:rFonts w:hint="eastAsia" w:ascii="宋体" w:hAnsi="宋体" w:eastAsia="宋体" w:cs="宋体"/>
          <w:b/>
          <w:bCs/>
          <w:sz w:val="48"/>
        </w:rPr>
        <w:t>项目</w:t>
      </w:r>
    </w:p>
    <w:p>
      <w:pPr>
        <w:pStyle w:val="5"/>
        <w:spacing w:before="0"/>
        <w:ind w:left="420" w:firstLine="361" w:firstLineChars="100"/>
        <w:jc w:val="center"/>
        <w:rPr>
          <w:rFonts w:hint="eastAsia" w:ascii="宋体" w:hAnsi="宋体" w:eastAsia="宋体" w:cs="宋体"/>
          <w:b/>
          <w:bCs/>
          <w:sz w:val="36"/>
          <w:szCs w:val="36"/>
        </w:rPr>
      </w:pPr>
      <w:r>
        <w:rPr>
          <w:rFonts w:hint="eastAsia" w:ascii="宋体" w:hAnsi="宋体" w:eastAsia="宋体" w:cs="宋体"/>
          <w:b/>
          <w:bCs/>
          <w:sz w:val="36"/>
          <w:szCs w:val="36"/>
        </w:rPr>
        <w:t>-遴选文件</w:t>
      </w:r>
    </w:p>
    <w:p>
      <w:pPr>
        <w:pStyle w:val="5"/>
        <w:spacing w:before="0" w:line="240" w:lineRule="auto"/>
        <w:rPr>
          <w:rFonts w:ascii="宋体" w:hAnsi="宋体" w:cs="宋体"/>
          <w:b w:val="0"/>
          <w:bCs w:val="0"/>
        </w:rPr>
      </w:pPr>
      <w:r>
        <w:rPr>
          <w:rFonts w:hint="eastAsia" w:ascii="宋体" w:hAnsi="宋体" w:cs="宋体"/>
          <w:b w:val="0"/>
          <w:bCs w:val="0"/>
        </w:rPr>
        <w:t>一、项目基本情况</w:t>
      </w:r>
    </w:p>
    <w:p>
      <w:pPr>
        <w:pStyle w:val="11"/>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sz w:val="24"/>
          <w:szCs w:val="24"/>
        </w:rPr>
        <w:t>1、项目名称：</w:t>
      </w:r>
      <w:r>
        <w:rPr>
          <w:rFonts w:hint="eastAsia" w:ascii="宋体" w:hAnsi="宋体" w:eastAsia="宋体" w:cs="宋体"/>
          <w:b w:val="0"/>
          <w:bCs w:val="0"/>
          <w:sz w:val="24"/>
          <w:szCs w:val="24"/>
          <w:lang w:val="en-US" w:eastAsia="zh-CN"/>
        </w:rPr>
        <w:t>等级医院评审指标信息化平台</w:t>
      </w:r>
      <w:r>
        <w:rPr>
          <w:rFonts w:hint="eastAsia" w:ascii="宋体" w:hAnsi="宋体" w:eastAsia="宋体" w:cs="宋体"/>
          <w:b w:val="0"/>
          <w:bCs w:val="0"/>
          <w:sz w:val="24"/>
          <w:szCs w:val="24"/>
        </w:rPr>
        <w:t>项目</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2、</w:t>
      </w:r>
      <w:r>
        <w:rPr>
          <w:rFonts w:hint="eastAsia" w:ascii="宋体" w:hAnsi="宋体" w:eastAsia="宋体" w:cs="宋体"/>
          <w:b w:val="0"/>
          <w:bCs/>
          <w:sz w:val="24"/>
          <w:szCs w:val="24"/>
        </w:rPr>
        <w:t>项目概况</w:t>
      </w:r>
      <w:r>
        <w:rPr>
          <w:rFonts w:hint="eastAsia" w:ascii="宋体" w:hAnsi="宋体" w:eastAsia="宋体" w:cs="宋体"/>
          <w:sz w:val="24"/>
          <w:szCs w:val="24"/>
        </w:rPr>
        <w:t>：为全面落实《2025版国家三级医院评审标准》要求，深化医疗质量精细化管理，支撑医院等级评审迎检工作，依托我院已建成的医疗质控平台，开展本次新增评审指标信息化建设及指标优化治理工作。</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项新增评审指标信息化落地：全面覆盖8类专业质控指标及医疗质量安全核心制度监测指标，具体为肿瘤专业114项、感染性疾病专业10项、健康体检与管理专业7项、疼痛专业12项、整形美容专业8项、门诊管理专业11项、脑损伤评价专业10项、放射影像专业7项，以及医疗质量安全核心制度落实情况监测指标35项。为指标配置标准化数据采集与统计逻辑，实现数据自动归集；支持指标数据全链路溯源，可下钻至科室、个人、患者维度并导出分子明细；内置国家评审标准阈值，实现指标自动对比分析、不达标情况自动识别与预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现有医疗质控平台中已上线指标的数据抓取逻辑进行全面核查、修正与统一，规范数据口径和统计标准；开展历史数据与实时运行数据的清洗、校验、去重及一致性治理，消除数据错误、冗余与偏差，保障平台数据的准确性、完整性和时效性。</w:t>
      </w:r>
      <w:bookmarkStart w:id="0" w:name="_Toc23019836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项目建设原则</w:t>
      </w:r>
      <w:bookmarkEnd w:id="0"/>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本项目以《2025版国家三级医院评审标准》为核心依据，依托现有医疗质控平台基础，坚持"顶层设计、统筹规划、分步实施、重点突破"总原则，围绕医疗质量精细化管理与等级评审迎检核心目标，制定以下建设原则：</w:t>
      </w:r>
      <w:bookmarkStart w:id="1" w:name="_Toc23019836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评审导向，标准先行</w:t>
      </w:r>
      <w:bookmarkEnd w:id="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严格对标《2025版国家三级医院评审标准》及肿瘤、感染、门诊等8个专业的医疗质控指标规范，所有指标定义、统计口径、计算逻辑、阈值设置完全遵循国家统一要求，确保数据合规性与结果可采信性，为医院等级评审提供权威、可追溯的数据支撑。</w:t>
      </w:r>
      <w:bookmarkStart w:id="2" w:name="_Toc23019836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rPr>
        <w:t>数据为本，质量优先</w:t>
      </w:r>
      <w:bookmarkEnd w:id="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数据质量为项目核心基石，同步推进新增指标标准化采集任务，统一全院质控数据标准，全面修正现有平台指标抓取逻辑，开展数据清洗、校验与一致性治理；实现所有指标数据全链路可追溯，支持下钻至科室、个人、患者维度并导出分子明细，从源头保障数据准确、完整、及时。</w:t>
      </w:r>
      <w:bookmarkStart w:id="3" w:name="_Toc23019836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3.3</w:t>
      </w:r>
      <w:r>
        <w:rPr>
          <w:rFonts w:hint="eastAsia" w:ascii="宋体" w:hAnsi="宋体" w:eastAsia="宋体" w:cs="宋体"/>
          <w:b w:val="0"/>
          <w:bCs w:val="0"/>
          <w:sz w:val="24"/>
          <w:szCs w:val="24"/>
        </w:rPr>
        <w:t>安全合规，隐私保护</w:t>
      </w:r>
      <w:bookmarkEnd w:id="3"/>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严格遵循《数据安全法》《个人信息保护法》及医疗数据安全相关法规标准，建立多方式、多层次、多渠道的安全保密体系。从数据传输、存储、访问、使用全流程实施安全管控，严格分级授权患者敏感信息，防止非法侵入与信息泄露，确保医疗数据永久安全。</w:t>
      </w:r>
    </w:p>
    <w:p>
      <w:pPr>
        <w:pStyle w:val="5"/>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bookmarkStart w:id="4" w:name="_Toc230198364"/>
      <w:r>
        <w:rPr>
          <w:rFonts w:hint="eastAsia" w:ascii="宋体" w:hAnsi="宋体" w:eastAsia="宋体" w:cs="宋体"/>
          <w:b w:val="0"/>
          <w:bCs w:val="0"/>
          <w:sz w:val="24"/>
          <w:szCs w:val="24"/>
          <w:lang w:val="en-US" w:eastAsia="zh-CN"/>
        </w:rPr>
        <w:t>3.4</w:t>
      </w:r>
      <w:r>
        <w:rPr>
          <w:rFonts w:hint="eastAsia" w:ascii="宋体" w:hAnsi="宋体" w:eastAsia="宋体" w:cs="宋体"/>
          <w:b w:val="0"/>
          <w:bCs w:val="0"/>
          <w:sz w:val="24"/>
          <w:szCs w:val="24"/>
        </w:rPr>
        <w:t>稳定可靠，持续运行</w:t>
      </w:r>
      <w:bookmarkEnd w:id="4"/>
    </w:p>
    <w:p>
      <w:pPr>
        <w:pStyle w:val="5"/>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用成熟稳定的技术架构与行业主流产品，从系统结构、设计方案、运维保障等多维度保障系统高可用性。支持7×24小时不间断运行，制定完善的故障应急预案，确保2小时内响应、24小时内解决问题，保障质控业务连续性。</w:t>
      </w:r>
    </w:p>
    <w:p>
      <w:pPr>
        <w:pStyle w:val="5"/>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bookmarkStart w:id="5" w:name="_Toc230198365"/>
      <w:r>
        <w:rPr>
          <w:rFonts w:hint="eastAsia" w:ascii="宋体" w:hAnsi="宋体" w:eastAsia="宋体" w:cs="宋体"/>
          <w:b w:val="0"/>
          <w:bCs w:val="0"/>
          <w:sz w:val="24"/>
          <w:szCs w:val="24"/>
          <w:lang w:val="en-US" w:eastAsia="zh-CN"/>
        </w:rPr>
        <w:t>3.5</w:t>
      </w:r>
      <w:r>
        <w:rPr>
          <w:rFonts w:hint="eastAsia" w:ascii="宋体" w:hAnsi="宋体" w:eastAsia="宋体" w:cs="宋体"/>
          <w:b w:val="0"/>
          <w:bCs w:val="0"/>
          <w:sz w:val="24"/>
          <w:szCs w:val="24"/>
        </w:rPr>
        <w:t>开放集成，易于扩展</w:t>
      </w:r>
      <w:bookmarkEnd w:id="5"/>
    </w:p>
    <w:p>
      <w:pPr>
        <w:pageBreakBefore w:val="0"/>
        <w:widowControl w:val="0"/>
        <w:kinsoku/>
        <w:wordWrap/>
        <w:overflowPunct/>
        <w:topLinePunct w:val="0"/>
        <w:autoSpaceDE/>
        <w:autoSpaceDN/>
        <w:bidi w:val="0"/>
        <w:adjustRightInd/>
        <w:snapToGrid/>
        <w:spacing w:before="60" w:after="6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遵循标准化与开放性原则，实现与医院现有HIS、EMR、LIS、PACS等业务系统的无缝集成与数据互联互通。采用模块化、松耦合设计，支持未来快速接入新的质控指标、评审要求及业务功能，满足医院医疗质量持续改进与长期发展需求</w:t>
      </w:r>
      <w:r>
        <w:rPr>
          <w:rFonts w:hint="eastAsia" w:ascii="宋体" w:hAnsi="宋体" w:eastAsia="宋体" w:cs="宋体"/>
          <w:sz w:val="24"/>
          <w:szCs w:val="24"/>
          <w:lang w:eastAsia="zh-CN"/>
        </w:rPr>
        <w:t>。</w:t>
      </w:r>
    </w:p>
    <w:p>
      <w:pPr>
        <w:pStyle w:val="18"/>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rPr>
      </w:pPr>
      <w:bookmarkStart w:id="34" w:name="_GoBack"/>
      <w:bookmarkEnd w:id="34"/>
      <w:r>
        <w:rPr>
          <w:rFonts w:hint="eastAsia" w:ascii="宋体" w:hAnsi="宋体" w:eastAsia="宋体" w:cs="宋体"/>
          <w:sz w:val="24"/>
          <w:szCs w:val="24"/>
          <w:lang w:val="en-US" w:eastAsia="zh-CN"/>
        </w:rPr>
        <w:t>4</w:t>
      </w:r>
      <w:r>
        <w:rPr>
          <w:rFonts w:hint="eastAsia" w:ascii="宋体" w:hAnsi="宋体" w:eastAsia="宋体" w:cs="宋体"/>
          <w:sz w:val="24"/>
          <w:szCs w:val="24"/>
          <w:lang w:val="en-US"/>
        </w:rPr>
        <w:t>、项目预算金额：</w:t>
      </w:r>
      <w:r>
        <w:rPr>
          <w:rFonts w:hint="eastAsia" w:ascii="宋体" w:hAnsi="宋体" w:eastAsia="宋体" w:cs="宋体"/>
          <w:sz w:val="24"/>
          <w:szCs w:val="24"/>
          <w:lang w:val="en-US" w:eastAsia="zh-CN"/>
        </w:rPr>
        <w:t>27.9</w:t>
      </w:r>
      <w:r>
        <w:rPr>
          <w:rFonts w:hint="eastAsia" w:ascii="宋体" w:hAnsi="宋体" w:eastAsia="宋体" w:cs="宋体"/>
          <w:sz w:val="24"/>
          <w:szCs w:val="24"/>
          <w:lang w:val="en-US"/>
        </w:rPr>
        <w:t>万元</w:t>
      </w:r>
    </w:p>
    <w:p>
      <w:pPr>
        <w:pStyle w:val="18"/>
        <w:spacing w:line="240" w:lineRule="auto"/>
        <w:ind w:firstLine="0" w:firstLineChars="0"/>
        <w:rPr>
          <w:rFonts w:ascii="宋体" w:hAnsi="宋体" w:cs="宋体"/>
          <w:sz w:val="32"/>
          <w:szCs w:val="32"/>
        </w:rPr>
      </w:pPr>
      <w:r>
        <w:rPr>
          <w:rFonts w:hint="eastAsia" w:ascii="宋体" w:hAnsi="宋体" w:cs="宋体"/>
          <w:sz w:val="32"/>
          <w:szCs w:val="32"/>
        </w:rPr>
        <w:t>二、采购需求</w:t>
      </w:r>
    </w:p>
    <w:p>
      <w:pPr>
        <w:pStyle w:val="5"/>
        <w:rPr>
          <w:rFonts w:hint="eastAsia" w:ascii="宋体" w:hAnsi="宋体" w:eastAsia="宋体" w:cs="宋体"/>
          <w:b/>
          <w:bCs/>
          <w:sz w:val="28"/>
          <w:szCs w:val="28"/>
        </w:rPr>
      </w:pPr>
      <w:bookmarkStart w:id="6" w:name="_Toc230198367"/>
      <w:bookmarkStart w:id="7" w:name="_Toc205971334"/>
      <w:bookmarkStart w:id="8" w:name="OLE_LINK36"/>
      <w:bookmarkStart w:id="9" w:name="OLE_LINK2"/>
      <w:bookmarkStart w:id="10" w:name="OLE_LINK53"/>
      <w:bookmarkStart w:id="11" w:name="OLE_LINK15"/>
      <w:bookmarkStart w:id="12" w:name="OLE_LINK22"/>
      <w:bookmarkStart w:id="13" w:name="OLE_LINK19"/>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肿瘤专业质量控制指标（2023年版）114个</w:t>
      </w:r>
      <w:bookmarkEnd w:id="6"/>
    </w:p>
    <w:p>
      <w:pPr>
        <w:rPr>
          <w:rFonts w:hint="eastAsia"/>
        </w:rPr>
      </w:pPr>
      <w:r>
        <w:rPr>
          <w:rFonts w:hint="eastAsia"/>
        </w:rPr>
        <w:t>依据国家肿瘤专业医疗质量控制指标（2023年版）要求，建设覆盖乳腺癌、肺癌、肝癌、宫颈癌、胃癌、结直肠癌、食管癌、甲状腺癌、前列腺癌、肾癌的114项质控指标，实现指标数据自动采集、统计分析、阈值比对与不达标自动识别，支持数据溯源及下钻查询。</w:t>
      </w:r>
    </w:p>
    <w:p>
      <w:pPr>
        <w:rPr>
          <w:rFonts w:hint="eastAsia"/>
        </w:rPr>
      </w:pPr>
      <w:r>
        <w:rPr>
          <w:rFonts w:hint="eastAsia"/>
        </w:rPr>
        <w:t>具体指新建标明细如下：</w:t>
      </w:r>
    </w:p>
    <w:tbl>
      <w:tblPr>
        <w:tblStyle w:val="13"/>
        <w:tblW w:w="9223" w:type="dxa"/>
        <w:jc w:val="center"/>
        <w:tblLayout w:type="fixed"/>
        <w:tblCellMar>
          <w:top w:w="0" w:type="dxa"/>
          <w:left w:w="108" w:type="dxa"/>
          <w:bottom w:w="0" w:type="dxa"/>
          <w:right w:w="108" w:type="dxa"/>
        </w:tblCellMar>
      </w:tblPr>
      <w:tblGrid>
        <w:gridCol w:w="872"/>
        <w:gridCol w:w="7205"/>
        <w:gridCol w:w="1146"/>
      </w:tblGrid>
      <w:tr>
        <w:tblPrEx>
          <w:tblCellMar>
            <w:top w:w="0" w:type="dxa"/>
            <w:left w:w="108" w:type="dxa"/>
            <w:bottom w:w="0" w:type="dxa"/>
            <w:right w:w="108" w:type="dxa"/>
          </w:tblCellMar>
        </w:tblPrEx>
        <w:trPr>
          <w:trHeight w:val="280" w:hRule="atLeast"/>
          <w:jc w:val="center"/>
        </w:trPr>
        <w:tc>
          <w:tcPr>
            <w:tcW w:w="872" w:type="dxa"/>
            <w:tcBorders>
              <w:top w:val="single" w:color="auto" w:sz="4" w:space="0"/>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b/>
                <w:bCs/>
              </w:rPr>
            </w:pPr>
            <w:r>
              <w:rPr>
                <w:rFonts w:hint="eastAsia"/>
                <w:b/>
                <w:bCs/>
              </w:rPr>
              <w:t>序号</w:t>
            </w:r>
          </w:p>
        </w:tc>
        <w:tc>
          <w:tcPr>
            <w:tcW w:w="7205" w:type="dxa"/>
            <w:tcBorders>
              <w:top w:val="single" w:color="auto" w:sz="4" w:space="0"/>
              <w:left w:val="nil"/>
              <w:bottom w:val="single" w:color="auto" w:sz="4" w:space="0"/>
              <w:right w:val="single" w:color="auto" w:sz="4" w:space="0"/>
            </w:tcBorders>
            <w:noWrap/>
            <w:vAlign w:val="center"/>
          </w:tcPr>
          <w:p>
            <w:pPr>
              <w:kinsoku/>
              <w:spacing w:line="240" w:lineRule="auto"/>
              <w:ind w:firstLine="0" w:firstLineChars="0"/>
              <w:jc w:val="center"/>
              <w:rPr>
                <w:rFonts w:hint="eastAsia"/>
                <w:b/>
                <w:bCs/>
              </w:rPr>
            </w:pPr>
            <w:r>
              <w:rPr>
                <w:rFonts w:hint="eastAsia"/>
                <w:b/>
                <w:bCs/>
              </w:rPr>
              <w:t>指标名称</w:t>
            </w:r>
          </w:p>
        </w:tc>
        <w:tc>
          <w:tcPr>
            <w:tcW w:w="1146" w:type="dxa"/>
            <w:tcBorders>
              <w:top w:val="single" w:color="auto" w:sz="4" w:space="0"/>
              <w:left w:val="nil"/>
              <w:bottom w:val="single" w:color="auto" w:sz="4" w:space="0"/>
              <w:right w:val="single" w:color="auto" w:sz="4" w:space="0"/>
            </w:tcBorders>
            <w:noWrap/>
            <w:vAlign w:val="center"/>
          </w:tcPr>
          <w:p>
            <w:pPr>
              <w:kinsoku/>
              <w:spacing w:line="240" w:lineRule="auto"/>
              <w:ind w:firstLine="0" w:firstLineChars="0"/>
              <w:jc w:val="center"/>
              <w:rPr>
                <w:rFonts w:hint="eastAsia"/>
                <w:b/>
                <w:bCs/>
              </w:rPr>
            </w:pPr>
            <w:r>
              <w:rPr>
                <w:rFonts w:hint="eastAsia"/>
                <w:b/>
                <w:bCs/>
              </w:rPr>
              <w:t>癌种</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乳腺癌患者首次治疗前临床TNM分期诊断率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乳腺癌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乳腺癌患者首次治疗前临床TNM分期检查评估策略符合率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乳腺癌患者非手术治疗前病理学诊断率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早期乳腺癌患者前哨淋巴结活检率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乳腺癌患者保乳术后放疗率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乳腺癌患者改良根治术后放疗率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局部晚期乳腺癌患者新辅助治疗率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晚期转移性乳腺癌患者首次治疗全身系统性治疗率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激素受体阳性乳腺癌患者术后接受辅助内分泌治疗率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接受抗HER-2靶向治疗的乳腺癌患者中HER-2阳性率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腋窝淋巴结清扫充分率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乳腺癌I类切口手术部位感染率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肺癌患者首次治疗前临床TNM分期诊断率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肺癌患者非手术治疗前病理学诊断率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肺癌患者术后病理TNM分期率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肺癌切除术术中淋巴结清扫率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肺癌切除术术中纵隔淋巴结清扫充分率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III期肺癌患者初始治疗综合治疗率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肺癌患者精确放疗率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Ⅳ期肺癌患者首次抗肿瘤药物治疗一线推荐方案采用率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肺癌患者接受分子靶向治疗前基因检测阳性率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肺癌患者非手术治疗后疗效评价率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肺癌手术患者肿瘤完整切除（R0）率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肺癌患者术后院内死亡率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肝细胞癌患者首次治疗前临床中国肝癌分期诊断率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肝细胞癌患者首次治疗前临床中国肝癌分期检查策略符合率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肝内胆管癌患者首次治疗前临床TNM分期诊断率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肝内胆管癌患者首次治疗前临床TNM分期检查策略符合率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肝内胆管癌患者首次非手术治疗前病理学诊断率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肝内胆管癌患者术后病理TNM分期率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肝内胆管癌患者术中淋巴结清扫率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肝癌手术患者微创手术率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肝癌患者围手术期死亡率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中国肝癌分期IIb和IIIa期肝细胞癌患者首次治疗TACE治疗率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255"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中晚期肝癌患者综合治疗率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肝癌患者精确放疗率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宫颈癌患者首次治疗前临床FIGO分期诊断率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宫颈癌患者首次治疗前临床FIGO分期检查评估策略符合率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宫颈癌患者首次治疗前病理学诊断率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早期宫颈癌根治性手术治疗患者淋巴结切除率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术后病理存在高危因素的宫颈癌患者接受同步放化疗率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术后病理存在符合Sedlis标准的中危因素宫颈癌患者放疗率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中晚期宫颈癌患者首次治疗同步放化疗率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宫颈癌患者精确体外放疗率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宫颈癌患者精确近距离放疗率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宫颈癌患者增敏化疗采用标准方案率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宫颈癌手术患者并发症发生率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宫颈癌放疗患者近期并发症发生率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胃癌患者首次治疗前临床TNM分期诊断率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胃癌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胃癌患者首次治疗前临床TNM分期检查评估策略符合率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胃癌患者首次治疗前病理学诊断率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胃癌患者术后病理TNM分期率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接受内镜治疗的胃癌患者术后切缘阳性率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I-III期胃癌患者手术治疗术中淋巴结清扫充分率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转移性胃癌患者首次治疗行手术治疗率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胃癌手术患者术前完成营养风险筛查与评估率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晚期转移性胃癌患者首次抗肿瘤药物治疗一线推荐方案采用率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胃癌患者非手术治疗后疗效评价率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晚期转移性胃癌患者首次抗肿瘤药物治疗前病理生物标志物诊断率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结直肠癌患者首次治疗前临床TNM分期诊断率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结直肠癌患者非手术治疗前病理学诊断率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首诊局部进展期直肠癌患者新辅助治疗率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结直肠癌患者靶向治疗和（或）免疫治疗前行基因检测和（或）分子检测率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术中淋巴结清扫充分率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首诊转移性结直肠癌患者首次化疗一线方案采用率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结直肠癌患者手术死亡率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结直肠癌患者术后C级吻合口瘘发生率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结直肠癌患者术后病理TNM分期率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结直肠癌患者非手术治疗后疗效评价率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结直肠癌手术患者非计划二次手术率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食管癌患者首次治疗前临床TNM分期诊断率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食管癌患者首次抗肿瘤治疗前病理学诊断率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食管胃交界部癌Siewert分型率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食管癌患者新辅助治疗后手术治疗前分期评估率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临床分期为T3-4N0和T1-4aN+期的食管癌患者新辅助治疗率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食管癌患者根治性手术淋巴结清扫充分率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晚期食管/食管胃交界部腺癌患者首次抗肿瘤药物治疗前完成HER-2检测率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食管癌患者精确放疗率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食管癌根治性放疗剂量规范率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甲状腺癌患者手术治疗前甲状腺血清学检测评估率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甲状腺癌患者手术前细胞病理学检查率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甲状腺癌患者首次治疗前临床TNM分期诊断率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甲状腺癌全切术后甲状旁腺功能评估率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甲状腺癌患者术后病理TNM分期率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分化型甲状腺癌碘131治疗前生化评估率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分化型甲状腺癌碘131治疗后碘131全身显像率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甲状腺癌术后血肿清除治疗率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甲状腺癌术后切口感染率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甲状腺癌患者术后发声质量评估率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前列腺癌患者首次治疗前临床TNM分期诊断率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前列腺癌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前列腺癌患者首次治疗前临床TNM分期检查评估策略符合率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前列腺癌患者首次非手术治疗前病理学诊断率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前列腺癌患者术后病理TNM分期率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M0期前列腺癌患者根治性精确放疗率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III期前列腺癌患者初始治疗行综合治疗率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IV期前列腺癌患者首次化疗一线方案采用率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转移性激素敏感性前列腺癌患者首次抗肿瘤药物治疗采用一线方案率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前列腺癌患者非手术治疗后疗效评价率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前列腺癌患者围手术期死亡率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肾癌患者首次治疗前临床TNM分期诊断率</w:t>
            </w:r>
          </w:p>
        </w:tc>
        <w:tc>
          <w:tcPr>
            <w:tcW w:w="1146" w:type="dxa"/>
            <w:vMerge w:val="restart"/>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w:t>
            </w: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105</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肾癌患者首次治疗前临床TNM分期检查评估策略符合率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106</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肾癌患者首次非手术治疗前病理学诊断率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107</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肾癌患者术后病理TNM分期率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108</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肾癌手术患者接受微创手术治疗率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109</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T1a期肾癌患者接受肾部分切除手术率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110</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肾癌手术患者术中及术后输血率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bookmarkStart w:id="14" w:name="_Hlk226965246"/>
            <w:r>
              <w:rPr>
                <w:rFonts w:hint="eastAsia"/>
              </w:rPr>
              <w:t>111</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肾癌患者围手术期死亡率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112</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晚期肾癌患者接受系统治疗率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113</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肾癌患者系统治疗后疗效评价率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bookmarkEnd w:id="14"/>
      <w:tr>
        <w:tblPrEx>
          <w:tblCellMar>
            <w:top w:w="0" w:type="dxa"/>
            <w:left w:w="108" w:type="dxa"/>
            <w:bottom w:w="0" w:type="dxa"/>
            <w:right w:w="108" w:type="dxa"/>
          </w:tblCellMar>
        </w:tblPrEx>
        <w:trPr>
          <w:trHeight w:val="330" w:hRule="atLeast"/>
          <w:jc w:val="center"/>
        </w:trPr>
        <w:tc>
          <w:tcPr>
            <w:tcW w:w="872"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114</w:t>
            </w:r>
          </w:p>
        </w:tc>
        <w:tc>
          <w:tcPr>
            <w:tcW w:w="720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肾癌手术患者并发症发生率</w:t>
            </w:r>
          </w:p>
        </w:tc>
        <w:tc>
          <w:tcPr>
            <w:tcW w:w="1146" w:type="dxa"/>
            <w:vMerge w:val="continue"/>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p>
        </w:tc>
      </w:tr>
    </w:tbl>
    <w:p>
      <w:pPr>
        <w:pStyle w:val="5"/>
        <w:rPr>
          <w:rFonts w:hint="eastAsia" w:ascii="宋体" w:hAnsi="宋体" w:eastAsia="宋体" w:cs="宋体"/>
          <w:sz w:val="28"/>
          <w:szCs w:val="28"/>
        </w:rPr>
      </w:pPr>
      <w:bookmarkStart w:id="15" w:name="_Toc230198368"/>
      <w:r>
        <w:rPr>
          <w:rFonts w:hint="eastAsia" w:ascii="宋体" w:hAnsi="宋体" w:eastAsia="宋体" w:cs="宋体"/>
          <w:sz w:val="28"/>
          <w:szCs w:val="28"/>
          <w:lang w:val="en-US" w:eastAsia="zh-CN"/>
        </w:rPr>
        <w:t>2、</w:t>
      </w:r>
      <w:r>
        <w:rPr>
          <w:rFonts w:hint="eastAsia" w:ascii="宋体" w:hAnsi="宋体" w:eastAsia="宋体" w:cs="宋体"/>
          <w:sz w:val="28"/>
          <w:szCs w:val="28"/>
        </w:rPr>
        <w:t>感染性疾病专业医疗质量控制指标（2023年版）10个</w:t>
      </w:r>
      <w:bookmarkEnd w:id="15"/>
    </w:p>
    <w:p>
      <w:pPr>
        <w:rPr>
          <w:rFonts w:hint="eastAsia"/>
        </w:rPr>
      </w:pPr>
      <w:r>
        <w:rPr>
          <w:rFonts w:hint="eastAsia"/>
        </w:rPr>
        <w:t>依据感染性疾病专业医疗质量控制指标（2023年版）要求，建设10项感染性疾病相关质控指标，实现数据自动采集、统计、分析与预警。</w:t>
      </w:r>
    </w:p>
    <w:p>
      <w:pPr>
        <w:rPr>
          <w:rFonts w:hint="eastAsia"/>
        </w:rPr>
      </w:pPr>
      <w:r>
        <w:rPr>
          <w:rFonts w:hint="eastAsia"/>
        </w:rPr>
        <w:t>具体新建指标明细如下：</w:t>
      </w:r>
    </w:p>
    <w:tbl>
      <w:tblPr>
        <w:tblStyle w:val="13"/>
        <w:tblW w:w="8217" w:type="dxa"/>
        <w:jc w:val="center"/>
        <w:tblLayout w:type="fixed"/>
        <w:tblCellMar>
          <w:top w:w="0" w:type="dxa"/>
          <w:left w:w="108" w:type="dxa"/>
          <w:bottom w:w="0" w:type="dxa"/>
          <w:right w:w="108" w:type="dxa"/>
        </w:tblCellMar>
      </w:tblPr>
      <w:tblGrid>
        <w:gridCol w:w="1040"/>
        <w:gridCol w:w="7177"/>
      </w:tblGrid>
      <w:tr>
        <w:tblPrEx>
          <w:tblCellMar>
            <w:top w:w="0" w:type="dxa"/>
            <w:left w:w="108" w:type="dxa"/>
            <w:bottom w:w="0" w:type="dxa"/>
            <w:right w:w="108" w:type="dxa"/>
          </w:tblCellMar>
        </w:tblPrEx>
        <w:trPr>
          <w:trHeight w:val="28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序号</w:t>
            </w:r>
          </w:p>
        </w:tc>
        <w:tc>
          <w:tcPr>
            <w:tcW w:w="7177" w:type="dxa"/>
            <w:tcBorders>
              <w:top w:val="single" w:color="auto" w:sz="4" w:space="0"/>
              <w:left w:val="nil"/>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抗流感病毒药物使用前流感病原学诊断阳性率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门诊流感患者抗菌药物使用率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住院流感患者抗菌药物使用率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4</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住院流感重症患者死亡率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5</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感染性腹泻患者病原学诊断阳性率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6</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感染性腹泻患者抗菌药物使用率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7</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感染性腹泻患者口服补液盐（ORS）使用率</w:t>
            </w:r>
          </w:p>
        </w:tc>
      </w:tr>
      <w:tr>
        <w:tblPrEx>
          <w:tblCellMar>
            <w:top w:w="0" w:type="dxa"/>
            <w:left w:w="108" w:type="dxa"/>
            <w:bottom w:w="0" w:type="dxa"/>
            <w:right w:w="108" w:type="dxa"/>
          </w:tblCellMar>
        </w:tblPrEx>
        <w:trPr>
          <w:trHeight w:val="66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8</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丙型肝炎病毒（HCV）抗体阳性患者丙型肝炎病毒核酸（HCV_x005f RNA）检测率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9</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HCV-RNA阳性患者抗病毒治疗率</w:t>
            </w:r>
          </w:p>
        </w:tc>
      </w:tr>
      <w:tr>
        <w:tblPrEx>
          <w:tblCellMar>
            <w:top w:w="0" w:type="dxa"/>
            <w:left w:w="108" w:type="dxa"/>
            <w:bottom w:w="0" w:type="dxa"/>
            <w:right w:w="108" w:type="dxa"/>
          </w:tblCellMar>
        </w:tblPrEx>
        <w:trPr>
          <w:trHeight w:val="33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10</w:t>
            </w:r>
          </w:p>
        </w:tc>
        <w:tc>
          <w:tcPr>
            <w:tcW w:w="7177"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护士血源性职业暴露率</w:t>
            </w:r>
          </w:p>
        </w:tc>
      </w:tr>
    </w:tbl>
    <w:p>
      <w:pPr>
        <w:pStyle w:val="5"/>
        <w:rPr>
          <w:rFonts w:hint="eastAsia" w:ascii="宋体" w:hAnsi="宋体" w:eastAsia="宋体" w:cs="宋体"/>
          <w:sz w:val="28"/>
          <w:szCs w:val="28"/>
        </w:rPr>
      </w:pPr>
      <w:bookmarkStart w:id="16" w:name="_Toc230198369"/>
      <w:r>
        <w:rPr>
          <w:rFonts w:hint="eastAsia" w:ascii="宋体" w:hAnsi="宋体" w:eastAsia="宋体" w:cs="宋体"/>
          <w:sz w:val="28"/>
          <w:szCs w:val="28"/>
          <w:lang w:val="en-US" w:eastAsia="zh-CN"/>
        </w:rPr>
        <w:t>3、</w:t>
      </w:r>
      <w:r>
        <w:rPr>
          <w:rFonts w:hint="eastAsia" w:ascii="宋体" w:hAnsi="宋体" w:eastAsia="宋体" w:cs="宋体"/>
          <w:sz w:val="28"/>
          <w:szCs w:val="28"/>
        </w:rPr>
        <w:t>健康体检与管理专业医疗质量控制指标（2023年版）7个</w:t>
      </w:r>
      <w:bookmarkEnd w:id="16"/>
    </w:p>
    <w:p>
      <w:pPr>
        <w:rPr>
          <w:rFonts w:hint="eastAsia"/>
        </w:rPr>
      </w:pPr>
      <w:r>
        <w:rPr>
          <w:rFonts w:hint="eastAsia"/>
        </w:rPr>
        <w:t>依据健康体检与管理专业医疗质量控制指标（2023年版）要求，建设7项健康体检全流程质控指标。</w:t>
      </w:r>
    </w:p>
    <w:p>
      <w:pPr>
        <w:rPr>
          <w:rFonts w:hint="eastAsia"/>
        </w:rPr>
      </w:pPr>
      <w:r>
        <w:rPr>
          <w:rFonts w:hint="eastAsia"/>
        </w:rPr>
        <w:t>具体新建指标明细如下：</w:t>
      </w:r>
    </w:p>
    <w:tbl>
      <w:tblPr>
        <w:tblStyle w:val="13"/>
        <w:tblW w:w="5949" w:type="dxa"/>
        <w:jc w:val="center"/>
        <w:tblLayout w:type="fixed"/>
        <w:tblCellMar>
          <w:top w:w="0" w:type="dxa"/>
          <w:left w:w="108" w:type="dxa"/>
          <w:bottom w:w="0" w:type="dxa"/>
          <w:right w:w="108" w:type="dxa"/>
        </w:tblCellMar>
      </w:tblPr>
      <w:tblGrid>
        <w:gridCol w:w="846"/>
        <w:gridCol w:w="5103"/>
      </w:tblGrid>
      <w:tr>
        <w:tblPrEx>
          <w:tblCellMar>
            <w:top w:w="0" w:type="dxa"/>
            <w:left w:w="108" w:type="dxa"/>
            <w:bottom w:w="0" w:type="dxa"/>
            <w:right w:w="108" w:type="dxa"/>
          </w:tblCellMar>
        </w:tblPrEx>
        <w:trPr>
          <w:trHeight w:val="28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序号</w:t>
            </w:r>
          </w:p>
        </w:tc>
        <w:tc>
          <w:tcPr>
            <w:tcW w:w="5103" w:type="dxa"/>
            <w:tcBorders>
              <w:top w:val="single" w:color="auto" w:sz="4" w:space="0"/>
              <w:left w:val="nil"/>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w:t>
            </w:r>
          </w:p>
        </w:tc>
        <w:tc>
          <w:tcPr>
            <w:tcW w:w="5103"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高级职称医师签署报告率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w:t>
            </w:r>
          </w:p>
        </w:tc>
        <w:tc>
          <w:tcPr>
            <w:tcW w:w="5103"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健康体检问卷完成率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w:t>
            </w:r>
          </w:p>
        </w:tc>
        <w:tc>
          <w:tcPr>
            <w:tcW w:w="5103"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超声医师日均负担超声检查部位数</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w:t>
            </w:r>
          </w:p>
        </w:tc>
        <w:tc>
          <w:tcPr>
            <w:tcW w:w="5103"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大便标本留取率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w:t>
            </w:r>
          </w:p>
        </w:tc>
        <w:tc>
          <w:tcPr>
            <w:tcW w:w="5103"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健康体检报告平均完成时间</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w:t>
            </w:r>
          </w:p>
        </w:tc>
        <w:tc>
          <w:tcPr>
            <w:tcW w:w="5103"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高危异常结果通知率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w:t>
            </w:r>
          </w:p>
        </w:tc>
        <w:tc>
          <w:tcPr>
            <w:tcW w:w="5103"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重要异常结果随访率</w:t>
            </w:r>
          </w:p>
        </w:tc>
      </w:tr>
    </w:tbl>
    <w:p>
      <w:pPr>
        <w:pStyle w:val="5"/>
        <w:rPr>
          <w:rFonts w:hint="eastAsia" w:ascii="宋体" w:hAnsi="宋体" w:eastAsia="宋体" w:cs="宋体"/>
          <w:sz w:val="28"/>
          <w:szCs w:val="28"/>
        </w:rPr>
      </w:pPr>
      <w:bookmarkStart w:id="17" w:name="_Toc230198370"/>
      <w:r>
        <w:rPr>
          <w:rFonts w:hint="eastAsia" w:ascii="宋体" w:hAnsi="宋体" w:eastAsia="宋体" w:cs="宋体"/>
          <w:sz w:val="28"/>
          <w:szCs w:val="28"/>
          <w:lang w:val="en-US" w:eastAsia="zh-CN"/>
        </w:rPr>
        <w:t>4、</w:t>
      </w:r>
      <w:r>
        <w:rPr>
          <w:rFonts w:hint="eastAsia" w:ascii="宋体" w:hAnsi="宋体" w:eastAsia="宋体" w:cs="宋体"/>
          <w:sz w:val="28"/>
          <w:szCs w:val="28"/>
        </w:rPr>
        <w:t>疼痛专业医疗质量控制指标（2023年版）12个</w:t>
      </w:r>
      <w:bookmarkEnd w:id="17"/>
    </w:p>
    <w:p>
      <w:pPr>
        <w:rPr>
          <w:rFonts w:hint="eastAsia"/>
        </w:rPr>
      </w:pPr>
      <w:r>
        <w:rPr>
          <w:rFonts w:hint="eastAsia"/>
        </w:rPr>
        <w:t>依据疼痛专业医疗质量控制指标（2023年版）要求，建设12项疼痛诊疗与管理质控指标。</w:t>
      </w:r>
    </w:p>
    <w:p>
      <w:pPr>
        <w:rPr>
          <w:rFonts w:hint="eastAsia"/>
        </w:rPr>
      </w:pPr>
      <w:r>
        <w:rPr>
          <w:rFonts w:hint="eastAsia"/>
        </w:rPr>
        <w:t>具体新建指标明细如下：</w:t>
      </w:r>
    </w:p>
    <w:tbl>
      <w:tblPr>
        <w:tblStyle w:val="13"/>
        <w:tblW w:w="7933" w:type="dxa"/>
        <w:jc w:val="center"/>
        <w:tblLayout w:type="fixed"/>
        <w:tblCellMar>
          <w:top w:w="0" w:type="dxa"/>
          <w:left w:w="108" w:type="dxa"/>
          <w:bottom w:w="0" w:type="dxa"/>
          <w:right w:w="108" w:type="dxa"/>
        </w:tblCellMar>
      </w:tblPr>
      <w:tblGrid>
        <w:gridCol w:w="1129"/>
        <w:gridCol w:w="6804"/>
      </w:tblGrid>
      <w:tr>
        <w:tblPrEx>
          <w:tblCellMar>
            <w:top w:w="0" w:type="dxa"/>
            <w:left w:w="108" w:type="dxa"/>
            <w:bottom w:w="0" w:type="dxa"/>
            <w:right w:w="108" w:type="dxa"/>
          </w:tblCellMar>
        </w:tblPrEx>
        <w:trPr>
          <w:trHeight w:val="28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b/>
                <w:bCs/>
              </w:rPr>
            </w:pPr>
            <w:bookmarkStart w:id="18" w:name="_Hlk226965413"/>
            <w:r>
              <w:rPr>
                <w:rFonts w:hint="eastAsia"/>
                <w:b/>
                <w:bCs/>
              </w:rPr>
              <w:t>序号</w:t>
            </w:r>
          </w:p>
        </w:tc>
        <w:tc>
          <w:tcPr>
            <w:tcW w:w="6804" w:type="dxa"/>
            <w:tcBorders>
              <w:top w:val="single" w:color="auto" w:sz="4" w:space="0"/>
              <w:left w:val="nil"/>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疼痛科医师床位比</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疼痛科护士床位比</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住院患者入院8h内疼痛程度评估完成率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带状疱疹后神经痛（PHN）初诊患者一线药物使用率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PHN治疗有效率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PHN患者手术并发症发生率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PHN患者精神心理评估率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癌症疼痛患者24h内疼痛全面评估完成率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中重度癌症疼痛患者阿片类药物使用率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癌症疼痛治疗有效率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11</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癌症疼痛患者术后院内死亡率</w:t>
            </w:r>
          </w:p>
        </w:tc>
      </w:tr>
      <w:tr>
        <w:tblPrEx>
          <w:tblCellMar>
            <w:top w:w="0" w:type="dxa"/>
            <w:left w:w="108" w:type="dxa"/>
            <w:bottom w:w="0" w:type="dxa"/>
            <w:right w:w="108" w:type="dxa"/>
          </w:tblCellMar>
        </w:tblPrEx>
        <w:trPr>
          <w:trHeight w:val="330" w:hRule="atLeast"/>
          <w:jc w:val="center"/>
        </w:trPr>
        <w:tc>
          <w:tcPr>
            <w:tcW w:w="1129"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12</w:t>
            </w:r>
          </w:p>
        </w:tc>
        <w:tc>
          <w:tcPr>
            <w:tcW w:w="6804"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中重度癌症疼痛患者7天随访率</w:t>
            </w:r>
          </w:p>
        </w:tc>
      </w:tr>
      <w:bookmarkEnd w:id="18"/>
    </w:tbl>
    <w:p>
      <w:pPr>
        <w:pStyle w:val="5"/>
        <w:rPr>
          <w:rFonts w:hint="eastAsia" w:ascii="宋体" w:hAnsi="宋体" w:eastAsia="宋体" w:cs="宋体"/>
          <w:sz w:val="28"/>
          <w:szCs w:val="28"/>
        </w:rPr>
      </w:pPr>
      <w:bookmarkStart w:id="19" w:name="_Toc230198371"/>
      <w:r>
        <w:rPr>
          <w:rFonts w:hint="eastAsia" w:ascii="宋体" w:hAnsi="宋体" w:eastAsia="宋体" w:cs="宋体"/>
          <w:sz w:val="28"/>
          <w:szCs w:val="28"/>
          <w:lang w:val="en-US" w:eastAsia="zh-CN"/>
        </w:rPr>
        <w:t>5、</w:t>
      </w:r>
      <w:r>
        <w:rPr>
          <w:rFonts w:hint="eastAsia" w:ascii="宋体" w:hAnsi="宋体" w:eastAsia="宋体" w:cs="宋体"/>
          <w:sz w:val="28"/>
          <w:szCs w:val="28"/>
        </w:rPr>
        <w:t>整形美容专业医疗质量控制指标（2023年版）8个</w:t>
      </w:r>
      <w:bookmarkEnd w:id="19"/>
    </w:p>
    <w:p>
      <w:pPr>
        <w:rPr>
          <w:rFonts w:hint="eastAsia"/>
        </w:rPr>
      </w:pPr>
      <w:r>
        <w:rPr>
          <w:rFonts w:hint="eastAsia"/>
        </w:rPr>
        <w:t>依据整形美容专业医疗质量控制指标（2023年版）要求，建设8项整形美容手术与治疗质控指标，严控围手术期管理、切口愈合与并发症风险，提升医美服务质量。</w:t>
      </w:r>
    </w:p>
    <w:p>
      <w:pPr>
        <w:rPr>
          <w:rFonts w:hint="eastAsia"/>
        </w:rPr>
      </w:pPr>
      <w:r>
        <w:rPr>
          <w:rFonts w:hint="eastAsia"/>
        </w:rPr>
        <w:t>具体新建指标明细如下：</w:t>
      </w:r>
    </w:p>
    <w:tbl>
      <w:tblPr>
        <w:tblStyle w:val="13"/>
        <w:tblW w:w="7933" w:type="dxa"/>
        <w:jc w:val="center"/>
        <w:tblLayout w:type="fixed"/>
        <w:tblCellMar>
          <w:top w:w="0" w:type="dxa"/>
          <w:left w:w="108" w:type="dxa"/>
          <w:bottom w:w="0" w:type="dxa"/>
          <w:right w:w="108" w:type="dxa"/>
        </w:tblCellMar>
      </w:tblPr>
      <w:tblGrid>
        <w:gridCol w:w="988"/>
        <w:gridCol w:w="6945"/>
      </w:tblGrid>
      <w:tr>
        <w:tblPrEx>
          <w:tblCellMar>
            <w:top w:w="0" w:type="dxa"/>
            <w:left w:w="108" w:type="dxa"/>
            <w:bottom w:w="0" w:type="dxa"/>
            <w:right w:w="108" w:type="dxa"/>
          </w:tblCellMar>
        </w:tblPrEx>
        <w:trPr>
          <w:trHeight w:val="28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b/>
                <w:bCs/>
              </w:rPr>
            </w:pPr>
            <w:bookmarkStart w:id="20" w:name="_Hlk226965471"/>
            <w:r>
              <w:rPr>
                <w:rFonts w:hint="eastAsia"/>
                <w:b/>
                <w:bCs/>
              </w:rPr>
              <w:t>序号</w:t>
            </w:r>
          </w:p>
        </w:tc>
        <w:tc>
          <w:tcPr>
            <w:tcW w:w="6945" w:type="dxa"/>
            <w:tcBorders>
              <w:top w:val="single" w:color="auto" w:sz="4" w:space="0"/>
              <w:left w:val="nil"/>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整形美容手术I类切口围手术期预防性抗生素使用率</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整形美容手术切口甲级愈合率</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假体植入手术早期手术部位感染发生率</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毛发移植术后早期毛囊炎发生率</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重睑术二次手术率</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阴道紧缩术直肠损伤发生率</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皮瓣血管危象早期识别率</w:t>
            </w:r>
          </w:p>
        </w:tc>
      </w:tr>
      <w:tr>
        <w:tblPrEx>
          <w:tblCellMar>
            <w:top w:w="0" w:type="dxa"/>
            <w:left w:w="108" w:type="dxa"/>
            <w:bottom w:w="0" w:type="dxa"/>
            <w:right w:w="108" w:type="dxa"/>
          </w:tblCellMar>
        </w:tblPrEx>
        <w:trPr>
          <w:trHeight w:val="330" w:hRule="atLeast"/>
          <w:jc w:val="center"/>
        </w:trPr>
        <w:tc>
          <w:tcPr>
            <w:tcW w:w="988"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w:t>
            </w:r>
          </w:p>
        </w:tc>
        <w:tc>
          <w:tcPr>
            <w:tcW w:w="6945"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皮瓣血管危象发生率</w:t>
            </w:r>
          </w:p>
        </w:tc>
      </w:tr>
      <w:bookmarkEnd w:id="20"/>
    </w:tbl>
    <w:p>
      <w:pPr>
        <w:pStyle w:val="5"/>
        <w:rPr>
          <w:rFonts w:hint="eastAsia" w:ascii="宋体" w:hAnsi="宋体" w:eastAsia="宋体" w:cs="宋体"/>
          <w:sz w:val="28"/>
          <w:szCs w:val="28"/>
        </w:rPr>
      </w:pPr>
      <w:bookmarkStart w:id="21" w:name="_Toc230198372"/>
      <w:r>
        <w:rPr>
          <w:rFonts w:hint="eastAsia" w:ascii="宋体" w:hAnsi="宋体" w:eastAsia="宋体" w:cs="宋体"/>
          <w:sz w:val="28"/>
          <w:szCs w:val="28"/>
          <w:lang w:val="en-US" w:eastAsia="zh-CN"/>
        </w:rPr>
        <w:t>6、</w:t>
      </w:r>
      <w:r>
        <w:rPr>
          <w:rFonts w:hint="eastAsia" w:ascii="宋体" w:hAnsi="宋体" w:eastAsia="宋体" w:cs="宋体"/>
          <w:sz w:val="28"/>
          <w:szCs w:val="28"/>
        </w:rPr>
        <w:t>门诊管理医疗质量控制指标（2024 年版）11个</w:t>
      </w:r>
      <w:bookmarkEnd w:id="21"/>
    </w:p>
    <w:p>
      <w:pPr>
        <w:rPr>
          <w:rFonts w:hint="eastAsia"/>
        </w:rPr>
      </w:pPr>
      <w:r>
        <w:rPr>
          <w:rFonts w:hint="eastAsia"/>
        </w:rPr>
        <w:t>依据门诊管理医疗质量控制指标（2024年版）要求，建设11项门诊诊疗服务质控指标，规范门诊流程、病历书写、危急值处置与不良事件管理，提升门诊运行效率与安全。</w:t>
      </w:r>
    </w:p>
    <w:p>
      <w:pPr>
        <w:rPr>
          <w:rFonts w:hint="eastAsia"/>
        </w:rPr>
      </w:pPr>
      <w:r>
        <w:rPr>
          <w:rFonts w:hint="eastAsia"/>
        </w:rPr>
        <w:t>具体新建指标明细如下：</w:t>
      </w:r>
    </w:p>
    <w:tbl>
      <w:tblPr>
        <w:tblStyle w:val="13"/>
        <w:tblW w:w="7792" w:type="dxa"/>
        <w:jc w:val="center"/>
        <w:tblLayout w:type="fixed"/>
        <w:tblCellMar>
          <w:top w:w="0" w:type="dxa"/>
          <w:left w:w="108" w:type="dxa"/>
          <w:bottom w:w="0" w:type="dxa"/>
          <w:right w:w="108" w:type="dxa"/>
        </w:tblCellMar>
      </w:tblPr>
      <w:tblGrid>
        <w:gridCol w:w="846"/>
        <w:gridCol w:w="6946"/>
      </w:tblGrid>
      <w:tr>
        <w:tblPrEx>
          <w:tblCellMar>
            <w:top w:w="0" w:type="dxa"/>
            <w:left w:w="108" w:type="dxa"/>
            <w:bottom w:w="0" w:type="dxa"/>
            <w:right w:w="108" w:type="dxa"/>
          </w:tblCellMar>
        </w:tblPrEx>
        <w:trPr>
          <w:trHeight w:val="28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序号</w:t>
            </w:r>
          </w:p>
        </w:tc>
        <w:tc>
          <w:tcPr>
            <w:tcW w:w="6946" w:type="dxa"/>
            <w:tcBorders>
              <w:top w:val="single" w:color="auto" w:sz="4" w:space="0"/>
              <w:left w:val="nil"/>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门诊电子病历使用率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门诊标准诊断使用率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门诊准时出诊率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门诊停诊率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门诊化疗病历记录完整率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门诊化疗严重不良反应发生率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门诊化疗患者静脉治疗相关不良事件发生率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门诊危急值 30 分钟内通报完成</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门诊静脉采血相关差错发生率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门诊手术并发症发生率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11</w:t>
            </w:r>
          </w:p>
        </w:tc>
        <w:tc>
          <w:tcPr>
            <w:tcW w:w="6946"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每千门诊诊疗人次不良事件发生率</w:t>
            </w:r>
          </w:p>
        </w:tc>
      </w:tr>
    </w:tbl>
    <w:p>
      <w:pPr>
        <w:pStyle w:val="5"/>
        <w:rPr>
          <w:rFonts w:hint="eastAsia" w:ascii="宋体" w:hAnsi="宋体" w:eastAsia="宋体" w:cs="宋体"/>
          <w:sz w:val="28"/>
          <w:szCs w:val="28"/>
        </w:rPr>
      </w:pPr>
      <w:bookmarkStart w:id="22" w:name="_Toc230198373"/>
      <w:r>
        <w:rPr>
          <w:rFonts w:hint="eastAsia" w:ascii="宋体" w:hAnsi="宋体" w:eastAsia="宋体" w:cs="宋体"/>
          <w:sz w:val="28"/>
          <w:szCs w:val="28"/>
          <w:lang w:val="en-US" w:eastAsia="zh-CN"/>
        </w:rPr>
        <w:t>7、</w:t>
      </w:r>
      <w:r>
        <w:rPr>
          <w:rFonts w:hint="eastAsia" w:ascii="宋体" w:hAnsi="宋体" w:eastAsia="宋体" w:cs="宋体"/>
          <w:sz w:val="28"/>
          <w:szCs w:val="28"/>
        </w:rPr>
        <w:t>脑损伤评价医疗质量控制指标（2024 年版）10个</w:t>
      </w:r>
      <w:bookmarkEnd w:id="22"/>
    </w:p>
    <w:p>
      <w:pPr>
        <w:rPr>
          <w:rFonts w:hint="eastAsia"/>
        </w:rPr>
      </w:pPr>
      <w:r>
        <w:rPr>
          <w:rFonts w:hint="eastAsia"/>
        </w:rPr>
        <w:t>依据脑损伤评价医疗质量控制指标（2024年版）要求，建设10项脑损伤诊疗质控指标，规范影像学评估、昏迷评分、降压治疗与康复管理，提高脑损伤救治质量。</w:t>
      </w:r>
    </w:p>
    <w:p>
      <w:pPr>
        <w:rPr>
          <w:rFonts w:hint="eastAsia"/>
        </w:rPr>
      </w:pPr>
      <w:r>
        <w:rPr>
          <w:rFonts w:hint="eastAsia"/>
        </w:rPr>
        <w:t>具体新建指标明细如下：</w:t>
      </w:r>
    </w:p>
    <w:tbl>
      <w:tblPr>
        <w:tblStyle w:val="13"/>
        <w:tblW w:w="8784" w:type="dxa"/>
        <w:jc w:val="center"/>
        <w:tblLayout w:type="fixed"/>
        <w:tblCellMar>
          <w:top w:w="0" w:type="dxa"/>
          <w:left w:w="108" w:type="dxa"/>
          <w:bottom w:w="0" w:type="dxa"/>
          <w:right w:w="108" w:type="dxa"/>
        </w:tblCellMar>
      </w:tblPr>
      <w:tblGrid>
        <w:gridCol w:w="846"/>
        <w:gridCol w:w="7938"/>
      </w:tblGrid>
      <w:tr>
        <w:tblPrEx>
          <w:tblCellMar>
            <w:top w:w="0" w:type="dxa"/>
            <w:left w:w="108" w:type="dxa"/>
            <w:bottom w:w="0" w:type="dxa"/>
            <w:right w:w="108" w:type="dxa"/>
          </w:tblCellMar>
        </w:tblPrEx>
        <w:trPr>
          <w:trHeight w:val="28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序号</w:t>
            </w:r>
          </w:p>
        </w:tc>
        <w:tc>
          <w:tcPr>
            <w:tcW w:w="7938" w:type="dxa"/>
            <w:tcBorders>
              <w:top w:val="single" w:color="auto" w:sz="4" w:space="0"/>
              <w:left w:val="nil"/>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自发性脑出血患者电子计算机断层扫描血管成像（CTA）检查率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2</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自发性脑出血患者格拉斯哥昏迷量表（GCS）评估率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3</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自发性脑出血患者改良 Rankin 量表（mRS）评估率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4</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轻中度自发性脑出血患者紧急降压有效率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5</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自发性脑出血患者随访率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6</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急性重型颅脑创伤患者有创颅内压力（ICP）监测率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7</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急性颅脑创伤患者格拉斯哥昏迷量表（GCS）评估率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8</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急性颅脑创伤患者随访格拉斯哥结果评估量表（GOS）评估率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9</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急性脑梗死初诊患者脑血管影像学评估率</w:t>
            </w:r>
          </w:p>
        </w:tc>
      </w:tr>
      <w:tr>
        <w:tblPrEx>
          <w:tblCellMar>
            <w:top w:w="0" w:type="dxa"/>
            <w:left w:w="108" w:type="dxa"/>
            <w:bottom w:w="0" w:type="dxa"/>
            <w:right w:w="108" w:type="dxa"/>
          </w:tblCellMar>
        </w:tblPrEx>
        <w:trPr>
          <w:trHeight w:val="330" w:hRule="atLeast"/>
          <w:jc w:val="center"/>
        </w:trPr>
        <w:tc>
          <w:tcPr>
            <w:tcW w:w="846" w:type="dxa"/>
            <w:tcBorders>
              <w:top w:val="nil"/>
              <w:left w:val="single" w:color="auto" w:sz="4" w:space="0"/>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10</w:t>
            </w:r>
          </w:p>
        </w:tc>
        <w:tc>
          <w:tcPr>
            <w:tcW w:w="7938" w:type="dxa"/>
            <w:tcBorders>
              <w:top w:val="nil"/>
              <w:left w:val="nil"/>
              <w:bottom w:val="single" w:color="auto" w:sz="4" w:space="0"/>
              <w:right w:val="single" w:color="auto" w:sz="4" w:space="0"/>
            </w:tcBorders>
            <w:noWrap/>
            <w:vAlign w:val="center"/>
          </w:tcPr>
          <w:p>
            <w:pPr>
              <w:kinsoku/>
              <w:spacing w:line="240" w:lineRule="auto"/>
              <w:ind w:firstLine="0" w:firstLineChars="0"/>
              <w:jc w:val="center"/>
              <w:rPr>
                <w:rFonts w:hint="eastAsia"/>
              </w:rPr>
            </w:pPr>
            <w:r>
              <w:rPr>
                <w:rFonts w:hint="eastAsia"/>
              </w:rPr>
              <w:t>脑梗死患者康复治疗率</w:t>
            </w:r>
          </w:p>
        </w:tc>
      </w:tr>
    </w:tbl>
    <w:p>
      <w:pPr>
        <w:pStyle w:val="5"/>
        <w:rPr>
          <w:rFonts w:hint="eastAsia" w:ascii="宋体" w:hAnsi="宋体" w:eastAsia="宋体" w:cs="宋体"/>
          <w:sz w:val="28"/>
          <w:szCs w:val="28"/>
        </w:rPr>
      </w:pPr>
      <w:bookmarkStart w:id="23" w:name="_Toc230198374"/>
      <w:r>
        <w:rPr>
          <w:rFonts w:hint="eastAsia" w:ascii="宋体" w:hAnsi="宋体" w:eastAsia="宋体" w:cs="宋体"/>
          <w:sz w:val="28"/>
          <w:szCs w:val="28"/>
          <w:lang w:val="en-US" w:eastAsia="zh-CN"/>
        </w:rPr>
        <w:t>8、</w:t>
      </w:r>
      <w:r>
        <w:rPr>
          <w:rFonts w:hint="eastAsia" w:ascii="宋体" w:hAnsi="宋体" w:eastAsia="宋体" w:cs="宋体"/>
          <w:sz w:val="28"/>
          <w:szCs w:val="28"/>
        </w:rPr>
        <w:t>放射影像专业医疗质量控制指标（2024 年版）7个</w:t>
      </w:r>
      <w:bookmarkEnd w:id="23"/>
    </w:p>
    <w:p>
      <w:pPr>
        <w:rPr>
          <w:rFonts w:hint="eastAsia"/>
        </w:rPr>
      </w:pPr>
      <w:r>
        <w:rPr>
          <w:rFonts w:hint="eastAsia"/>
        </w:rPr>
        <w:t>依据放射影像专业医疗质量控制指标（2024年版）要求，建设7项放射影像质控指标，规范图像质量、报告时效、危急值通报与对比剂安全管理，保障影像诊断质量。</w:t>
      </w:r>
    </w:p>
    <w:p>
      <w:pPr>
        <w:rPr>
          <w:rFonts w:hint="eastAsia"/>
        </w:rPr>
      </w:pPr>
      <w:r>
        <w:rPr>
          <w:rFonts w:hint="eastAsia"/>
        </w:rPr>
        <w:t>具体新建指标明细如下：</w:t>
      </w:r>
    </w:p>
    <w:tbl>
      <w:tblPr>
        <w:tblStyle w:val="13"/>
        <w:tblW w:w="7083" w:type="dxa"/>
        <w:jc w:val="center"/>
        <w:tblLayout w:type="fixed"/>
        <w:tblCellMar>
          <w:top w:w="0" w:type="dxa"/>
          <w:left w:w="108" w:type="dxa"/>
          <w:bottom w:w="0" w:type="dxa"/>
          <w:right w:w="108" w:type="dxa"/>
        </w:tblCellMar>
      </w:tblPr>
      <w:tblGrid>
        <w:gridCol w:w="1271"/>
        <w:gridCol w:w="5812"/>
      </w:tblGrid>
      <w:tr>
        <w:tblPrEx>
          <w:tblCellMar>
            <w:top w:w="0" w:type="dxa"/>
            <w:left w:w="108" w:type="dxa"/>
            <w:bottom w:w="0" w:type="dxa"/>
            <w:right w:w="108" w:type="dxa"/>
          </w:tblCellMar>
        </w:tblPrEx>
        <w:trPr>
          <w:trHeight w:val="28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kinsoku/>
              <w:overflowPunct/>
              <w:autoSpaceDE/>
              <w:autoSpaceDN/>
              <w:snapToGrid/>
              <w:spacing w:line="240" w:lineRule="auto"/>
              <w:ind w:firstLine="0" w:firstLineChars="0"/>
              <w:jc w:val="center"/>
              <w:rPr>
                <w:rFonts w:hint="eastAsia"/>
                <w:b/>
                <w:bCs/>
              </w:rPr>
            </w:pPr>
            <w:bookmarkStart w:id="24" w:name="_Hlk226965754"/>
            <w:r>
              <w:rPr>
                <w:rFonts w:hint="eastAsia"/>
                <w:b/>
                <w:bCs/>
              </w:rPr>
              <w:t>序号</w:t>
            </w:r>
          </w:p>
        </w:tc>
        <w:tc>
          <w:tcPr>
            <w:tcW w:w="5812" w:type="dxa"/>
            <w:tcBorders>
              <w:top w:val="single" w:color="auto" w:sz="4" w:space="0"/>
              <w:left w:val="nil"/>
              <w:bottom w:val="single" w:color="auto" w:sz="4" w:space="0"/>
              <w:right w:val="single" w:color="auto" w:sz="4" w:space="0"/>
            </w:tcBorders>
            <w:vAlign w:val="center"/>
          </w:tcPr>
          <w:p>
            <w:pPr>
              <w:kinsoku/>
              <w:overflowPunct/>
              <w:autoSpaceDE/>
              <w:autoSpaceDN/>
              <w:snapToGrid/>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330" w:hRule="atLeast"/>
          <w:jc w:val="center"/>
        </w:trPr>
        <w:tc>
          <w:tcPr>
            <w:tcW w:w="1271" w:type="dxa"/>
            <w:tcBorders>
              <w:top w:val="nil"/>
              <w:left w:val="single" w:color="auto" w:sz="4" w:space="0"/>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1</w:t>
            </w:r>
          </w:p>
        </w:tc>
        <w:tc>
          <w:tcPr>
            <w:tcW w:w="5812" w:type="dxa"/>
            <w:tcBorders>
              <w:top w:val="nil"/>
              <w:left w:val="nil"/>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放射影像检查图像伪影率</w:t>
            </w:r>
          </w:p>
        </w:tc>
      </w:tr>
      <w:tr>
        <w:tblPrEx>
          <w:tblCellMar>
            <w:top w:w="0" w:type="dxa"/>
            <w:left w:w="108" w:type="dxa"/>
            <w:bottom w:w="0" w:type="dxa"/>
            <w:right w:w="108" w:type="dxa"/>
          </w:tblCellMar>
        </w:tblPrEx>
        <w:trPr>
          <w:trHeight w:val="330" w:hRule="atLeast"/>
          <w:jc w:val="center"/>
        </w:trPr>
        <w:tc>
          <w:tcPr>
            <w:tcW w:w="1271" w:type="dxa"/>
            <w:tcBorders>
              <w:top w:val="nil"/>
              <w:left w:val="single" w:color="auto" w:sz="4" w:space="0"/>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2</w:t>
            </w:r>
          </w:p>
        </w:tc>
        <w:tc>
          <w:tcPr>
            <w:tcW w:w="5812" w:type="dxa"/>
            <w:tcBorders>
              <w:top w:val="nil"/>
              <w:left w:val="nil"/>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急诊放射影像检查报告2小时完成率</w:t>
            </w:r>
          </w:p>
        </w:tc>
      </w:tr>
      <w:tr>
        <w:tblPrEx>
          <w:tblCellMar>
            <w:top w:w="0" w:type="dxa"/>
            <w:left w:w="108" w:type="dxa"/>
            <w:bottom w:w="0" w:type="dxa"/>
            <w:right w:w="108" w:type="dxa"/>
          </w:tblCellMar>
        </w:tblPrEx>
        <w:trPr>
          <w:trHeight w:val="330" w:hRule="atLeast"/>
          <w:jc w:val="center"/>
        </w:trPr>
        <w:tc>
          <w:tcPr>
            <w:tcW w:w="1271" w:type="dxa"/>
            <w:tcBorders>
              <w:top w:val="nil"/>
              <w:left w:val="single" w:color="auto" w:sz="4" w:space="0"/>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3</w:t>
            </w:r>
          </w:p>
        </w:tc>
        <w:tc>
          <w:tcPr>
            <w:tcW w:w="5812" w:type="dxa"/>
            <w:tcBorders>
              <w:top w:val="nil"/>
              <w:left w:val="nil"/>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放射影像报告书写规范率</w:t>
            </w:r>
          </w:p>
        </w:tc>
      </w:tr>
      <w:tr>
        <w:tblPrEx>
          <w:tblCellMar>
            <w:top w:w="0" w:type="dxa"/>
            <w:left w:w="108" w:type="dxa"/>
            <w:bottom w:w="0" w:type="dxa"/>
            <w:right w:w="108" w:type="dxa"/>
          </w:tblCellMar>
        </w:tblPrEx>
        <w:trPr>
          <w:trHeight w:val="330" w:hRule="atLeast"/>
          <w:jc w:val="center"/>
        </w:trPr>
        <w:tc>
          <w:tcPr>
            <w:tcW w:w="1271" w:type="dxa"/>
            <w:tcBorders>
              <w:top w:val="nil"/>
              <w:left w:val="single" w:color="auto" w:sz="4" w:space="0"/>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4</w:t>
            </w:r>
          </w:p>
        </w:tc>
        <w:tc>
          <w:tcPr>
            <w:tcW w:w="5812" w:type="dxa"/>
            <w:tcBorders>
              <w:top w:val="nil"/>
              <w:left w:val="nil"/>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放射影像危急值10分钟内通报完成率</w:t>
            </w:r>
          </w:p>
        </w:tc>
      </w:tr>
      <w:tr>
        <w:tblPrEx>
          <w:tblCellMar>
            <w:top w:w="0" w:type="dxa"/>
            <w:left w:w="108" w:type="dxa"/>
            <w:bottom w:w="0" w:type="dxa"/>
            <w:right w:w="108" w:type="dxa"/>
          </w:tblCellMar>
        </w:tblPrEx>
        <w:trPr>
          <w:trHeight w:val="330" w:hRule="atLeast"/>
          <w:jc w:val="center"/>
        </w:trPr>
        <w:tc>
          <w:tcPr>
            <w:tcW w:w="1271" w:type="dxa"/>
            <w:tcBorders>
              <w:top w:val="nil"/>
              <w:left w:val="single" w:color="auto" w:sz="4" w:space="0"/>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5</w:t>
            </w:r>
          </w:p>
        </w:tc>
        <w:tc>
          <w:tcPr>
            <w:tcW w:w="5812" w:type="dxa"/>
            <w:tcBorders>
              <w:top w:val="nil"/>
              <w:left w:val="nil"/>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增强CT检查静脉对比剂外渗发生率</w:t>
            </w:r>
          </w:p>
        </w:tc>
      </w:tr>
      <w:tr>
        <w:tblPrEx>
          <w:tblCellMar>
            <w:top w:w="0" w:type="dxa"/>
            <w:left w:w="108" w:type="dxa"/>
            <w:bottom w:w="0" w:type="dxa"/>
            <w:right w:w="108" w:type="dxa"/>
          </w:tblCellMar>
        </w:tblPrEx>
        <w:trPr>
          <w:trHeight w:val="330" w:hRule="atLeast"/>
          <w:jc w:val="center"/>
        </w:trPr>
        <w:tc>
          <w:tcPr>
            <w:tcW w:w="1271" w:type="dxa"/>
            <w:tcBorders>
              <w:top w:val="nil"/>
              <w:left w:val="single" w:color="auto" w:sz="4" w:space="0"/>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6</w:t>
            </w:r>
          </w:p>
        </w:tc>
        <w:tc>
          <w:tcPr>
            <w:tcW w:w="5812" w:type="dxa"/>
            <w:tcBorders>
              <w:top w:val="nil"/>
              <w:left w:val="nil"/>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PI</w:t>
            </w:r>
            <w:r>
              <w:rPr>
                <w:rFonts w:ascii="Cambria Math" w:hAnsi="Cambria Math" w:cs="Cambria Math"/>
              </w:rPr>
              <w:t>−</w:t>
            </w:r>
            <w:r>
              <w:rPr>
                <w:rFonts w:hint="eastAsia"/>
              </w:rPr>
              <w:t>RADS分类率</w:t>
            </w:r>
          </w:p>
        </w:tc>
      </w:tr>
      <w:tr>
        <w:tblPrEx>
          <w:tblCellMar>
            <w:top w:w="0" w:type="dxa"/>
            <w:left w:w="108" w:type="dxa"/>
            <w:bottom w:w="0" w:type="dxa"/>
            <w:right w:w="108" w:type="dxa"/>
          </w:tblCellMar>
        </w:tblPrEx>
        <w:trPr>
          <w:trHeight w:val="330" w:hRule="atLeast"/>
          <w:jc w:val="center"/>
        </w:trPr>
        <w:tc>
          <w:tcPr>
            <w:tcW w:w="1271" w:type="dxa"/>
            <w:tcBorders>
              <w:top w:val="nil"/>
              <w:left w:val="single" w:color="auto" w:sz="4" w:space="0"/>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7</w:t>
            </w:r>
          </w:p>
        </w:tc>
        <w:tc>
          <w:tcPr>
            <w:tcW w:w="5812" w:type="dxa"/>
            <w:tcBorders>
              <w:top w:val="nil"/>
              <w:left w:val="nil"/>
              <w:bottom w:val="single" w:color="auto" w:sz="4" w:space="0"/>
              <w:right w:val="single" w:color="auto" w:sz="4" w:space="0"/>
            </w:tcBorders>
            <w:noWrap/>
            <w:vAlign w:val="center"/>
          </w:tcPr>
          <w:p>
            <w:pPr>
              <w:kinsoku/>
              <w:overflowPunct/>
              <w:autoSpaceDE/>
              <w:autoSpaceDN/>
              <w:snapToGrid/>
              <w:spacing w:line="240" w:lineRule="auto"/>
              <w:ind w:firstLine="0" w:firstLineChars="0"/>
              <w:jc w:val="center"/>
              <w:rPr>
                <w:rFonts w:hint="eastAsia"/>
              </w:rPr>
            </w:pPr>
            <w:r>
              <w:rPr>
                <w:rFonts w:hint="eastAsia"/>
              </w:rPr>
              <w:t>BI</w:t>
            </w:r>
            <w:r>
              <w:rPr>
                <w:rFonts w:ascii="Cambria Math" w:hAnsi="Cambria Math" w:cs="Cambria Math"/>
              </w:rPr>
              <w:t>−</w:t>
            </w:r>
            <w:r>
              <w:rPr>
                <w:rFonts w:hint="eastAsia"/>
              </w:rPr>
              <w:t>RADS分类率</w:t>
            </w:r>
          </w:p>
        </w:tc>
      </w:tr>
      <w:bookmarkEnd w:id="24"/>
    </w:tbl>
    <w:p>
      <w:pPr>
        <w:pStyle w:val="5"/>
        <w:rPr>
          <w:rFonts w:hint="eastAsia" w:ascii="宋体" w:hAnsi="宋体" w:eastAsia="宋体" w:cs="宋体"/>
          <w:sz w:val="28"/>
          <w:szCs w:val="28"/>
        </w:rPr>
      </w:pPr>
      <w:bookmarkStart w:id="25" w:name="_Toc230198375"/>
      <w:r>
        <w:rPr>
          <w:rFonts w:hint="eastAsia" w:ascii="宋体" w:hAnsi="宋体" w:eastAsia="宋体" w:cs="宋体"/>
          <w:sz w:val="28"/>
          <w:szCs w:val="28"/>
          <w:lang w:val="en-US" w:eastAsia="zh-CN"/>
        </w:rPr>
        <w:t>9、</w:t>
      </w:r>
      <w:r>
        <w:rPr>
          <w:rFonts w:hint="eastAsia" w:ascii="宋体" w:hAnsi="宋体" w:eastAsia="宋体" w:cs="宋体"/>
          <w:sz w:val="28"/>
          <w:szCs w:val="28"/>
        </w:rPr>
        <w:t>医疗质量安全核心制度落实情况监测指标（2025版）35个</w:t>
      </w:r>
      <w:bookmarkEnd w:id="25"/>
    </w:p>
    <w:p>
      <w:pPr>
        <w:kinsoku/>
        <w:rPr>
          <w:rFonts w:hint="eastAsia"/>
        </w:rPr>
      </w:pPr>
      <w:bookmarkStart w:id="26" w:name="OLE_LINK5"/>
      <w:r>
        <w:rPr>
          <w:rFonts w:hint="eastAsia"/>
        </w:rPr>
        <w:t>根据</w:t>
      </w:r>
      <w:bookmarkStart w:id="27" w:name="OLE_LINK6"/>
      <w:r>
        <w:rPr>
          <w:rFonts w:hint="eastAsia"/>
        </w:rPr>
        <w:t>《医疗质量安全核心制度落实情况监测指标》</w:t>
      </w:r>
      <w:bookmarkEnd w:id="27"/>
      <w:r>
        <w:rPr>
          <w:rFonts w:hint="eastAsia"/>
        </w:rPr>
        <w:t>（2025年版）监测要求，实施35个监测指标的数据采集统计。</w:t>
      </w:r>
    </w:p>
    <w:p>
      <w:pPr>
        <w:kinsoku/>
        <w:rPr>
          <w:rFonts w:hint="eastAsia"/>
        </w:rPr>
      </w:pPr>
      <w:r>
        <w:rPr>
          <w:rFonts w:hint="eastAsia"/>
        </w:rPr>
        <w:t>具体新建指标明细如下：</w:t>
      </w:r>
    </w:p>
    <w:bookmarkEnd w:id="26"/>
    <w:tbl>
      <w:tblPr>
        <w:tblStyle w:val="13"/>
        <w:tblW w:w="7792" w:type="dxa"/>
        <w:jc w:val="center"/>
        <w:tblLayout w:type="fixed"/>
        <w:tblCellMar>
          <w:top w:w="0" w:type="dxa"/>
          <w:left w:w="108" w:type="dxa"/>
          <w:bottom w:w="0" w:type="dxa"/>
          <w:right w:w="108" w:type="dxa"/>
        </w:tblCellMar>
      </w:tblPr>
      <w:tblGrid>
        <w:gridCol w:w="1040"/>
        <w:gridCol w:w="6752"/>
      </w:tblGrid>
      <w:tr>
        <w:tblPrEx>
          <w:tblCellMar>
            <w:top w:w="0" w:type="dxa"/>
            <w:left w:w="108" w:type="dxa"/>
            <w:bottom w:w="0" w:type="dxa"/>
            <w:right w:w="108" w:type="dxa"/>
          </w:tblCellMar>
        </w:tblPrEx>
        <w:trPr>
          <w:trHeight w:val="28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b/>
                <w:bCs/>
              </w:rPr>
            </w:pPr>
            <w:bookmarkStart w:id="28" w:name="_Hlk226965077"/>
            <w:r>
              <w:rPr>
                <w:rFonts w:hint="eastAsia"/>
                <w:b/>
                <w:bCs/>
              </w:rPr>
              <w:t>序号</w:t>
            </w:r>
          </w:p>
        </w:tc>
        <w:tc>
          <w:tcPr>
            <w:tcW w:w="6752" w:type="dxa"/>
            <w:tcBorders>
              <w:top w:val="single" w:color="auto" w:sz="4" w:space="0"/>
              <w:left w:val="nil"/>
              <w:bottom w:val="single" w:color="auto" w:sz="4" w:space="0"/>
              <w:right w:val="single" w:color="auto" w:sz="4" w:space="0"/>
            </w:tcBorders>
            <w:vAlign w:val="center"/>
          </w:tcPr>
          <w:p>
            <w:pPr>
              <w:kinsoku/>
              <w:spacing w:line="240" w:lineRule="auto"/>
              <w:ind w:firstLine="0" w:firstLineChars="0"/>
              <w:jc w:val="center"/>
              <w:rPr>
                <w:rFonts w:hint="eastAsia"/>
                <w:b/>
                <w:bCs/>
              </w:rPr>
            </w:pPr>
            <w:r>
              <w:rPr>
                <w:rFonts w:hint="eastAsia"/>
                <w:b/>
                <w:bCs/>
              </w:rPr>
              <w:t>指标名称</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患者入院48小时内转科的比例</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患者入院8小时内查房率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上级医师查房记录规范率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4</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住院患者非计划手术率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5</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急会诊及时到位率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6</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急会诊有效率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7</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普通会诊及时完成率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8</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普通会诊有效率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9</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手术患者特级护理/一级护理出院率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10</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四级手术患者手术当日床旁交接班占比</w:t>
            </w:r>
          </w:p>
        </w:tc>
      </w:tr>
      <w:tr>
        <w:tblPrEx>
          <w:tblCellMar>
            <w:top w:w="0" w:type="dxa"/>
            <w:left w:w="108" w:type="dxa"/>
            <w:bottom w:w="0" w:type="dxa"/>
            <w:right w:w="108" w:type="dxa"/>
          </w:tblCellMar>
        </w:tblPrEx>
        <w:trPr>
          <w:trHeight w:val="56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11</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非计划再次住院/手术患者疑难病例讨论完成率</w:t>
            </w:r>
          </w:p>
        </w:tc>
      </w:tr>
      <w:tr>
        <w:tblPrEx>
          <w:tblCellMar>
            <w:top w:w="0" w:type="dxa"/>
            <w:left w:w="108" w:type="dxa"/>
            <w:bottom w:w="0" w:type="dxa"/>
            <w:right w:w="108" w:type="dxa"/>
          </w:tblCellMar>
        </w:tblPrEx>
        <w:trPr>
          <w:trHeight w:val="56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12</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非计划再次住院/手术患者疑难病例讨论记录完整率</w:t>
            </w:r>
          </w:p>
        </w:tc>
      </w:tr>
      <w:tr>
        <w:tblPrEx>
          <w:tblCellMar>
            <w:top w:w="0" w:type="dxa"/>
            <w:left w:w="108" w:type="dxa"/>
            <w:bottom w:w="0" w:type="dxa"/>
            <w:right w:w="108" w:type="dxa"/>
          </w:tblCellMar>
        </w:tblPrEx>
        <w:trPr>
          <w:trHeight w:val="56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13</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高额异常费用患者进行疑难病例讨论的占比</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14</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急危重症患者抢救成功率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15</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术前讨论完成率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16</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术者参加术前讨论率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17</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术前讨论计划手术一致率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18</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实际手术术者与计划手术术者一致率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19</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死亡病例讨论5日完成率</w:t>
            </w:r>
          </w:p>
        </w:tc>
      </w:tr>
      <w:tr>
        <w:tblPrEx>
          <w:tblCellMar>
            <w:top w:w="0" w:type="dxa"/>
            <w:left w:w="108" w:type="dxa"/>
            <w:bottom w:w="0" w:type="dxa"/>
            <w:right w:w="108" w:type="dxa"/>
          </w:tblCellMar>
        </w:tblPrEx>
        <w:trPr>
          <w:trHeight w:val="56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20</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医务部门组织讨论的死亡病例与发生纠纷的死亡病例比值</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21</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科主任主持死亡病例讨论率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22</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死亡患者病案上传率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23</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长期医嘱当日终止率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24</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手术医师手术时间重合率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25</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麻醉医师手术时间重合率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26</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四级手术与三级手术并发症发生率比</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27</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四级手术与三级手术患者死亡率比</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28</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四级手术术前多学科讨论完成率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29</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三、四级手术实际开展率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30</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新技术新项目留存转化率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31</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危急值报告时间（中位数）</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32</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住院患者危急值当日及时处置率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33</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特殊使用级抗菌药物使用会诊率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34</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临床用血后评估记录率</w:t>
            </w:r>
          </w:p>
        </w:tc>
      </w:tr>
      <w:tr>
        <w:tblPrEx>
          <w:tblCellMar>
            <w:top w:w="0" w:type="dxa"/>
            <w:left w:w="108" w:type="dxa"/>
            <w:bottom w:w="0" w:type="dxa"/>
            <w:right w:w="108" w:type="dxa"/>
          </w:tblCellMar>
        </w:tblPrEx>
        <w:trPr>
          <w:trHeight w:val="280" w:hRule="atLeast"/>
          <w:jc w:val="center"/>
        </w:trPr>
        <w:tc>
          <w:tcPr>
            <w:tcW w:w="1040" w:type="dxa"/>
            <w:tcBorders>
              <w:top w:val="nil"/>
              <w:left w:val="single" w:color="auto" w:sz="4" w:space="0"/>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35</w:t>
            </w:r>
          </w:p>
        </w:tc>
        <w:tc>
          <w:tcPr>
            <w:tcW w:w="6752" w:type="dxa"/>
            <w:tcBorders>
              <w:top w:val="nil"/>
              <w:left w:val="nil"/>
              <w:bottom w:val="single" w:color="auto" w:sz="4" w:space="0"/>
              <w:right w:val="single" w:color="auto" w:sz="4" w:space="0"/>
            </w:tcBorders>
            <w:vAlign w:val="center"/>
          </w:tcPr>
          <w:p>
            <w:pPr>
              <w:kinsoku/>
              <w:spacing w:line="240" w:lineRule="auto"/>
              <w:ind w:firstLine="0" w:firstLineChars="0"/>
              <w:jc w:val="center"/>
              <w:rPr>
                <w:rFonts w:hint="eastAsia"/>
              </w:rPr>
            </w:pPr>
            <w:r>
              <w:rPr>
                <w:rFonts w:hint="eastAsia"/>
              </w:rPr>
              <w:t>术中自体血回输率</w:t>
            </w:r>
          </w:p>
        </w:tc>
      </w:tr>
      <w:bookmarkEnd w:id="28"/>
    </w:tbl>
    <w:p>
      <w:pPr>
        <w:pStyle w:val="5"/>
        <w:rPr>
          <w:rFonts w:hint="eastAsia"/>
          <w:b w:val="0"/>
          <w:bCs w:val="0"/>
          <w:sz w:val="28"/>
          <w:szCs w:val="28"/>
          <w:lang w:val="en-US" w:eastAsia="zh-CN"/>
        </w:rPr>
      </w:pPr>
      <w:r>
        <w:rPr>
          <w:rFonts w:hint="eastAsia"/>
          <w:b w:val="0"/>
          <w:bCs w:val="0"/>
          <w:sz w:val="28"/>
          <w:szCs w:val="28"/>
          <w:lang w:val="en-US" w:eastAsia="zh-CN"/>
        </w:rPr>
        <w:t>三、整体要求</w:t>
      </w:r>
    </w:p>
    <w:p>
      <w:pPr>
        <w:spacing w:before="60" w:after="60" w:line="360" w:lineRule="auto"/>
        <w:ind w:firstLine="480" w:firstLineChars="200"/>
        <w:rPr>
          <w:rFonts w:hint="eastAsia"/>
        </w:rPr>
      </w:pPr>
      <w:r>
        <w:rPr>
          <w:rFonts w:hint="eastAsia" w:ascii="宋体" w:hAnsi="宋体" w:eastAsia="宋体" w:cs="宋体"/>
          <w:sz w:val="24"/>
          <w:szCs w:val="24"/>
          <w:lang w:val="en-US" w:eastAsia="zh-CN"/>
        </w:rPr>
        <w:t>对于以上214项指标，应集成到我院已有医疗质控数据管理平台。并</w:t>
      </w:r>
      <w:r>
        <w:rPr>
          <w:rFonts w:hint="eastAsia" w:ascii="宋体" w:hAnsi="宋体" w:eastAsia="宋体" w:cs="宋体"/>
          <w:sz w:val="24"/>
          <w:szCs w:val="24"/>
        </w:rPr>
        <w:t>为</w:t>
      </w:r>
      <w:r>
        <w:rPr>
          <w:rFonts w:hint="eastAsia" w:ascii="宋体" w:hAnsi="宋体" w:eastAsia="宋体" w:cs="宋体"/>
          <w:sz w:val="24"/>
          <w:szCs w:val="24"/>
          <w:lang w:val="en-US" w:eastAsia="zh-CN"/>
        </w:rPr>
        <w:t>上述214项</w:t>
      </w:r>
      <w:r>
        <w:rPr>
          <w:rFonts w:hint="eastAsia" w:ascii="宋体" w:hAnsi="宋体" w:eastAsia="宋体" w:cs="宋体"/>
          <w:sz w:val="24"/>
          <w:szCs w:val="24"/>
        </w:rPr>
        <w:t>指标应用提供统一管理</w:t>
      </w:r>
      <w:r>
        <w:rPr>
          <w:rFonts w:hint="eastAsia" w:ascii="宋体" w:hAnsi="宋体" w:eastAsia="宋体" w:cs="宋体"/>
          <w:sz w:val="24"/>
          <w:szCs w:val="24"/>
          <w:lang w:val="en-US" w:eastAsia="zh-CN"/>
        </w:rPr>
        <w:t>工具</w:t>
      </w:r>
      <w:r>
        <w:rPr>
          <w:rFonts w:hint="eastAsia" w:ascii="宋体" w:hAnsi="宋体" w:eastAsia="宋体" w:cs="宋体"/>
          <w:sz w:val="24"/>
          <w:szCs w:val="24"/>
        </w:rPr>
        <w:t>，包含业务定义、专业定义、主题定义、指标定义、指标取数逻辑编辑、指标填报功能。可支持指标分析及配置，亦可支持数据下钻及多维度下钻分析，可在系统中溯源到每个患者的每本病历、医嘱信息、检验检查报告等，可挖掘至科室和医师信息，支持用户查看溯源条数和点击下一处进行快速定位溯源点。可针对指标取数规则提供应用端进行溯源查看。（需提供系统截图证明</w:t>
      </w:r>
      <w:r>
        <w:rPr>
          <w:rFonts w:hint="eastAsia"/>
        </w:rPr>
        <w:t>）</w:t>
      </w:r>
      <w:bookmarkEnd w:id="7"/>
      <w:bookmarkEnd w:id="8"/>
      <w:bookmarkEnd w:id="9"/>
      <w:bookmarkEnd w:id="10"/>
      <w:bookmarkEnd w:id="11"/>
      <w:bookmarkEnd w:id="12"/>
      <w:bookmarkEnd w:id="13"/>
      <w:bookmarkStart w:id="29" w:name="_Toc230198376"/>
    </w:p>
    <w:p>
      <w:pPr>
        <w:spacing w:before="60" w:after="60" w:line="360" w:lineRule="auto"/>
        <w:rPr>
          <w:rFonts w:hint="eastAsia"/>
          <w:b w:val="0"/>
          <w:bCs w:val="0"/>
          <w:sz w:val="28"/>
          <w:szCs w:val="28"/>
        </w:rPr>
      </w:pPr>
      <w:r>
        <w:rPr>
          <w:rFonts w:hint="eastAsia"/>
          <w:b w:val="0"/>
          <w:bCs w:val="0"/>
          <w:sz w:val="28"/>
          <w:szCs w:val="28"/>
          <w:lang w:eastAsia="zh-CN"/>
        </w:rPr>
        <w:t>四、</w:t>
      </w:r>
      <w:r>
        <w:rPr>
          <w:rFonts w:hint="eastAsia"/>
          <w:b w:val="0"/>
          <w:bCs w:val="0"/>
          <w:sz w:val="28"/>
          <w:szCs w:val="28"/>
        </w:rPr>
        <w:t>服务内容及服务标准要求</w:t>
      </w:r>
      <w:bookmarkEnd w:id="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1、免费提供本项目新建指标运维服务一年（项目验收后计算）。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指定的方式提供7*24小时支持维护服务，包括电话、远程维护或现场等方式，并在接到采购人通知后12小时内到达现场。必须保证有足够的人员（专人专职）及技术支持电话负责本系统运维工作，并保证2小时内响应/24小时之内解决问题，对于24小时内无法解决的问题，应提出应急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0" w:name="OLE_LINK3"/>
      <w:r>
        <w:rPr>
          <w:rFonts w:hint="eastAsia" w:ascii="宋体" w:hAnsi="宋体" w:eastAsia="宋体" w:cs="宋体"/>
          <w:sz w:val="24"/>
          <w:szCs w:val="24"/>
        </w:rPr>
        <w:t>3、项目验收合格后，例行维护及巡检。例行维护内容包括：指标维护，性能优化等，保证投标人所开发的软件正常运行。</w:t>
      </w:r>
      <w:bookmarkStart w:id="31" w:name="_Toc230198377"/>
    </w:p>
    <w:p>
      <w:pPr>
        <w:kinsoku/>
        <w:rPr>
          <w:rFonts w:hint="eastAsia"/>
          <w:b w:val="0"/>
          <w:bCs w:val="0"/>
          <w:sz w:val="28"/>
          <w:szCs w:val="28"/>
        </w:rPr>
      </w:pPr>
      <w:r>
        <w:rPr>
          <w:rFonts w:hint="eastAsia"/>
          <w:b w:val="0"/>
          <w:bCs w:val="0"/>
          <w:sz w:val="28"/>
          <w:szCs w:val="28"/>
          <w:lang w:eastAsia="zh-CN"/>
        </w:rPr>
        <w:t>五、</w:t>
      </w:r>
      <w:r>
        <w:rPr>
          <w:rFonts w:hint="eastAsia"/>
          <w:b w:val="0"/>
          <w:bCs w:val="0"/>
          <w:sz w:val="28"/>
          <w:szCs w:val="28"/>
        </w:rPr>
        <w:t>项目实施周期</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本项目实施周期为</w:t>
      </w:r>
      <w:bookmarkStart w:id="32" w:name="OLE_LINK7"/>
      <w:r>
        <w:rPr>
          <w:rFonts w:hint="eastAsia" w:ascii="宋体" w:hAnsi="宋体" w:eastAsia="宋体" w:cs="宋体"/>
          <w:sz w:val="24"/>
          <w:szCs w:val="24"/>
        </w:rPr>
        <w:t>3月</w:t>
      </w:r>
      <w:bookmarkEnd w:id="32"/>
      <w:r>
        <w:rPr>
          <w:rFonts w:hint="eastAsia" w:ascii="宋体" w:hAnsi="宋体" w:eastAsia="宋体" w:cs="宋体"/>
          <w:sz w:val="24"/>
          <w:szCs w:val="24"/>
        </w:rPr>
        <w:t>。</w:t>
      </w:r>
      <w:bookmarkEnd w:id="30"/>
      <w:bookmarkStart w:id="33" w:name="_Toc230198378"/>
    </w:p>
    <w:p>
      <w:pPr>
        <w:rPr>
          <w:rFonts w:hint="eastAsia"/>
          <w:b w:val="0"/>
          <w:bCs w:val="0"/>
          <w:sz w:val="28"/>
          <w:szCs w:val="28"/>
        </w:rPr>
      </w:pPr>
      <w:r>
        <w:rPr>
          <w:rFonts w:hint="eastAsia"/>
          <w:b w:val="0"/>
          <w:bCs w:val="0"/>
          <w:sz w:val="28"/>
          <w:szCs w:val="28"/>
          <w:lang w:eastAsia="zh-CN"/>
        </w:rPr>
        <w:t>六、</w:t>
      </w:r>
      <w:r>
        <w:rPr>
          <w:rFonts w:hint="eastAsia"/>
          <w:b w:val="0"/>
          <w:bCs w:val="0"/>
          <w:sz w:val="28"/>
          <w:szCs w:val="28"/>
        </w:rPr>
        <w:t>其他要求</w:t>
      </w:r>
      <w:bookmarkEnd w:id="3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1、实施要求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投标人须充分考虑满足项目的建设要求，提出完整的项目实施方案。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2、培训要求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投标人须在</w:t>
      </w:r>
      <w:r>
        <w:rPr>
          <w:rFonts w:hint="eastAsia" w:ascii="宋体" w:hAnsi="宋体" w:eastAsia="宋体" w:cs="宋体"/>
          <w:sz w:val="24"/>
          <w:szCs w:val="24"/>
          <w:lang w:eastAsia="zh-CN"/>
        </w:rPr>
        <w:t>遴选文件</w:t>
      </w:r>
      <w:r>
        <w:rPr>
          <w:rFonts w:hint="eastAsia" w:ascii="宋体" w:hAnsi="宋体" w:eastAsia="宋体" w:cs="宋体"/>
          <w:sz w:val="24"/>
          <w:szCs w:val="24"/>
        </w:rPr>
        <w:t>中提供详细的培训计划，培训应面对不同层面的系统用户，保证用户能独立地管理、维护和配置系统，以便整个系统能够正常、安全的运行。</w:t>
      </w:r>
    </w:p>
    <w:p>
      <w:pPr>
        <w:pStyle w:val="3"/>
        <w:rPr>
          <w:rFonts w:eastAsia="宋体"/>
          <w:sz w:val="24"/>
          <w:szCs w:val="24"/>
        </w:rPr>
      </w:pPr>
      <w:r>
        <w:rPr>
          <w:rFonts w:hint="eastAsia" w:ascii="宋体" w:hAnsi="宋体" w:eastAsia="宋体" w:cs="宋体"/>
          <w:sz w:val="28"/>
          <w:szCs w:val="28"/>
          <w:lang w:eastAsia="zh-CN"/>
        </w:rPr>
        <w:t>七</w:t>
      </w:r>
      <w:r>
        <w:rPr>
          <w:rFonts w:hint="eastAsia" w:ascii="宋体" w:hAnsi="宋体" w:eastAsia="宋体" w:cs="宋体"/>
          <w:sz w:val="28"/>
          <w:szCs w:val="28"/>
        </w:rPr>
        <w:t>、响应文件格式</w:t>
      </w:r>
    </w:p>
    <w:p>
      <w:pPr>
        <w:pStyle w:val="3"/>
        <w:rPr>
          <w:rFonts w:ascii="宋体" w:hAnsi="宋体" w:eastAsia="宋体" w:cs="宋体"/>
          <w:sz w:val="24"/>
          <w:szCs w:val="24"/>
        </w:rPr>
      </w:pPr>
      <w:r>
        <w:rPr>
          <w:rFonts w:hint="eastAsia" w:ascii="宋体" w:hAnsi="宋体" w:eastAsia="宋体" w:cs="宋体"/>
          <w:sz w:val="24"/>
          <w:szCs w:val="24"/>
        </w:rPr>
        <w:t>1、报价单要求（可参照下表）：</w:t>
      </w:r>
    </w:p>
    <w:p>
      <w:pPr>
        <w:tabs>
          <w:tab w:val="left" w:pos="1800"/>
          <w:tab w:val="left" w:pos="5580"/>
        </w:tabs>
        <w:spacing w:line="360" w:lineRule="auto"/>
        <w:ind w:firstLine="6240" w:firstLineChars="2600"/>
        <w:jc w:val="left"/>
        <w:rPr>
          <w:rFonts w:ascii="宋体" w:hAnsi="宋体" w:cs="宋体"/>
          <w:color w:val="000000"/>
          <w:sz w:val="24"/>
          <w:szCs w:val="24"/>
        </w:rPr>
      </w:pPr>
    </w:p>
    <w:p>
      <w:pPr>
        <w:tabs>
          <w:tab w:val="left" w:pos="1800"/>
          <w:tab w:val="left" w:pos="5580"/>
        </w:tabs>
        <w:spacing w:line="360" w:lineRule="auto"/>
        <w:ind w:firstLine="6240" w:firstLineChars="2600"/>
        <w:jc w:val="left"/>
        <w:rPr>
          <w:rFonts w:ascii="宋体" w:hAnsi="宋体" w:cs="宋体"/>
          <w:color w:val="000000"/>
          <w:sz w:val="24"/>
          <w:szCs w:val="24"/>
        </w:rPr>
      </w:pPr>
    </w:p>
    <w:p>
      <w:pPr>
        <w:tabs>
          <w:tab w:val="left" w:pos="1800"/>
          <w:tab w:val="left" w:pos="5580"/>
        </w:tabs>
        <w:spacing w:line="360" w:lineRule="auto"/>
        <w:ind w:firstLine="4560" w:firstLineChars="1900"/>
        <w:jc w:val="left"/>
        <w:rPr>
          <w:rFonts w:ascii="宋体" w:hAnsi="宋体" w:cs="宋体"/>
          <w:color w:val="000000"/>
          <w:sz w:val="24"/>
          <w:szCs w:val="24"/>
          <w:u w:val="single"/>
        </w:rPr>
      </w:pPr>
      <w:r>
        <w:rPr>
          <w:rFonts w:hint="eastAsia" w:ascii="宋体" w:hAnsi="宋体" w:cs="宋体"/>
          <w:color w:val="000000"/>
          <w:sz w:val="24"/>
          <w:szCs w:val="24"/>
        </w:rPr>
        <w:t>报价单位：人民币元</w:t>
      </w:r>
    </w:p>
    <w:tbl>
      <w:tblPr>
        <w:tblStyle w:val="1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 w:val="24"/>
                <w:szCs w:val="24"/>
              </w:rPr>
            </w:pPr>
            <w:r>
              <w:rPr>
                <w:rFonts w:hint="eastAsia" w:ascii="宋体" w:hAnsi="宋体" w:cs="宋体"/>
                <w:b/>
                <w:sz w:val="24"/>
                <w:szCs w:val="24"/>
              </w:rPr>
              <w:t>序号</w:t>
            </w:r>
          </w:p>
        </w:tc>
        <w:tc>
          <w:tcPr>
            <w:tcW w:w="2215" w:type="pct"/>
            <w:vMerge w:val="restart"/>
            <w:vAlign w:val="center"/>
          </w:tcPr>
          <w:p>
            <w:pPr>
              <w:tabs>
                <w:tab w:val="left" w:pos="5580"/>
              </w:tabs>
              <w:jc w:val="center"/>
              <w:rPr>
                <w:rFonts w:ascii="宋体" w:hAnsi="宋体" w:cs="宋体"/>
                <w:b/>
                <w:sz w:val="24"/>
                <w:szCs w:val="24"/>
              </w:rPr>
            </w:pPr>
            <w:r>
              <w:rPr>
                <w:rFonts w:hint="eastAsia" w:ascii="宋体" w:hAnsi="宋体" w:cs="宋体"/>
                <w:b/>
                <w:sz w:val="24"/>
                <w:szCs w:val="24"/>
              </w:rPr>
              <w:t>投标人名称</w:t>
            </w:r>
          </w:p>
        </w:tc>
        <w:tc>
          <w:tcPr>
            <w:tcW w:w="2373" w:type="pct"/>
            <w:gridSpan w:val="2"/>
            <w:vAlign w:val="center"/>
          </w:tcPr>
          <w:p>
            <w:pPr>
              <w:tabs>
                <w:tab w:val="left" w:pos="5580"/>
              </w:tabs>
              <w:jc w:val="center"/>
              <w:rPr>
                <w:rFonts w:ascii="宋体" w:hAnsi="宋体" w:cs="宋体"/>
                <w:b/>
                <w:sz w:val="24"/>
                <w:szCs w:val="24"/>
              </w:rPr>
            </w:pPr>
            <w:r>
              <w:rPr>
                <w:rFonts w:hint="eastAsia" w:ascii="宋体" w:hAnsi="宋体" w:cs="宋体"/>
                <w:b/>
                <w:sz w:val="24"/>
                <w:szCs w:val="24"/>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 w:val="24"/>
                <w:szCs w:val="24"/>
              </w:rPr>
            </w:pPr>
          </w:p>
        </w:tc>
        <w:tc>
          <w:tcPr>
            <w:tcW w:w="2215" w:type="pct"/>
            <w:vMerge w:val="continue"/>
            <w:vAlign w:val="center"/>
          </w:tcPr>
          <w:p>
            <w:pPr>
              <w:tabs>
                <w:tab w:val="left" w:pos="5580"/>
              </w:tabs>
              <w:jc w:val="center"/>
              <w:rPr>
                <w:rFonts w:ascii="宋体" w:hAnsi="宋体" w:cs="宋体"/>
                <w:sz w:val="24"/>
                <w:szCs w:val="24"/>
              </w:rPr>
            </w:pPr>
          </w:p>
        </w:tc>
        <w:tc>
          <w:tcPr>
            <w:tcW w:w="1188" w:type="pct"/>
            <w:vAlign w:val="center"/>
          </w:tcPr>
          <w:p>
            <w:pPr>
              <w:tabs>
                <w:tab w:val="left" w:pos="5580"/>
              </w:tabs>
              <w:jc w:val="center"/>
              <w:rPr>
                <w:rFonts w:ascii="宋体" w:hAnsi="宋体" w:cs="宋体"/>
                <w:b/>
                <w:sz w:val="24"/>
                <w:szCs w:val="24"/>
              </w:rPr>
            </w:pPr>
            <w:r>
              <w:rPr>
                <w:rFonts w:hint="eastAsia" w:ascii="宋体" w:hAnsi="宋体" w:cs="宋体"/>
                <w:b/>
                <w:sz w:val="24"/>
                <w:szCs w:val="24"/>
              </w:rPr>
              <w:t>大写</w:t>
            </w:r>
          </w:p>
        </w:tc>
        <w:tc>
          <w:tcPr>
            <w:tcW w:w="1182" w:type="pct"/>
            <w:vAlign w:val="center"/>
          </w:tcPr>
          <w:p>
            <w:pPr>
              <w:tabs>
                <w:tab w:val="left" w:pos="5580"/>
              </w:tabs>
              <w:jc w:val="center"/>
              <w:rPr>
                <w:rFonts w:ascii="宋体" w:hAnsi="宋体" w:cs="宋体"/>
                <w:b/>
                <w:sz w:val="24"/>
                <w:szCs w:val="24"/>
              </w:rPr>
            </w:pPr>
            <w:r>
              <w:rPr>
                <w:rFonts w:hint="eastAsia" w:ascii="宋体" w:hAnsi="宋体" w:cs="宋体"/>
                <w:b/>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 w:val="24"/>
                <w:szCs w:val="24"/>
              </w:rPr>
            </w:pPr>
          </w:p>
        </w:tc>
        <w:tc>
          <w:tcPr>
            <w:tcW w:w="2215" w:type="pct"/>
            <w:vAlign w:val="center"/>
          </w:tcPr>
          <w:p>
            <w:pPr>
              <w:tabs>
                <w:tab w:val="left" w:pos="5580"/>
              </w:tabs>
              <w:jc w:val="center"/>
              <w:rPr>
                <w:rFonts w:ascii="宋体" w:hAnsi="宋体" w:cs="宋体"/>
                <w:sz w:val="24"/>
                <w:szCs w:val="24"/>
              </w:rPr>
            </w:pPr>
          </w:p>
        </w:tc>
        <w:tc>
          <w:tcPr>
            <w:tcW w:w="1188" w:type="pct"/>
            <w:vAlign w:val="center"/>
          </w:tcPr>
          <w:p>
            <w:pPr>
              <w:tabs>
                <w:tab w:val="left" w:pos="5580"/>
              </w:tabs>
              <w:jc w:val="center"/>
              <w:rPr>
                <w:rFonts w:ascii="宋体" w:hAnsi="宋体" w:cs="宋体"/>
                <w:sz w:val="24"/>
                <w:szCs w:val="24"/>
              </w:rPr>
            </w:pPr>
          </w:p>
        </w:tc>
        <w:tc>
          <w:tcPr>
            <w:tcW w:w="1182" w:type="pct"/>
            <w:vAlign w:val="center"/>
          </w:tcPr>
          <w:p>
            <w:pPr>
              <w:tabs>
                <w:tab w:val="left" w:pos="5580"/>
              </w:tabs>
              <w:jc w:val="center"/>
              <w:rPr>
                <w:rFonts w:ascii="宋体" w:hAnsi="宋体" w:cs="宋体"/>
                <w:sz w:val="24"/>
                <w:szCs w:val="24"/>
              </w:rPr>
            </w:pPr>
          </w:p>
        </w:tc>
      </w:tr>
    </w:tbl>
    <w:p>
      <w:pPr>
        <w:autoSpaceDE w:val="0"/>
        <w:autoSpaceDN w:val="0"/>
        <w:adjustRightInd w:val="0"/>
        <w:snapToGrid w:val="0"/>
        <w:spacing w:line="540" w:lineRule="exact"/>
        <w:ind w:firstLine="480" w:firstLineChars="200"/>
        <w:jc w:val="left"/>
        <w:rPr>
          <w:rFonts w:ascii="宋体" w:hAnsi="宋体" w:cs="宋体"/>
          <w:color w:val="000000"/>
          <w:kern w:val="0"/>
          <w:sz w:val="24"/>
          <w:szCs w:val="24"/>
        </w:rPr>
      </w:pPr>
    </w:p>
    <w:p>
      <w:pPr>
        <w:autoSpaceDE w:val="0"/>
        <w:autoSpaceDN w:val="0"/>
        <w:adjustRightInd w:val="0"/>
        <w:snapToGrid w:val="0"/>
        <w:spacing w:line="540" w:lineRule="exact"/>
        <w:ind w:firstLine="480" w:firstLineChars="200"/>
        <w:jc w:val="left"/>
        <w:rPr>
          <w:rFonts w:ascii="宋体" w:hAnsi="宋体" w:cs="宋体"/>
          <w:color w:val="000000"/>
          <w:sz w:val="24"/>
          <w:szCs w:val="24"/>
        </w:rPr>
      </w:pPr>
      <w:r>
        <w:rPr>
          <w:rFonts w:hint="eastAsia" w:ascii="宋体" w:hAnsi="宋体" w:cs="宋体"/>
          <w:color w:val="000000"/>
          <w:kern w:val="0"/>
          <w:sz w:val="24"/>
          <w:szCs w:val="24"/>
        </w:rPr>
        <w:t>注：1</w:t>
      </w:r>
      <w:r>
        <w:rPr>
          <w:rFonts w:hint="eastAsia" w:ascii="宋体" w:hAnsi="宋体" w:cs="宋体"/>
          <w:color w:val="000000"/>
          <w:sz w:val="24"/>
          <w:szCs w:val="24"/>
        </w:rPr>
        <w:t>.此表中，每包的投标报价应和《投标分项报价表》中的总价相一致。</w:t>
      </w:r>
    </w:p>
    <w:p>
      <w:pPr>
        <w:autoSpaceDE w:val="0"/>
        <w:autoSpaceDN w:val="0"/>
        <w:adjustRightInd w:val="0"/>
        <w:jc w:val="left"/>
        <w:rPr>
          <w:rFonts w:ascii="宋体" w:hAnsi="宋体" w:cs="宋体"/>
          <w:color w:val="000000"/>
          <w:kern w:val="0"/>
          <w:sz w:val="24"/>
          <w:szCs w:val="24"/>
        </w:rPr>
      </w:pPr>
    </w:p>
    <w:p>
      <w:pPr>
        <w:tabs>
          <w:tab w:val="left" w:pos="5580"/>
        </w:tabs>
        <w:ind w:firstLine="480" w:firstLineChars="200"/>
        <w:rPr>
          <w:rFonts w:ascii="宋体" w:hAnsi="宋体" w:cs="宋体"/>
          <w:color w:val="000000"/>
          <w:sz w:val="24"/>
          <w:szCs w:val="24"/>
        </w:rPr>
      </w:pPr>
    </w:p>
    <w:p>
      <w:pPr>
        <w:autoSpaceDE w:val="0"/>
        <w:autoSpaceDN w:val="0"/>
        <w:adjustRightInd w:val="0"/>
        <w:snapToGrid w:val="0"/>
        <w:spacing w:before="25" w:after="25" w:line="360" w:lineRule="auto"/>
        <w:rPr>
          <w:rFonts w:ascii="宋体" w:hAnsi="宋体" w:cs="宋体"/>
          <w:color w:val="000000"/>
          <w:sz w:val="24"/>
          <w:szCs w:val="24"/>
          <w:lang w:val="zh-CN"/>
        </w:rPr>
      </w:pPr>
    </w:p>
    <w:p>
      <w:pPr>
        <w:autoSpaceDE w:val="0"/>
        <w:autoSpaceDN w:val="0"/>
        <w:adjustRightInd w:val="0"/>
        <w:snapToGrid w:val="0"/>
        <w:spacing w:before="25" w:after="25" w:line="360" w:lineRule="auto"/>
        <w:rPr>
          <w:rFonts w:ascii="宋体" w:hAnsi="宋体" w:cs="宋体"/>
          <w:color w:val="000000"/>
          <w:sz w:val="24"/>
          <w:szCs w:val="24"/>
          <w:lang w:val="zh-CN"/>
        </w:rPr>
      </w:pPr>
      <w:r>
        <w:rPr>
          <w:rFonts w:hint="eastAsia" w:ascii="宋体" w:hAnsi="宋体" w:cs="宋体"/>
          <w:color w:val="000000"/>
          <w:sz w:val="24"/>
          <w:szCs w:val="24"/>
        </w:rPr>
        <w:t>投标人名称（加盖公章）</w:t>
      </w:r>
      <w:r>
        <w:rPr>
          <w:rFonts w:hint="eastAsia" w:ascii="宋体" w:hAnsi="宋体" w:cs="宋体"/>
          <w:color w:val="000000"/>
          <w:sz w:val="24"/>
          <w:szCs w:val="24"/>
          <w:lang w:val="zh-CN"/>
        </w:rPr>
        <w:t>：____________</w:t>
      </w:r>
    </w:p>
    <w:p>
      <w:pPr>
        <w:autoSpaceDE w:val="0"/>
        <w:autoSpaceDN w:val="0"/>
        <w:adjustRightInd w:val="0"/>
        <w:snapToGrid w:val="0"/>
        <w:spacing w:before="25" w:after="25" w:line="360" w:lineRule="auto"/>
        <w:rPr>
          <w:rFonts w:hint="eastAsia" w:ascii="宋体" w:hAnsi="宋体" w:cs="宋体"/>
          <w:color w:val="000000"/>
          <w:sz w:val="24"/>
          <w:szCs w:val="24"/>
        </w:rPr>
      </w:pPr>
      <w:r>
        <w:rPr>
          <w:rFonts w:hint="eastAsia" w:ascii="宋体" w:hAnsi="宋体" w:cs="宋体"/>
          <w:color w:val="000000"/>
          <w:sz w:val="24"/>
          <w:szCs w:val="24"/>
        </w:rPr>
        <w:t xml:space="preserve">日期：_____年______月______日   </w:t>
      </w:r>
    </w:p>
    <w:p>
      <w:pPr>
        <w:pStyle w:val="22"/>
        <w:tabs>
          <w:tab w:val="left" w:pos="7980"/>
        </w:tabs>
        <w:snapToGrid/>
        <w:spacing w:before="156" w:beforeLines="50" w:line="360" w:lineRule="auto"/>
        <w:ind w:firstLine="0"/>
        <w:rPr>
          <w:rFonts w:ascii="宋体" w:hAnsi="宋体" w:cs="宋体"/>
          <w:b w:val="0"/>
          <w:bCs/>
          <w:sz w:val="28"/>
          <w:szCs w:val="28"/>
        </w:rPr>
      </w:pPr>
      <w:r>
        <w:rPr>
          <w:rFonts w:hint="eastAsia" w:ascii="宋体" w:hAnsi="宋体" w:cs="宋体"/>
          <w:b w:val="0"/>
          <w:bCs/>
          <w:sz w:val="28"/>
          <w:szCs w:val="28"/>
        </w:rPr>
        <w:t>2、资质要求：</w:t>
      </w:r>
    </w:p>
    <w:p>
      <w:pPr>
        <w:pStyle w:val="22"/>
        <w:tabs>
          <w:tab w:val="left" w:pos="7980"/>
        </w:tabs>
        <w:snapToGrid/>
        <w:spacing w:before="156" w:beforeLines="50" w:line="360" w:lineRule="auto"/>
        <w:ind w:firstLine="480" w:firstLineChars="200"/>
        <w:rPr>
          <w:rFonts w:hint="eastAsia" w:ascii="宋体" w:hAnsi="宋体" w:cs="宋体"/>
          <w:sz w:val="24"/>
          <w:szCs w:val="24"/>
        </w:rPr>
      </w:pPr>
      <w:r>
        <w:rPr>
          <w:rFonts w:hint="eastAsia" w:ascii="宋体" w:hAnsi="宋体" w:cs="宋体"/>
          <w:sz w:val="24"/>
          <w:szCs w:val="24"/>
        </w:rPr>
        <w:t>参照需求内容提供相关资质复印件，并加盖公章。</w:t>
      </w:r>
    </w:p>
    <w:p>
      <w:pPr>
        <w:widowControl/>
        <w:numPr>
          <w:ilvl w:val="0"/>
          <w:numId w:val="0"/>
        </w:numPr>
        <w:snapToGrid w:val="0"/>
        <w:spacing w:line="400" w:lineRule="exact"/>
        <w:jc w:val="both"/>
        <w:textAlignment w:val="auto"/>
        <w:rPr>
          <w:rFonts w:hint="default" w:ascii="Times New Roman" w:hAnsi="Times New Roman" w:eastAsia="宋体" w:cs="Times New Roman"/>
          <w:b w:val="0"/>
          <w:bCs/>
          <w:kern w:val="20"/>
          <w:sz w:val="28"/>
          <w:szCs w:val="28"/>
          <w:highlight w:val="none"/>
          <w:lang w:val="zh-CN"/>
        </w:rPr>
      </w:pPr>
      <w:r>
        <w:rPr>
          <w:rFonts w:hint="eastAsia" w:ascii="Times New Roman" w:hAnsi="Times New Roman" w:eastAsia="宋体" w:cs="Times New Roman"/>
          <w:b w:val="0"/>
          <w:bCs/>
          <w:kern w:val="20"/>
          <w:sz w:val="28"/>
          <w:szCs w:val="28"/>
          <w:highlight w:val="none"/>
          <w:lang w:val="en-US" w:eastAsia="zh-CN"/>
        </w:rPr>
        <w:t>3、</w:t>
      </w:r>
      <w:r>
        <w:rPr>
          <w:rFonts w:hint="default" w:ascii="Times New Roman" w:hAnsi="Times New Roman" w:eastAsia="宋体" w:cs="Times New Roman"/>
          <w:b w:val="0"/>
          <w:bCs/>
          <w:kern w:val="20"/>
          <w:sz w:val="28"/>
          <w:szCs w:val="28"/>
          <w:highlight w:val="none"/>
          <w:lang w:val="zh-CN"/>
        </w:rPr>
        <w:t>技术文件</w:t>
      </w:r>
    </w:p>
    <w:p>
      <w:pPr>
        <w:keepNext w:val="0"/>
        <w:keepLines w:val="0"/>
        <w:pageBreakBefore w:val="0"/>
        <w:widowControl/>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kern w:val="20"/>
          <w:sz w:val="24"/>
          <w:szCs w:val="24"/>
          <w:highlight w:val="none"/>
          <w:lang w:val="zh-CN"/>
        </w:rPr>
      </w:pPr>
      <w:r>
        <w:rPr>
          <w:rFonts w:hint="eastAsia" w:ascii="宋体" w:hAnsi="宋体" w:cs="宋体"/>
          <w:kern w:val="20"/>
          <w:sz w:val="24"/>
          <w:szCs w:val="24"/>
          <w:highlight w:val="none"/>
          <w:lang w:val="en-US" w:eastAsia="zh-CN"/>
        </w:rPr>
        <w:t>3.1</w:t>
      </w:r>
      <w:r>
        <w:rPr>
          <w:rFonts w:hint="eastAsia" w:ascii="宋体" w:hAnsi="宋体" w:eastAsia="宋体" w:cs="宋体"/>
          <w:kern w:val="20"/>
          <w:sz w:val="24"/>
          <w:szCs w:val="24"/>
          <w:highlight w:val="none"/>
          <w:lang w:val="zh-CN"/>
        </w:rPr>
        <w:t>.技术规格偏离表</w:t>
      </w:r>
    </w:p>
    <w:p>
      <w:pPr>
        <w:keepNext w:val="0"/>
        <w:keepLines w:val="0"/>
        <w:pageBreakBefore w:val="0"/>
        <w:widowControl/>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kern w:val="20"/>
          <w:sz w:val="24"/>
          <w:szCs w:val="24"/>
          <w:highlight w:val="none"/>
          <w:lang w:val="zh-CN"/>
        </w:rPr>
      </w:pPr>
      <w:r>
        <w:rPr>
          <w:rFonts w:hint="eastAsia" w:ascii="宋体" w:hAnsi="宋体" w:cs="宋体"/>
          <w:kern w:val="20"/>
          <w:sz w:val="24"/>
          <w:szCs w:val="24"/>
          <w:highlight w:val="none"/>
          <w:lang w:val="en-US" w:eastAsia="zh-CN"/>
        </w:rPr>
        <w:t>3.2</w:t>
      </w:r>
      <w:r>
        <w:rPr>
          <w:rFonts w:hint="eastAsia" w:ascii="宋体" w:hAnsi="宋体" w:eastAsia="宋体" w:cs="宋体"/>
          <w:kern w:val="20"/>
          <w:sz w:val="24"/>
          <w:szCs w:val="24"/>
          <w:highlight w:val="none"/>
          <w:lang w:val="zh-CN"/>
        </w:rPr>
        <w:t>售后服务方案及承诺等</w:t>
      </w:r>
    </w:p>
    <w:p>
      <w:pPr>
        <w:keepNext w:val="0"/>
        <w:keepLines w:val="0"/>
        <w:pageBreakBefore w:val="0"/>
        <w:widowControl/>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kern w:val="20"/>
          <w:sz w:val="24"/>
          <w:szCs w:val="24"/>
          <w:highlight w:val="none"/>
          <w:lang w:val="zh-CN"/>
        </w:rPr>
      </w:pPr>
      <w:r>
        <w:rPr>
          <w:rFonts w:hint="eastAsia" w:ascii="宋体" w:hAnsi="宋体" w:cs="宋体"/>
          <w:kern w:val="20"/>
          <w:sz w:val="24"/>
          <w:szCs w:val="24"/>
          <w:highlight w:val="none"/>
          <w:lang w:val="en-US" w:eastAsia="zh-CN"/>
        </w:rPr>
        <w:t>3.3</w:t>
      </w:r>
      <w:r>
        <w:rPr>
          <w:rFonts w:hint="eastAsia" w:ascii="宋体" w:hAnsi="宋体" w:eastAsia="宋体" w:cs="宋体"/>
          <w:kern w:val="20"/>
          <w:sz w:val="24"/>
          <w:szCs w:val="24"/>
          <w:highlight w:val="none"/>
          <w:lang w:val="zh-CN"/>
        </w:rPr>
        <w:t>投标人自行编写的技术文件</w:t>
      </w:r>
    </w:p>
    <w:p>
      <w:pPr>
        <w:keepNext w:val="0"/>
        <w:keepLines w:val="0"/>
        <w:pageBreakBefore w:val="0"/>
        <w:widowControl/>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kern w:val="20"/>
          <w:sz w:val="24"/>
          <w:szCs w:val="24"/>
          <w:highlight w:val="none"/>
          <w:lang w:val="zh-CN"/>
        </w:rPr>
      </w:pPr>
      <w:r>
        <w:rPr>
          <w:rFonts w:hint="eastAsia" w:ascii="宋体" w:hAnsi="宋体" w:cs="宋体"/>
          <w:kern w:val="20"/>
          <w:sz w:val="24"/>
          <w:szCs w:val="24"/>
          <w:highlight w:val="none"/>
          <w:lang w:val="en-US" w:eastAsia="zh-CN"/>
        </w:rPr>
        <w:t>3.4</w:t>
      </w:r>
      <w:r>
        <w:rPr>
          <w:rFonts w:hint="eastAsia" w:ascii="宋体" w:hAnsi="宋体" w:cs="宋体"/>
          <w:kern w:val="20"/>
          <w:sz w:val="24"/>
          <w:szCs w:val="24"/>
          <w:highlight w:val="none"/>
          <w:lang w:val="zh-CN"/>
        </w:rPr>
        <w:t>遴选</w:t>
      </w:r>
      <w:r>
        <w:rPr>
          <w:rFonts w:hint="eastAsia" w:ascii="宋体" w:hAnsi="宋体" w:eastAsia="宋体" w:cs="宋体"/>
          <w:kern w:val="20"/>
          <w:sz w:val="24"/>
          <w:szCs w:val="24"/>
          <w:highlight w:val="none"/>
          <w:lang w:val="zh-CN"/>
        </w:rPr>
        <w:t>文件中要求提供的其他文件</w:t>
      </w:r>
    </w:p>
    <w:p>
      <w:pPr>
        <w:pStyle w:val="22"/>
        <w:tabs>
          <w:tab w:val="left" w:pos="7980"/>
        </w:tabs>
        <w:snapToGrid/>
        <w:spacing w:before="156" w:beforeLines="50" w:line="360" w:lineRule="auto"/>
        <w:ind w:firstLine="0"/>
        <w:rPr>
          <w:rFonts w:ascii="宋体" w:hAnsi="宋体" w:cs="宋体"/>
          <w:b w:val="0"/>
          <w:bCs/>
          <w:sz w:val="28"/>
          <w:szCs w:val="28"/>
        </w:rPr>
      </w:pPr>
      <w:r>
        <w:rPr>
          <w:rFonts w:hint="eastAsia" w:ascii="宋体" w:hAnsi="宋体" w:cs="宋体"/>
          <w:b w:val="0"/>
          <w:bCs/>
          <w:sz w:val="28"/>
          <w:szCs w:val="28"/>
          <w:lang w:val="en-US" w:eastAsia="zh-CN"/>
        </w:rPr>
        <w:t>4</w:t>
      </w:r>
      <w:r>
        <w:rPr>
          <w:rFonts w:hint="eastAsia" w:ascii="宋体" w:hAnsi="宋体" w:cs="宋体"/>
          <w:b w:val="0"/>
          <w:bCs/>
          <w:sz w:val="28"/>
          <w:szCs w:val="28"/>
        </w:rPr>
        <w:t>、其他：</w:t>
      </w:r>
    </w:p>
    <w:p>
      <w:pPr>
        <w:pStyle w:val="22"/>
        <w:tabs>
          <w:tab w:val="left" w:pos="7980"/>
        </w:tabs>
        <w:snapToGrid/>
        <w:spacing w:before="156" w:beforeLines="50" w:line="360" w:lineRule="auto"/>
        <w:ind w:firstLine="480" w:firstLineChars="200"/>
        <w:rPr>
          <w:rFonts w:ascii="宋体" w:hAnsi="宋体" w:cs="宋体"/>
          <w:sz w:val="24"/>
          <w:szCs w:val="24"/>
        </w:rPr>
      </w:pPr>
      <w:r>
        <w:rPr>
          <w:rFonts w:hint="eastAsia" w:ascii="宋体" w:hAnsi="宋体" w:cs="宋体"/>
          <w:sz w:val="24"/>
          <w:szCs w:val="24"/>
        </w:rPr>
        <w:t>其他可体现产品竞争力的文件。</w:t>
      </w:r>
    </w:p>
    <w:p>
      <w:pPr>
        <w:pStyle w:val="22"/>
        <w:tabs>
          <w:tab w:val="left" w:pos="7980"/>
        </w:tabs>
        <w:snapToGrid/>
        <w:spacing w:before="156" w:beforeLines="50" w:line="360" w:lineRule="auto"/>
        <w:ind w:firstLine="0"/>
        <w:rPr>
          <w:rFonts w:ascii="宋体" w:hAnsi="宋体" w:cs="宋体"/>
          <w:b w:val="0"/>
          <w:bCs/>
          <w:sz w:val="28"/>
          <w:szCs w:val="28"/>
        </w:rPr>
      </w:pPr>
      <w:r>
        <w:rPr>
          <w:rFonts w:hint="eastAsia" w:ascii="宋体" w:hAnsi="宋体" w:cs="宋体"/>
          <w:b w:val="0"/>
          <w:bCs/>
          <w:sz w:val="28"/>
          <w:szCs w:val="28"/>
          <w:lang w:val="en-US" w:eastAsia="zh-CN"/>
        </w:rPr>
        <w:t>5</w:t>
      </w:r>
      <w:r>
        <w:rPr>
          <w:rFonts w:hint="eastAsia" w:ascii="宋体" w:hAnsi="宋体" w:cs="宋体"/>
          <w:b w:val="0"/>
          <w:bCs/>
          <w:sz w:val="28"/>
          <w:szCs w:val="28"/>
        </w:rPr>
        <w:t>、遴选文件数量：</w:t>
      </w:r>
    </w:p>
    <w:p>
      <w:pPr>
        <w:pStyle w:val="22"/>
        <w:tabs>
          <w:tab w:val="right" w:pos="9072"/>
        </w:tabs>
        <w:snapToGrid/>
        <w:spacing w:before="156" w:beforeLines="50" w:line="360" w:lineRule="auto"/>
        <w:ind w:left="0" w:leftChars="0" w:firstLine="0" w:firstLineChars="0"/>
        <w:rPr>
          <w:rFonts w:ascii="宋体" w:hAnsi="宋体" w:cs="宋体"/>
          <w:sz w:val="28"/>
          <w:szCs w:val="28"/>
        </w:rPr>
      </w:pPr>
      <w:r>
        <w:rPr>
          <w:rFonts w:hint="eastAsia" w:ascii="宋体" w:hAnsi="宋体" w:cs="宋体"/>
          <w:sz w:val="24"/>
          <w:szCs w:val="24"/>
        </w:rPr>
        <w:t>参与遴选文件一式四份，1份正本3份副本。同步提供扫描件以U盘形式提供。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C7E61"/>
    <w:rsid w:val="0008223F"/>
    <w:rsid w:val="000D035E"/>
    <w:rsid w:val="0010329E"/>
    <w:rsid w:val="00110C2F"/>
    <w:rsid w:val="00227290"/>
    <w:rsid w:val="002F581E"/>
    <w:rsid w:val="00357894"/>
    <w:rsid w:val="00372F91"/>
    <w:rsid w:val="0053301D"/>
    <w:rsid w:val="00581D1A"/>
    <w:rsid w:val="0059534F"/>
    <w:rsid w:val="005F6343"/>
    <w:rsid w:val="00641030"/>
    <w:rsid w:val="006B06E6"/>
    <w:rsid w:val="007917E1"/>
    <w:rsid w:val="007E0128"/>
    <w:rsid w:val="008E5A2F"/>
    <w:rsid w:val="00972C58"/>
    <w:rsid w:val="009E3B8F"/>
    <w:rsid w:val="00A34398"/>
    <w:rsid w:val="00A6448A"/>
    <w:rsid w:val="00BC2147"/>
    <w:rsid w:val="00BF3CC9"/>
    <w:rsid w:val="00CC07E9"/>
    <w:rsid w:val="00D90381"/>
    <w:rsid w:val="00E041FD"/>
    <w:rsid w:val="00E11C7F"/>
    <w:rsid w:val="00F40F82"/>
    <w:rsid w:val="00F659AB"/>
    <w:rsid w:val="019E3125"/>
    <w:rsid w:val="01B16AD4"/>
    <w:rsid w:val="01FC7E4D"/>
    <w:rsid w:val="0222008D"/>
    <w:rsid w:val="02543D5F"/>
    <w:rsid w:val="02BF340E"/>
    <w:rsid w:val="02C62D99"/>
    <w:rsid w:val="02E226C9"/>
    <w:rsid w:val="031E1229"/>
    <w:rsid w:val="03230F34"/>
    <w:rsid w:val="035D4591"/>
    <w:rsid w:val="03AB2112"/>
    <w:rsid w:val="0457222B"/>
    <w:rsid w:val="0469124B"/>
    <w:rsid w:val="047C49E9"/>
    <w:rsid w:val="04BF0955"/>
    <w:rsid w:val="053A3B22"/>
    <w:rsid w:val="05972BB7"/>
    <w:rsid w:val="05CE0B13"/>
    <w:rsid w:val="06443FD4"/>
    <w:rsid w:val="065345EF"/>
    <w:rsid w:val="06B47B0B"/>
    <w:rsid w:val="06C47DA6"/>
    <w:rsid w:val="06C55827"/>
    <w:rsid w:val="06DF17A6"/>
    <w:rsid w:val="06E02562"/>
    <w:rsid w:val="07115CA7"/>
    <w:rsid w:val="077211C3"/>
    <w:rsid w:val="077B1AD3"/>
    <w:rsid w:val="078A686A"/>
    <w:rsid w:val="07975B80"/>
    <w:rsid w:val="07AD5B25"/>
    <w:rsid w:val="07C66DAC"/>
    <w:rsid w:val="084E78AD"/>
    <w:rsid w:val="089A1F2A"/>
    <w:rsid w:val="08AD56C8"/>
    <w:rsid w:val="08AF0BCB"/>
    <w:rsid w:val="08D40E0B"/>
    <w:rsid w:val="09750994"/>
    <w:rsid w:val="098E3ABC"/>
    <w:rsid w:val="098F5CBA"/>
    <w:rsid w:val="09A2275D"/>
    <w:rsid w:val="09EA50CF"/>
    <w:rsid w:val="09EE1557"/>
    <w:rsid w:val="0A0F530F"/>
    <w:rsid w:val="0A2729B6"/>
    <w:rsid w:val="0A5C1B8B"/>
    <w:rsid w:val="0AA2487E"/>
    <w:rsid w:val="0AEE6EFC"/>
    <w:rsid w:val="0B1A3243"/>
    <w:rsid w:val="0B3A7A6C"/>
    <w:rsid w:val="0B434407"/>
    <w:rsid w:val="0B526C20"/>
    <w:rsid w:val="0B832C72"/>
    <w:rsid w:val="0B8C227D"/>
    <w:rsid w:val="0B8F6A85"/>
    <w:rsid w:val="0BDA7DFE"/>
    <w:rsid w:val="0C1237DB"/>
    <w:rsid w:val="0C1B40EA"/>
    <w:rsid w:val="0C9927BA"/>
    <w:rsid w:val="0CFD7F87"/>
    <w:rsid w:val="0D040924"/>
    <w:rsid w:val="0DA32C6D"/>
    <w:rsid w:val="0DA770F4"/>
    <w:rsid w:val="0DCD0160"/>
    <w:rsid w:val="0E3521DC"/>
    <w:rsid w:val="0E583695"/>
    <w:rsid w:val="0E9A7981"/>
    <w:rsid w:val="0EBA2435"/>
    <w:rsid w:val="0F370B05"/>
    <w:rsid w:val="0F491DCF"/>
    <w:rsid w:val="0F4C7112"/>
    <w:rsid w:val="101B23FC"/>
    <w:rsid w:val="10640272"/>
    <w:rsid w:val="106A12E8"/>
    <w:rsid w:val="10D33DA9"/>
    <w:rsid w:val="111C7A20"/>
    <w:rsid w:val="112812B5"/>
    <w:rsid w:val="11F34201"/>
    <w:rsid w:val="1203449B"/>
    <w:rsid w:val="123A6B73"/>
    <w:rsid w:val="12781EDB"/>
    <w:rsid w:val="12892176"/>
    <w:rsid w:val="12BB03C6"/>
    <w:rsid w:val="12D312F0"/>
    <w:rsid w:val="12E52888"/>
    <w:rsid w:val="12ED1E9A"/>
    <w:rsid w:val="13267A75"/>
    <w:rsid w:val="132E0705"/>
    <w:rsid w:val="137C0484"/>
    <w:rsid w:val="139B0D39"/>
    <w:rsid w:val="13B2095E"/>
    <w:rsid w:val="13EF07C3"/>
    <w:rsid w:val="1411115B"/>
    <w:rsid w:val="142F5D29"/>
    <w:rsid w:val="144733D0"/>
    <w:rsid w:val="1469268B"/>
    <w:rsid w:val="147A2925"/>
    <w:rsid w:val="148B0641"/>
    <w:rsid w:val="14B20501"/>
    <w:rsid w:val="15200B35"/>
    <w:rsid w:val="15242DBE"/>
    <w:rsid w:val="15460D75"/>
    <w:rsid w:val="154F3C02"/>
    <w:rsid w:val="15517106"/>
    <w:rsid w:val="159C3D02"/>
    <w:rsid w:val="15AC3F9C"/>
    <w:rsid w:val="15F42192"/>
    <w:rsid w:val="169D4BA9"/>
    <w:rsid w:val="16B02545"/>
    <w:rsid w:val="16DF3094"/>
    <w:rsid w:val="16F861BD"/>
    <w:rsid w:val="16FF13CB"/>
    <w:rsid w:val="17753588"/>
    <w:rsid w:val="178F79B5"/>
    <w:rsid w:val="17BA1A42"/>
    <w:rsid w:val="18037974"/>
    <w:rsid w:val="182D2D36"/>
    <w:rsid w:val="184119D7"/>
    <w:rsid w:val="18427458"/>
    <w:rsid w:val="184D326B"/>
    <w:rsid w:val="1876442F"/>
    <w:rsid w:val="18B57797"/>
    <w:rsid w:val="18C57A32"/>
    <w:rsid w:val="18D36D47"/>
    <w:rsid w:val="18E67F66"/>
    <w:rsid w:val="190A6EA1"/>
    <w:rsid w:val="191120AF"/>
    <w:rsid w:val="19155232"/>
    <w:rsid w:val="193D71F3"/>
    <w:rsid w:val="1942287E"/>
    <w:rsid w:val="196562B6"/>
    <w:rsid w:val="19846B6B"/>
    <w:rsid w:val="19CC27E2"/>
    <w:rsid w:val="19D652F0"/>
    <w:rsid w:val="1A4271B8"/>
    <w:rsid w:val="1AB52760"/>
    <w:rsid w:val="1AD10DB0"/>
    <w:rsid w:val="1B003AD9"/>
    <w:rsid w:val="1B1A4683"/>
    <w:rsid w:val="1B996256"/>
    <w:rsid w:val="1BA445E7"/>
    <w:rsid w:val="1BA67AEA"/>
    <w:rsid w:val="1C9D47FF"/>
    <w:rsid w:val="1CEE3304"/>
    <w:rsid w:val="1D104B3E"/>
    <w:rsid w:val="1D2B3169"/>
    <w:rsid w:val="1D315072"/>
    <w:rsid w:val="1D330575"/>
    <w:rsid w:val="1DA62AB3"/>
    <w:rsid w:val="1DAB6F3A"/>
    <w:rsid w:val="1E5F2261"/>
    <w:rsid w:val="1EA1074C"/>
    <w:rsid w:val="1EAD7DE2"/>
    <w:rsid w:val="1F2E1635"/>
    <w:rsid w:val="1F3025BA"/>
    <w:rsid w:val="1F371F44"/>
    <w:rsid w:val="1F3832B3"/>
    <w:rsid w:val="1F8D05C9"/>
    <w:rsid w:val="20190339"/>
    <w:rsid w:val="201F4440"/>
    <w:rsid w:val="204565E4"/>
    <w:rsid w:val="208E24F6"/>
    <w:rsid w:val="20B46EB2"/>
    <w:rsid w:val="20DD5AF8"/>
    <w:rsid w:val="20E91E77"/>
    <w:rsid w:val="21772473"/>
    <w:rsid w:val="217B0E7A"/>
    <w:rsid w:val="21E7182E"/>
    <w:rsid w:val="22034A8A"/>
    <w:rsid w:val="221700ED"/>
    <w:rsid w:val="221A5500"/>
    <w:rsid w:val="229C47D4"/>
    <w:rsid w:val="22BF3A8F"/>
    <w:rsid w:val="23085188"/>
    <w:rsid w:val="232D40C3"/>
    <w:rsid w:val="236E4B2D"/>
    <w:rsid w:val="238E2E63"/>
    <w:rsid w:val="23CB09AA"/>
    <w:rsid w:val="23F22B88"/>
    <w:rsid w:val="245E7CB8"/>
    <w:rsid w:val="24657643"/>
    <w:rsid w:val="246B6FCE"/>
    <w:rsid w:val="24821172"/>
    <w:rsid w:val="24C663E3"/>
    <w:rsid w:val="24EB2891"/>
    <w:rsid w:val="250D0D56"/>
    <w:rsid w:val="25525FC7"/>
    <w:rsid w:val="25A34ACC"/>
    <w:rsid w:val="25A501B3"/>
    <w:rsid w:val="25B65CEB"/>
    <w:rsid w:val="25DD5BAB"/>
    <w:rsid w:val="261A5A10"/>
    <w:rsid w:val="2637753E"/>
    <w:rsid w:val="263E72EA"/>
    <w:rsid w:val="26C01A21"/>
    <w:rsid w:val="27F4659B"/>
    <w:rsid w:val="27F5401C"/>
    <w:rsid w:val="2826006E"/>
    <w:rsid w:val="28357004"/>
    <w:rsid w:val="2844761E"/>
    <w:rsid w:val="28696559"/>
    <w:rsid w:val="288A2311"/>
    <w:rsid w:val="288F0997"/>
    <w:rsid w:val="289E0FB2"/>
    <w:rsid w:val="28DA0880"/>
    <w:rsid w:val="29494C7A"/>
    <w:rsid w:val="29703508"/>
    <w:rsid w:val="298634AE"/>
    <w:rsid w:val="298A1EB4"/>
    <w:rsid w:val="29986C4B"/>
    <w:rsid w:val="29DD60BB"/>
    <w:rsid w:val="29F36060"/>
    <w:rsid w:val="2A105610"/>
    <w:rsid w:val="2A2158AB"/>
    <w:rsid w:val="2A2A6144"/>
    <w:rsid w:val="2A847B4D"/>
    <w:rsid w:val="2B066E22"/>
    <w:rsid w:val="2B575927"/>
    <w:rsid w:val="2B660140"/>
    <w:rsid w:val="2B937D0B"/>
    <w:rsid w:val="2B964513"/>
    <w:rsid w:val="2BD155F1"/>
    <w:rsid w:val="2C25727A"/>
    <w:rsid w:val="2C3B141D"/>
    <w:rsid w:val="2C5B7754"/>
    <w:rsid w:val="2C665AE5"/>
    <w:rsid w:val="2CA455C9"/>
    <w:rsid w:val="2CC203FD"/>
    <w:rsid w:val="2D1E5293"/>
    <w:rsid w:val="2D2626A0"/>
    <w:rsid w:val="2D5B0C63"/>
    <w:rsid w:val="2D9716DA"/>
    <w:rsid w:val="2DC434A2"/>
    <w:rsid w:val="2E1F28B7"/>
    <w:rsid w:val="2F346C03"/>
    <w:rsid w:val="2F373384"/>
    <w:rsid w:val="2F575E37"/>
    <w:rsid w:val="300936DD"/>
    <w:rsid w:val="302A3C11"/>
    <w:rsid w:val="303D06B3"/>
    <w:rsid w:val="3056100C"/>
    <w:rsid w:val="30665FF5"/>
    <w:rsid w:val="3076628F"/>
    <w:rsid w:val="30960D42"/>
    <w:rsid w:val="30F46B5D"/>
    <w:rsid w:val="30F77AE2"/>
    <w:rsid w:val="310A0D01"/>
    <w:rsid w:val="310E5509"/>
    <w:rsid w:val="3110648D"/>
    <w:rsid w:val="31676E9C"/>
    <w:rsid w:val="317B5B3D"/>
    <w:rsid w:val="31AC410D"/>
    <w:rsid w:val="31D461CB"/>
    <w:rsid w:val="31F36A80"/>
    <w:rsid w:val="33851415"/>
    <w:rsid w:val="33A773CB"/>
    <w:rsid w:val="33AB5DD1"/>
    <w:rsid w:val="340267E0"/>
    <w:rsid w:val="343D3142"/>
    <w:rsid w:val="349F7963"/>
    <w:rsid w:val="35037688"/>
    <w:rsid w:val="3553070C"/>
    <w:rsid w:val="35747442"/>
    <w:rsid w:val="35FC56A1"/>
    <w:rsid w:val="36732D61"/>
    <w:rsid w:val="368D3988"/>
    <w:rsid w:val="36D57583"/>
    <w:rsid w:val="36FD2CC6"/>
    <w:rsid w:val="3720417F"/>
    <w:rsid w:val="37822F1F"/>
    <w:rsid w:val="37B54672"/>
    <w:rsid w:val="387437AC"/>
    <w:rsid w:val="39100CEA"/>
    <w:rsid w:val="392C0D5C"/>
    <w:rsid w:val="396C3D44"/>
    <w:rsid w:val="39A828A4"/>
    <w:rsid w:val="39E5018A"/>
    <w:rsid w:val="39F913A9"/>
    <w:rsid w:val="3A3C0B99"/>
    <w:rsid w:val="3A947029"/>
    <w:rsid w:val="3B142DFB"/>
    <w:rsid w:val="3B82342F"/>
    <w:rsid w:val="3BB4167F"/>
    <w:rsid w:val="3BC02F13"/>
    <w:rsid w:val="3C09460C"/>
    <w:rsid w:val="3C3A2BDD"/>
    <w:rsid w:val="3C417FEA"/>
    <w:rsid w:val="3C712D37"/>
    <w:rsid w:val="3CF86D14"/>
    <w:rsid w:val="3CFC4E99"/>
    <w:rsid w:val="3DCC1CEF"/>
    <w:rsid w:val="3DFE7834"/>
    <w:rsid w:val="3E1E6276"/>
    <w:rsid w:val="3E484EBC"/>
    <w:rsid w:val="3E4C1343"/>
    <w:rsid w:val="3E4E4846"/>
    <w:rsid w:val="3E800899"/>
    <w:rsid w:val="3E856F1F"/>
    <w:rsid w:val="3EDB1EAC"/>
    <w:rsid w:val="3F14330B"/>
    <w:rsid w:val="3F3C0C4C"/>
    <w:rsid w:val="3F78302F"/>
    <w:rsid w:val="3F9D1F6A"/>
    <w:rsid w:val="3FA00970"/>
    <w:rsid w:val="3FA660FD"/>
    <w:rsid w:val="3FF77D09"/>
    <w:rsid w:val="40050695"/>
    <w:rsid w:val="40612FAD"/>
    <w:rsid w:val="40987B49"/>
    <w:rsid w:val="40CB4BDA"/>
    <w:rsid w:val="40CD467D"/>
    <w:rsid w:val="40D24565"/>
    <w:rsid w:val="40E47D03"/>
    <w:rsid w:val="40F94425"/>
    <w:rsid w:val="41053ABB"/>
    <w:rsid w:val="41883B7A"/>
    <w:rsid w:val="41A0173B"/>
    <w:rsid w:val="423676B0"/>
    <w:rsid w:val="42526816"/>
    <w:rsid w:val="425A0B69"/>
    <w:rsid w:val="42CF65A9"/>
    <w:rsid w:val="432263B4"/>
    <w:rsid w:val="434929F0"/>
    <w:rsid w:val="438318D0"/>
    <w:rsid w:val="438E38F9"/>
    <w:rsid w:val="439F33FF"/>
    <w:rsid w:val="43C732BE"/>
    <w:rsid w:val="43F90615"/>
    <w:rsid w:val="44246208"/>
    <w:rsid w:val="44AB2637"/>
    <w:rsid w:val="44C06D59"/>
    <w:rsid w:val="44CD05ED"/>
    <w:rsid w:val="44F94935"/>
    <w:rsid w:val="450C3955"/>
    <w:rsid w:val="455E20DB"/>
    <w:rsid w:val="45BE11FB"/>
    <w:rsid w:val="45FF1C64"/>
    <w:rsid w:val="46315CB6"/>
    <w:rsid w:val="468034B7"/>
    <w:rsid w:val="468269BA"/>
    <w:rsid w:val="46BC111E"/>
    <w:rsid w:val="46F224F1"/>
    <w:rsid w:val="46F76979"/>
    <w:rsid w:val="47105324"/>
    <w:rsid w:val="47351CE1"/>
    <w:rsid w:val="47596A1D"/>
    <w:rsid w:val="476218AB"/>
    <w:rsid w:val="47D927EF"/>
    <w:rsid w:val="48147151"/>
    <w:rsid w:val="482F1EF9"/>
    <w:rsid w:val="48611B62"/>
    <w:rsid w:val="48F07DB8"/>
    <w:rsid w:val="49480447"/>
    <w:rsid w:val="49543519"/>
    <w:rsid w:val="49765A93"/>
    <w:rsid w:val="499408C6"/>
    <w:rsid w:val="49E22BC4"/>
    <w:rsid w:val="49E816FE"/>
    <w:rsid w:val="49F46361"/>
    <w:rsid w:val="4A013479"/>
    <w:rsid w:val="4A225BAC"/>
    <w:rsid w:val="4A8C77D9"/>
    <w:rsid w:val="4A8E6560"/>
    <w:rsid w:val="4AC13D3A"/>
    <w:rsid w:val="4AD81E57"/>
    <w:rsid w:val="4ADC40E1"/>
    <w:rsid w:val="4AE46EE1"/>
    <w:rsid w:val="4B547222"/>
    <w:rsid w:val="4C193AE8"/>
    <w:rsid w:val="4C241E79"/>
    <w:rsid w:val="4C831E93"/>
    <w:rsid w:val="4CBA7DEE"/>
    <w:rsid w:val="4CEF2847"/>
    <w:rsid w:val="4D4579D2"/>
    <w:rsid w:val="4D73501E"/>
    <w:rsid w:val="4D7C592E"/>
    <w:rsid w:val="4D9664D8"/>
    <w:rsid w:val="4DC515A5"/>
    <w:rsid w:val="4DD672C1"/>
    <w:rsid w:val="4DE03454"/>
    <w:rsid w:val="4DE465D7"/>
    <w:rsid w:val="4E1E76B5"/>
    <w:rsid w:val="4E2260BC"/>
    <w:rsid w:val="4E283848"/>
    <w:rsid w:val="4E684632"/>
    <w:rsid w:val="4EB80EF9"/>
    <w:rsid w:val="4EBE17BD"/>
    <w:rsid w:val="4F0D4DC0"/>
    <w:rsid w:val="4F311AFC"/>
    <w:rsid w:val="4FC92F74"/>
    <w:rsid w:val="502A1D14"/>
    <w:rsid w:val="50831423"/>
    <w:rsid w:val="51124210"/>
    <w:rsid w:val="51160A18"/>
    <w:rsid w:val="513B3E5F"/>
    <w:rsid w:val="51C74FB8"/>
    <w:rsid w:val="51DD715C"/>
    <w:rsid w:val="52391A74"/>
    <w:rsid w:val="5248680B"/>
    <w:rsid w:val="52F34726"/>
    <w:rsid w:val="531639E1"/>
    <w:rsid w:val="5332420A"/>
    <w:rsid w:val="5347092C"/>
    <w:rsid w:val="535321C1"/>
    <w:rsid w:val="5357444A"/>
    <w:rsid w:val="53671FD0"/>
    <w:rsid w:val="53B27FDC"/>
    <w:rsid w:val="53D26312"/>
    <w:rsid w:val="53D8021B"/>
    <w:rsid w:val="53F32011"/>
    <w:rsid w:val="53F6524D"/>
    <w:rsid w:val="548947BC"/>
    <w:rsid w:val="548D6A45"/>
    <w:rsid w:val="54D95840"/>
    <w:rsid w:val="55016A04"/>
    <w:rsid w:val="55147C23"/>
    <w:rsid w:val="553D5564"/>
    <w:rsid w:val="554503F2"/>
    <w:rsid w:val="55B619AB"/>
    <w:rsid w:val="55DD766C"/>
    <w:rsid w:val="55F47291"/>
    <w:rsid w:val="565E0EBF"/>
    <w:rsid w:val="56C4796A"/>
    <w:rsid w:val="56D0597B"/>
    <w:rsid w:val="56E77B1E"/>
    <w:rsid w:val="570064CA"/>
    <w:rsid w:val="57276389"/>
    <w:rsid w:val="57DC32D5"/>
    <w:rsid w:val="580F6687"/>
    <w:rsid w:val="581D341E"/>
    <w:rsid w:val="583120BF"/>
    <w:rsid w:val="583D5ED1"/>
    <w:rsid w:val="58982D68"/>
    <w:rsid w:val="589907E9"/>
    <w:rsid w:val="58E575E4"/>
    <w:rsid w:val="596B0B42"/>
    <w:rsid w:val="5A0D28C9"/>
    <w:rsid w:val="5A687760"/>
    <w:rsid w:val="5A72006F"/>
    <w:rsid w:val="5A743572"/>
    <w:rsid w:val="5AE470AA"/>
    <w:rsid w:val="5B0D3AF1"/>
    <w:rsid w:val="5B26388B"/>
    <w:rsid w:val="5B561967"/>
    <w:rsid w:val="5B925F49"/>
    <w:rsid w:val="5BA261E3"/>
    <w:rsid w:val="5BC709A1"/>
    <w:rsid w:val="5BFD55F8"/>
    <w:rsid w:val="5C056287"/>
    <w:rsid w:val="5C152C9F"/>
    <w:rsid w:val="5C2F70CC"/>
    <w:rsid w:val="5C514838"/>
    <w:rsid w:val="5C9522F3"/>
    <w:rsid w:val="5CD340E9"/>
    <w:rsid w:val="5D6C08ED"/>
    <w:rsid w:val="5DCD7DF2"/>
    <w:rsid w:val="5E1B7B71"/>
    <w:rsid w:val="5E3C3929"/>
    <w:rsid w:val="5E7D2194"/>
    <w:rsid w:val="5EA94901"/>
    <w:rsid w:val="5EE475B9"/>
    <w:rsid w:val="5FC559AE"/>
    <w:rsid w:val="6027474E"/>
    <w:rsid w:val="604B3689"/>
    <w:rsid w:val="605E26A9"/>
    <w:rsid w:val="606964BC"/>
    <w:rsid w:val="60A34368"/>
    <w:rsid w:val="60A54010"/>
    <w:rsid w:val="60D25F23"/>
    <w:rsid w:val="60E173FF"/>
    <w:rsid w:val="60F638C3"/>
    <w:rsid w:val="611D27CD"/>
    <w:rsid w:val="61343606"/>
    <w:rsid w:val="61497D28"/>
    <w:rsid w:val="614B322B"/>
    <w:rsid w:val="615A3846"/>
    <w:rsid w:val="61915F1E"/>
    <w:rsid w:val="619C1D31"/>
    <w:rsid w:val="61EC2DB5"/>
    <w:rsid w:val="62142C74"/>
    <w:rsid w:val="623D76BC"/>
    <w:rsid w:val="62572464"/>
    <w:rsid w:val="628C4EBC"/>
    <w:rsid w:val="633330CC"/>
    <w:rsid w:val="63394FD5"/>
    <w:rsid w:val="633F2762"/>
    <w:rsid w:val="634877EE"/>
    <w:rsid w:val="63A80B0C"/>
    <w:rsid w:val="63AF0497"/>
    <w:rsid w:val="646B664C"/>
    <w:rsid w:val="64875F7C"/>
    <w:rsid w:val="64931D8E"/>
    <w:rsid w:val="649A719B"/>
    <w:rsid w:val="64A010A4"/>
    <w:rsid w:val="64CE4172"/>
    <w:rsid w:val="64D934D0"/>
    <w:rsid w:val="65285B05"/>
    <w:rsid w:val="654031AC"/>
    <w:rsid w:val="654A3ABB"/>
    <w:rsid w:val="662B662D"/>
    <w:rsid w:val="66310536"/>
    <w:rsid w:val="66B97195"/>
    <w:rsid w:val="66F205F4"/>
    <w:rsid w:val="672B61CF"/>
    <w:rsid w:val="6734105D"/>
    <w:rsid w:val="679E2C8B"/>
    <w:rsid w:val="67AE67A9"/>
    <w:rsid w:val="67FF1A2B"/>
    <w:rsid w:val="6827516E"/>
    <w:rsid w:val="68415D17"/>
    <w:rsid w:val="68634B29"/>
    <w:rsid w:val="688F5EDF"/>
    <w:rsid w:val="68B66FDB"/>
    <w:rsid w:val="68BA215E"/>
    <w:rsid w:val="691D4401"/>
    <w:rsid w:val="69270594"/>
    <w:rsid w:val="699C7D1F"/>
    <w:rsid w:val="6A0F720C"/>
    <w:rsid w:val="6A35744C"/>
    <w:rsid w:val="6A5D0610"/>
    <w:rsid w:val="6A6F052B"/>
    <w:rsid w:val="6AD65E13"/>
    <w:rsid w:val="6AE517EE"/>
    <w:rsid w:val="6AF44007"/>
    <w:rsid w:val="6B9A0018"/>
    <w:rsid w:val="6BD552B9"/>
    <w:rsid w:val="6C1369DD"/>
    <w:rsid w:val="6C940230"/>
    <w:rsid w:val="6CCE4B92"/>
    <w:rsid w:val="6CF02B48"/>
    <w:rsid w:val="6D1E2392"/>
    <w:rsid w:val="6D2F00AE"/>
    <w:rsid w:val="6D561607"/>
    <w:rsid w:val="6D581273"/>
    <w:rsid w:val="6D7B4CAA"/>
    <w:rsid w:val="6DCD1231"/>
    <w:rsid w:val="6DD204FB"/>
    <w:rsid w:val="6E1F57B8"/>
    <w:rsid w:val="6E262BC5"/>
    <w:rsid w:val="6E2D2550"/>
    <w:rsid w:val="6EB072A6"/>
    <w:rsid w:val="6F5013AD"/>
    <w:rsid w:val="6F5B773E"/>
    <w:rsid w:val="6F715165"/>
    <w:rsid w:val="6F8C598F"/>
    <w:rsid w:val="6FAC3CC5"/>
    <w:rsid w:val="70077857"/>
    <w:rsid w:val="7025268A"/>
    <w:rsid w:val="703A2630"/>
    <w:rsid w:val="70703A03"/>
    <w:rsid w:val="70AF364B"/>
    <w:rsid w:val="711F77AD"/>
    <w:rsid w:val="71342848"/>
    <w:rsid w:val="716C7E61"/>
    <w:rsid w:val="717C2C3C"/>
    <w:rsid w:val="71CD1741"/>
    <w:rsid w:val="71D33AC1"/>
    <w:rsid w:val="72324637"/>
    <w:rsid w:val="7252741C"/>
    <w:rsid w:val="72935C87"/>
    <w:rsid w:val="729B16D5"/>
    <w:rsid w:val="730B6BCA"/>
    <w:rsid w:val="73116555"/>
    <w:rsid w:val="73403821"/>
    <w:rsid w:val="73532842"/>
    <w:rsid w:val="736D33EC"/>
    <w:rsid w:val="74192A7A"/>
    <w:rsid w:val="74447BCC"/>
    <w:rsid w:val="7458686C"/>
    <w:rsid w:val="74910BC9"/>
    <w:rsid w:val="74EF5AE6"/>
    <w:rsid w:val="75215D72"/>
    <w:rsid w:val="75861371"/>
    <w:rsid w:val="759177EC"/>
    <w:rsid w:val="75A771F3"/>
    <w:rsid w:val="76435113"/>
    <w:rsid w:val="77116A65"/>
    <w:rsid w:val="7775678A"/>
    <w:rsid w:val="779415BD"/>
    <w:rsid w:val="77DB3F30"/>
    <w:rsid w:val="77FC7CE8"/>
    <w:rsid w:val="7842023E"/>
    <w:rsid w:val="787D153B"/>
    <w:rsid w:val="78BE1978"/>
    <w:rsid w:val="78CC6D3B"/>
    <w:rsid w:val="78D479CB"/>
    <w:rsid w:val="79276150"/>
    <w:rsid w:val="79283BD2"/>
    <w:rsid w:val="79A00398"/>
    <w:rsid w:val="79C31852"/>
    <w:rsid w:val="79D62A71"/>
    <w:rsid w:val="7A1173D2"/>
    <w:rsid w:val="7A2233C9"/>
    <w:rsid w:val="7A284669"/>
    <w:rsid w:val="7A68455E"/>
    <w:rsid w:val="7A691FDF"/>
    <w:rsid w:val="7AB57EE0"/>
    <w:rsid w:val="7AB855E2"/>
    <w:rsid w:val="7BD67FB8"/>
    <w:rsid w:val="7BDC5744"/>
    <w:rsid w:val="7BFC23F6"/>
    <w:rsid w:val="7BFF337A"/>
    <w:rsid w:val="7C2557CE"/>
    <w:rsid w:val="7C26103C"/>
    <w:rsid w:val="7C281F5C"/>
    <w:rsid w:val="7C800451"/>
    <w:rsid w:val="7CC0123A"/>
    <w:rsid w:val="7CE03CED"/>
    <w:rsid w:val="7D2C636B"/>
    <w:rsid w:val="7D6C1353"/>
    <w:rsid w:val="7D72325C"/>
    <w:rsid w:val="7DE00530"/>
    <w:rsid w:val="7E720C01"/>
    <w:rsid w:val="7EAC1CDF"/>
    <w:rsid w:val="7EB93573"/>
    <w:rsid w:val="7EE221B9"/>
    <w:rsid w:val="7EEC634C"/>
    <w:rsid w:val="7F0823F9"/>
    <w:rsid w:val="7F32323D"/>
    <w:rsid w:val="7F99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link w:val="2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annotation text"/>
    <w:basedOn w:val="1"/>
    <w:link w:val="23"/>
    <w:qFormat/>
    <w:uiPriority w:val="0"/>
    <w:pPr>
      <w:jc w:val="left"/>
    </w:p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line="240" w:lineRule="auto"/>
    </w:pPr>
    <w:rPr>
      <w:rFonts w:cs="宋体"/>
      <w:szCs w:val="24"/>
    </w:rPr>
  </w:style>
  <w:style w:type="paragraph" w:styleId="12">
    <w:name w:val="annotation subject"/>
    <w:basedOn w:val="8"/>
    <w:next w:val="8"/>
    <w:link w:val="2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首行缩进"/>
    <w:basedOn w:val="1"/>
    <w:qFormat/>
    <w:uiPriority w:val="0"/>
    <w:pPr>
      <w:spacing w:line="360" w:lineRule="auto"/>
      <w:ind w:firstLine="480" w:firstLineChars="200"/>
    </w:pPr>
    <w:rPr>
      <w:sz w:val="24"/>
      <w:szCs w:val="22"/>
      <w:lang w:val="zh-CN"/>
    </w:rPr>
  </w:style>
  <w:style w:type="paragraph" w:styleId="19">
    <w:name w:val="List Paragraph"/>
    <w:basedOn w:val="1"/>
    <w:qFormat/>
    <w:uiPriority w:val="34"/>
    <w:pPr>
      <w:ind w:firstLine="420" w:firstLineChars="200"/>
    </w:pPr>
  </w:style>
  <w:style w:type="character" w:customStyle="1" w:styleId="20">
    <w:name w:val="标题 1 字符"/>
    <w:basedOn w:val="15"/>
    <w:link w:val="4"/>
    <w:qFormat/>
    <w:uiPriority w:val="0"/>
    <w:rPr>
      <w:rFonts w:ascii="Times New Roman" w:hAnsi="Times New Roman" w:eastAsia="宋体" w:cs="Times New Roman"/>
      <w:b/>
      <w:bCs/>
      <w:kern w:val="44"/>
      <w:sz w:val="44"/>
      <w:szCs w:val="44"/>
    </w:rPr>
  </w:style>
  <w:style w:type="character" w:customStyle="1" w:styleId="21">
    <w:name w:val="标题 4 字符"/>
    <w:basedOn w:val="15"/>
    <w:link w:val="7"/>
    <w:qFormat/>
    <w:uiPriority w:val="0"/>
    <w:rPr>
      <w:rFonts w:asciiTheme="majorHAnsi" w:hAnsiTheme="majorHAnsi" w:eastAsiaTheme="majorEastAsia" w:cstheme="majorBidi"/>
      <w:b/>
      <w:bCs/>
      <w:kern w:val="2"/>
      <w:sz w:val="28"/>
      <w:szCs w:val="28"/>
    </w:rPr>
  </w:style>
  <w:style w:type="paragraph" w:customStyle="1" w:styleId="22">
    <w:name w:val="SOW正文"/>
    <w:basedOn w:val="1"/>
    <w:qFormat/>
    <w:uiPriority w:val="0"/>
    <w:pPr>
      <w:snapToGrid w:val="0"/>
      <w:spacing w:before="120" w:line="400" w:lineRule="exact"/>
      <w:ind w:firstLine="425"/>
    </w:pPr>
    <w:rPr>
      <w:sz w:val="24"/>
    </w:rPr>
  </w:style>
  <w:style w:type="character" w:customStyle="1" w:styleId="23">
    <w:name w:val="批注文字 字符"/>
    <w:basedOn w:val="15"/>
    <w:link w:val="8"/>
    <w:qFormat/>
    <w:uiPriority w:val="0"/>
    <w:rPr>
      <w:rFonts w:ascii="Times New Roman" w:hAnsi="Times New Roman" w:eastAsia="宋体" w:cs="Times New Roman"/>
      <w:kern w:val="2"/>
      <w:sz w:val="21"/>
      <w:szCs w:val="24"/>
    </w:rPr>
  </w:style>
  <w:style w:type="character" w:customStyle="1" w:styleId="24">
    <w:name w:val="批注主题 字符"/>
    <w:basedOn w:val="23"/>
    <w:link w:val="12"/>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459</Words>
  <Characters>2620</Characters>
  <Lines>21</Lines>
  <Paragraphs>6</Paragraphs>
  <TotalTime>13</TotalTime>
  <ScaleCrop>false</ScaleCrop>
  <LinksUpToDate>false</LinksUpToDate>
  <CharactersWithSpaces>3073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2025-12-24T09:05:00Z</dcterms:created>
  <dc:creator>liu</dc:creator>
  <cp:lastModifiedBy>sxc</cp:lastModifiedBy>
  <dcterms:modified xsi:type="dcterms:W3CDTF">2026-05-22T02:05:43Z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1D2A2FD2D93D41E0AD100CF890363ADA</vt:lpwstr>
  </property>
</Properties>
</file>