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40" w:after="240" w:line="360" w:lineRule="auto"/>
        <w:rPr>
          <w:rFonts w:ascii="宋体" w:hAnsi="宋体"/>
        </w:rPr>
      </w:pPr>
      <w:r>
        <w:rPr>
          <w:rFonts w:hint="eastAsia" w:ascii="宋体" w:hAnsi="宋体"/>
        </w:rPr>
        <w:t>技术规格及要求</w:t>
      </w:r>
    </w:p>
    <w:p>
      <w:pPr>
        <w:pStyle w:val="6"/>
        <w:spacing w:before="0" w:after="0" w:line="360" w:lineRule="auto"/>
        <w:jc w:val="left"/>
        <w:rPr>
          <w:rFonts w:hint="eastAsia" w:ascii="宋体" w:hAnsi="宋体" w:eastAsia="宋体" w:cs="Times New Roman"/>
          <w:sz w:val="28"/>
          <w:lang w:eastAsia="zh-CN"/>
        </w:rPr>
      </w:pPr>
      <w:r>
        <w:rPr>
          <w:rFonts w:hint="eastAsia" w:ascii="宋体" w:hAnsi="宋体" w:eastAsia="宋体" w:cs="Times New Roman"/>
          <w:sz w:val="28"/>
        </w:rPr>
        <w:t>一、</w:t>
      </w:r>
      <w:r>
        <w:rPr>
          <w:rFonts w:hint="eastAsia" w:ascii="宋体" w:hAnsi="宋体" w:eastAsia="宋体" w:cs="Times New Roman"/>
          <w:sz w:val="28"/>
          <w:lang w:val="en-US" w:eastAsia="zh-CN"/>
        </w:rPr>
        <w:t>视频会议系统</w:t>
      </w:r>
      <w:r>
        <w:rPr>
          <w:rFonts w:hint="eastAsia" w:ascii="宋体" w:hAnsi="宋体" w:eastAsia="宋体" w:cs="Times New Roman"/>
          <w:sz w:val="28"/>
          <w:lang w:eastAsia="zh-CN"/>
        </w:rPr>
        <w:t>设备清单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567" w:leftChars="-270" w:right="-850" w:rightChars="-405" w:firstLine="480" w:firstLineChars="200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视频会议系统设备列表如下：</w:t>
      </w:r>
      <w:bookmarkStart w:id="2" w:name="_GoBack"/>
      <w:bookmarkEnd w:id="2"/>
    </w:p>
    <w:p>
      <w:pPr>
        <w:rPr>
          <w:rFonts w:hint="default"/>
          <w:lang w:val="en-US" w:eastAsia="zh-CN"/>
        </w:rPr>
      </w:pPr>
    </w:p>
    <w:tbl>
      <w:tblPr>
        <w:tblStyle w:val="8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3252"/>
        <w:gridCol w:w="2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华为设备型号</w:t>
            </w:r>
          </w:p>
        </w:tc>
        <w:tc>
          <w:tcPr>
            <w:tcW w:w="325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242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数量（台）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TE50</w:t>
            </w:r>
          </w:p>
        </w:tc>
        <w:tc>
          <w:tcPr>
            <w:tcW w:w="325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视频会议终端</w:t>
            </w:r>
          </w:p>
        </w:tc>
        <w:tc>
          <w:tcPr>
            <w:tcW w:w="242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TE30</w:t>
            </w:r>
          </w:p>
        </w:tc>
        <w:tc>
          <w:tcPr>
            <w:tcW w:w="325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一体化视频会议终端</w:t>
            </w:r>
          </w:p>
        </w:tc>
        <w:tc>
          <w:tcPr>
            <w:tcW w:w="242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RSE6500-M</w:t>
            </w:r>
          </w:p>
        </w:tc>
        <w:tc>
          <w:tcPr>
            <w:tcW w:w="325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大容量视讯录播服务器</w:t>
            </w:r>
          </w:p>
        </w:tc>
        <w:tc>
          <w:tcPr>
            <w:tcW w:w="242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USG6507</w:t>
            </w:r>
          </w:p>
        </w:tc>
        <w:tc>
          <w:tcPr>
            <w:tcW w:w="325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防火墙</w:t>
            </w:r>
          </w:p>
        </w:tc>
        <w:tc>
          <w:tcPr>
            <w:tcW w:w="242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VPM220</w:t>
            </w:r>
          </w:p>
        </w:tc>
        <w:tc>
          <w:tcPr>
            <w:tcW w:w="325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全向智能有线阵列麦克风</w:t>
            </w:r>
          </w:p>
        </w:tc>
        <w:tc>
          <w:tcPr>
            <w:tcW w:w="242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SC-50</w:t>
            </w:r>
          </w:p>
        </w:tc>
        <w:tc>
          <w:tcPr>
            <w:tcW w:w="325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switch center</w:t>
            </w:r>
          </w:p>
        </w:tc>
        <w:tc>
          <w:tcPr>
            <w:tcW w:w="242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S5700-LI-28P</w:t>
            </w:r>
          </w:p>
        </w:tc>
        <w:tc>
          <w:tcPr>
            <w:tcW w:w="325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交换机</w:t>
            </w:r>
          </w:p>
        </w:tc>
        <w:tc>
          <w:tcPr>
            <w:tcW w:w="242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SMC-100</w:t>
            </w:r>
          </w:p>
        </w:tc>
        <w:tc>
          <w:tcPr>
            <w:tcW w:w="325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视讯业务管理系统服务器</w:t>
            </w:r>
          </w:p>
        </w:tc>
        <w:tc>
          <w:tcPr>
            <w:tcW w:w="242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VP9630</w:t>
            </w:r>
          </w:p>
        </w:tc>
        <w:tc>
          <w:tcPr>
            <w:tcW w:w="325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华为视频会议MCU VP9630</w:t>
            </w:r>
          </w:p>
        </w:tc>
        <w:tc>
          <w:tcPr>
            <w:tcW w:w="242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VPC620</w:t>
            </w:r>
          </w:p>
        </w:tc>
        <w:tc>
          <w:tcPr>
            <w:tcW w:w="325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全高清1080P 60 PTZ摄像机</w:t>
            </w:r>
          </w:p>
        </w:tc>
        <w:tc>
          <w:tcPr>
            <w:tcW w:w="242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VPC620-12X</w:t>
            </w:r>
          </w:p>
        </w:tc>
        <w:tc>
          <w:tcPr>
            <w:tcW w:w="325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全高清1080P 60 PTZ摄像机</w:t>
            </w:r>
          </w:p>
        </w:tc>
        <w:tc>
          <w:tcPr>
            <w:tcW w:w="242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</w:tbl>
    <w:p>
      <w:pPr>
        <w:pStyle w:val="6"/>
        <w:spacing w:before="0" w:after="0" w:line="360" w:lineRule="auto"/>
        <w:jc w:val="left"/>
        <w:rPr>
          <w:rFonts w:hint="eastAsia" w:ascii="宋体" w:hAnsi="宋体" w:eastAsia="宋体"/>
          <w:sz w:val="28"/>
        </w:rPr>
      </w:pPr>
    </w:p>
    <w:p>
      <w:pPr>
        <w:pStyle w:val="6"/>
        <w:spacing w:before="0" w:after="0" w:line="360" w:lineRule="auto"/>
        <w:jc w:val="left"/>
        <w:rPr>
          <w:rFonts w:hint="eastAsia" w:ascii="宋体" w:hAnsi="宋体" w:eastAsia="宋体"/>
          <w:sz w:val="28"/>
        </w:rPr>
      </w:pPr>
      <w:r>
        <w:rPr>
          <w:rFonts w:hint="eastAsia" w:ascii="宋体" w:hAnsi="宋体" w:eastAsia="宋体"/>
          <w:sz w:val="28"/>
          <w:lang w:eastAsia="zh-CN"/>
        </w:rPr>
        <w:t>二</w:t>
      </w:r>
      <w:r>
        <w:rPr>
          <w:rFonts w:ascii="宋体" w:hAnsi="宋体" w:eastAsia="宋体"/>
          <w:sz w:val="28"/>
        </w:rPr>
        <w:t>、技术需求</w:t>
      </w:r>
    </w:p>
    <w:tbl>
      <w:tblPr>
        <w:tblStyle w:val="7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0"/>
        <w:gridCol w:w="5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/>
                <w:b/>
                <w:u w:val="single"/>
              </w:rPr>
            </w:pPr>
            <w:r>
              <w:rPr>
                <w:rFonts w:hint="eastAsia" w:ascii="宋体" w:hAnsi="宋体"/>
                <w:b/>
                <w:u w:val="single"/>
              </w:rPr>
              <w:t>系统服务</w:t>
            </w:r>
          </w:p>
        </w:tc>
        <w:tc>
          <w:tcPr>
            <w:tcW w:w="5016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/>
                <w:b/>
                <w:u w:val="single"/>
              </w:rPr>
            </w:pPr>
            <w:r>
              <w:rPr>
                <w:rFonts w:hint="eastAsia" w:ascii="宋体" w:hAnsi="宋体"/>
                <w:b/>
                <w:u w:val="single"/>
              </w:rPr>
              <w:t>关键业务系统支持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shd w:val="clear" w:color="auto" w:fill="AEAAAA"/>
            <w:vAlign w:val="center"/>
          </w:tcPr>
          <w:p>
            <w:pPr>
              <w:jc w:val="left"/>
              <w:rPr>
                <w:rFonts w:ascii="宋体" w:hAnsi="宋体"/>
                <w:b/>
                <w:u w:val="single"/>
              </w:rPr>
            </w:pPr>
            <w:r>
              <w:rPr>
                <w:rFonts w:hint="eastAsia" w:ascii="宋体" w:hAnsi="宋体"/>
                <w:b/>
                <w:u w:val="single"/>
              </w:rPr>
              <w:t>服务覆盖范围</w:t>
            </w:r>
          </w:p>
        </w:tc>
        <w:tc>
          <w:tcPr>
            <w:tcW w:w="5016" w:type="dxa"/>
            <w:shd w:val="clear" w:color="auto" w:fill="AEAAAA"/>
            <w:vAlign w:val="center"/>
          </w:tcPr>
          <w:p>
            <w:pPr>
              <w:rPr>
                <w:rFonts w:ascii="宋体" w:hAnsi="宋体"/>
                <w:b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软硬件可用性</w:t>
            </w:r>
          </w:p>
        </w:tc>
        <w:tc>
          <w:tcPr>
            <w:tcW w:w="5016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保证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shd w:val="clear" w:color="auto" w:fill="AEAAAA"/>
            <w:vAlign w:val="center"/>
          </w:tcPr>
          <w:p>
            <w:pPr>
              <w:rPr>
                <w:rFonts w:ascii="宋体" w:hAnsi="宋体"/>
                <w:b/>
                <w:u w:val="single"/>
              </w:rPr>
            </w:pPr>
            <w:r>
              <w:rPr>
                <w:rFonts w:hint="eastAsia" w:ascii="宋体" w:hAnsi="宋体"/>
                <w:b/>
                <w:u w:val="single"/>
              </w:rPr>
              <w:t>硬件服务响应</w:t>
            </w:r>
          </w:p>
        </w:tc>
        <w:tc>
          <w:tcPr>
            <w:tcW w:w="5016" w:type="dxa"/>
            <w:shd w:val="clear" w:color="auto" w:fill="AEAAAA"/>
            <w:vAlign w:val="center"/>
          </w:tcPr>
          <w:p>
            <w:pPr>
              <w:rPr>
                <w:rFonts w:ascii="宋体" w:hAnsi="宋体"/>
                <w:b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电话覆盖时间</w:t>
            </w:r>
          </w:p>
        </w:tc>
        <w:tc>
          <w:tcPr>
            <w:tcW w:w="5016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7*24小时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电话响应时间</w:t>
            </w:r>
          </w:p>
        </w:tc>
        <w:tc>
          <w:tcPr>
            <w:tcW w:w="5016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立即响应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能够到达现场的时间</w:t>
            </w:r>
          </w:p>
        </w:tc>
        <w:tc>
          <w:tcPr>
            <w:tcW w:w="5016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7*24小时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从接到通知至到达客户现场时间</w:t>
            </w:r>
          </w:p>
        </w:tc>
        <w:tc>
          <w:tcPr>
            <w:tcW w:w="5016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</w:rPr>
              <w:t>小时内，帮助诊断故障，24小时</w:t>
            </w:r>
            <w:r>
              <w:rPr>
                <w:rFonts w:ascii="宋体" w:hAnsi="宋体"/>
                <w:bCs/>
              </w:rPr>
              <w:t>内</w:t>
            </w:r>
            <w:r>
              <w:rPr>
                <w:rFonts w:hint="eastAsia" w:ascii="宋体" w:hAnsi="宋体"/>
                <w:bCs/>
              </w:rPr>
              <w:t>工程师更换备件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shd w:val="clear" w:color="auto" w:fill="C0C0C0"/>
            <w:vAlign w:val="center"/>
          </w:tcPr>
          <w:p>
            <w:pPr>
              <w:rPr>
                <w:rFonts w:ascii="宋体" w:hAnsi="宋体"/>
                <w:b/>
                <w:u w:val="single"/>
              </w:rPr>
            </w:pPr>
            <w:r>
              <w:rPr>
                <w:rFonts w:hint="eastAsia" w:ascii="宋体" w:hAnsi="宋体"/>
                <w:b/>
                <w:u w:val="single"/>
              </w:rPr>
              <w:t>定期巡检与预防性维护</w:t>
            </w:r>
          </w:p>
        </w:tc>
        <w:tc>
          <w:tcPr>
            <w:tcW w:w="5016" w:type="dxa"/>
            <w:shd w:val="clear" w:color="auto" w:fill="C0C0C0"/>
            <w:vAlign w:val="center"/>
          </w:tcPr>
          <w:p>
            <w:pPr>
              <w:rPr>
                <w:rFonts w:ascii="宋体" w:hAnsi="宋体"/>
                <w:b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硬件定期巡检维护</w:t>
            </w:r>
          </w:p>
        </w:tc>
        <w:tc>
          <w:tcPr>
            <w:tcW w:w="5016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eastAsia="zh-CN"/>
              </w:rPr>
              <w:t>每半年一</w:t>
            </w:r>
            <w:r>
              <w:rPr>
                <w:rFonts w:hint="eastAsia" w:ascii="宋体" w:hAnsi="宋体"/>
                <w:bCs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系统日志日常检查</w:t>
            </w:r>
          </w:p>
        </w:tc>
        <w:tc>
          <w:tcPr>
            <w:tcW w:w="501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工程</w:t>
            </w:r>
            <w:r>
              <w:rPr>
                <w:rFonts w:ascii="宋体" w:hAnsi="宋体"/>
                <w:bCs/>
              </w:rPr>
              <w:t>师</w:t>
            </w:r>
            <w:r>
              <w:rPr>
                <w:rFonts w:hint="eastAsia" w:ascii="宋体" w:hAnsi="宋体"/>
                <w:bCs/>
              </w:rPr>
              <w:t>提供一年不少于</w:t>
            </w:r>
            <w:r>
              <w:rPr>
                <w:rFonts w:hint="eastAsia" w:ascii="宋体" w:hAnsi="宋体"/>
                <w:bCs/>
                <w:lang w:eastAsia="zh-CN"/>
              </w:rPr>
              <w:t>两</w:t>
            </w:r>
            <w:r>
              <w:rPr>
                <w:rFonts w:hint="eastAsia" w:ascii="宋体" w:hAnsi="宋体"/>
                <w:bCs/>
              </w:rPr>
              <w:t>次巡检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系统检查及服务报告</w:t>
            </w:r>
          </w:p>
        </w:tc>
        <w:tc>
          <w:tcPr>
            <w:tcW w:w="5016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提供巡检</w:t>
            </w:r>
            <w:r>
              <w:rPr>
                <w:rFonts w:ascii="宋体" w:hAnsi="宋体"/>
                <w:bCs/>
              </w:rPr>
              <w:t>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重大节日及升级护航</w:t>
            </w:r>
          </w:p>
        </w:tc>
        <w:tc>
          <w:tcPr>
            <w:tcW w:w="5016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提供，每年至少</w:t>
            </w:r>
            <w:r>
              <w:rPr>
                <w:rFonts w:ascii="宋体" w:hAnsi="宋体"/>
                <w:bCs/>
              </w:rPr>
              <w:t>2</w:t>
            </w:r>
            <w:r>
              <w:rPr>
                <w:rFonts w:hint="eastAsia" w:ascii="宋体" w:hAnsi="宋体"/>
                <w:bCs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shd w:val="clear" w:color="auto" w:fill="C0C0C0"/>
            <w:vAlign w:val="center"/>
          </w:tcPr>
          <w:p>
            <w:pPr>
              <w:rPr>
                <w:rFonts w:ascii="宋体" w:hAnsi="宋体"/>
                <w:b/>
                <w:u w:val="single"/>
              </w:rPr>
            </w:pPr>
            <w:r>
              <w:rPr>
                <w:rFonts w:hint="eastAsia" w:ascii="宋体" w:hAnsi="宋体"/>
                <w:b/>
                <w:u w:val="single"/>
              </w:rPr>
              <w:t>备件保证</w:t>
            </w:r>
          </w:p>
        </w:tc>
        <w:tc>
          <w:tcPr>
            <w:tcW w:w="5016" w:type="dxa"/>
            <w:shd w:val="clear" w:color="auto" w:fill="C0C0C0"/>
            <w:vAlign w:val="center"/>
          </w:tcPr>
          <w:p>
            <w:pPr>
              <w:rPr>
                <w:rFonts w:ascii="宋体" w:hAnsi="宋体"/>
                <w:b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备件库</w:t>
            </w:r>
          </w:p>
        </w:tc>
        <w:tc>
          <w:tcPr>
            <w:tcW w:w="5016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本地常用备件及异地整机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备件到货期限</w:t>
            </w:r>
          </w:p>
        </w:tc>
        <w:tc>
          <w:tcPr>
            <w:tcW w:w="5016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故障确定后4小时内，如原厂备件无法到达时，乙方需提供备件先行服务。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备件更换</w:t>
            </w:r>
          </w:p>
        </w:tc>
        <w:tc>
          <w:tcPr>
            <w:tcW w:w="5016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现场更换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更换备件期限</w:t>
            </w:r>
          </w:p>
        </w:tc>
        <w:tc>
          <w:tcPr>
            <w:tcW w:w="501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一般备件到场后2小时内更换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shd w:val="clear" w:color="auto" w:fill="C0C0C0"/>
            <w:vAlign w:val="center"/>
          </w:tcPr>
          <w:p>
            <w:pPr>
              <w:rPr>
                <w:rFonts w:ascii="宋体" w:hAnsi="宋体"/>
                <w:b/>
                <w:u w:val="single"/>
              </w:rPr>
            </w:pPr>
            <w:r>
              <w:rPr>
                <w:rFonts w:hint="eastAsia" w:ascii="宋体" w:hAnsi="宋体"/>
                <w:b/>
                <w:u w:val="single"/>
              </w:rPr>
              <w:t>技术服务</w:t>
            </w:r>
          </w:p>
        </w:tc>
        <w:tc>
          <w:tcPr>
            <w:tcW w:w="5016" w:type="dxa"/>
            <w:shd w:val="clear" w:color="auto" w:fill="C0C0C0"/>
            <w:vAlign w:val="center"/>
          </w:tcPr>
          <w:p>
            <w:pPr>
              <w:rPr>
                <w:rFonts w:ascii="宋体" w:hAnsi="宋体"/>
                <w:b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建立软硬件系统维护服务档案</w:t>
            </w:r>
          </w:p>
        </w:tc>
        <w:tc>
          <w:tcPr>
            <w:tcW w:w="5016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软硬件故障响应</w:t>
            </w:r>
          </w:p>
        </w:tc>
        <w:tc>
          <w:tcPr>
            <w:tcW w:w="5016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立即响应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例会与技术交流</w:t>
            </w:r>
          </w:p>
        </w:tc>
        <w:tc>
          <w:tcPr>
            <w:tcW w:w="5016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系统优化服务</w:t>
            </w:r>
          </w:p>
        </w:tc>
        <w:tc>
          <w:tcPr>
            <w:tcW w:w="501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客户的技术培训</w:t>
            </w:r>
          </w:p>
        </w:tc>
        <w:tc>
          <w:tcPr>
            <w:tcW w:w="501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提供至少</w:t>
            </w:r>
            <w:r>
              <w:rPr>
                <w:rFonts w:ascii="宋体" w:hAnsi="宋体"/>
                <w:bCs/>
              </w:rPr>
              <w:t>2-3人技术培训</w:t>
            </w:r>
            <w:r>
              <w:rPr>
                <w:rFonts w:hint="eastAsia" w:ascii="宋体" w:hAnsi="宋体"/>
                <w:bCs/>
              </w:rPr>
              <w:t>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="宋体" w:hAnsi="宋体"/>
                <w:bCs/>
                <w:lang w:eastAsia="zh-CN"/>
              </w:rPr>
              <w:t>系统安全补丁</w:t>
            </w:r>
          </w:p>
        </w:tc>
        <w:tc>
          <w:tcPr>
            <w:tcW w:w="501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在服务期内，对服务内设备提供补丁的下载服务，可提供包括医院要求的系统安全补丁等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shd w:val="clear" w:color="auto" w:fill="C0C0C0"/>
            <w:vAlign w:val="center"/>
          </w:tcPr>
          <w:p>
            <w:pPr>
              <w:rPr>
                <w:rFonts w:ascii="宋体" w:hAnsi="宋体"/>
                <w:b/>
                <w:u w:val="single"/>
              </w:rPr>
            </w:pPr>
            <w:r>
              <w:rPr>
                <w:rFonts w:hint="eastAsia" w:ascii="宋体" w:hAnsi="宋体"/>
                <w:b/>
                <w:u w:val="single"/>
              </w:rPr>
              <w:t>远程诊断</w:t>
            </w:r>
          </w:p>
        </w:tc>
        <w:tc>
          <w:tcPr>
            <w:tcW w:w="5016" w:type="dxa"/>
            <w:shd w:val="clear" w:color="auto" w:fill="C0C0C0"/>
            <w:vAlign w:val="center"/>
          </w:tcPr>
          <w:p>
            <w:pPr>
              <w:rPr>
                <w:rFonts w:ascii="宋体" w:hAnsi="宋体"/>
                <w:b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远程故障解决</w:t>
            </w:r>
          </w:p>
        </w:tc>
        <w:tc>
          <w:tcPr>
            <w:tcW w:w="5016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远程系统性能监控</w:t>
            </w:r>
          </w:p>
        </w:tc>
        <w:tc>
          <w:tcPr>
            <w:tcW w:w="5016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提供</w:t>
            </w:r>
          </w:p>
        </w:tc>
      </w:tr>
    </w:tbl>
    <w:p>
      <w:pPr>
        <w:rPr>
          <w:rFonts w:hint="eastAsia" w:ascii="宋体" w:hAnsi="宋体"/>
          <w:sz w:val="28"/>
        </w:rPr>
      </w:pPr>
      <w:bookmarkStart w:id="0" w:name="_Toc487548014"/>
    </w:p>
    <w:p>
      <w:pPr>
        <w:rPr>
          <w:rFonts w:hint="eastAsia" w:ascii="宋体" w:hAnsi="宋体"/>
          <w:sz w:val="28"/>
        </w:rPr>
      </w:pPr>
    </w:p>
    <w:p>
      <w:pPr>
        <w:rPr>
          <w:rFonts w:hint="eastAsia" w:ascii="宋体" w:hAnsi="宋体"/>
          <w:sz w:val="28"/>
        </w:rPr>
      </w:pPr>
    </w:p>
    <w:p>
      <w:pPr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故障级别定义</w:t>
      </w:r>
      <w:bookmarkEnd w:id="0"/>
    </w:p>
    <w:p>
      <w:pPr>
        <w:rPr>
          <w:rFonts w:ascii="宋体" w:hAnsi="宋体"/>
        </w:rPr>
      </w:pPr>
      <w:r>
        <w:rPr>
          <w:rFonts w:hint="eastAsia" w:ascii="宋体" w:hAnsi="宋体"/>
        </w:rPr>
        <w:t>按照IT业界的标准，对故障进行细化分类，针对每一类故障承诺故障处理时间。</w:t>
      </w:r>
    </w:p>
    <w:tbl>
      <w:tblPr>
        <w:tblStyle w:val="7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196"/>
        <w:gridCol w:w="1566"/>
        <w:gridCol w:w="4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1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bookmarkStart w:id="1" w:name="_Toc55738774"/>
            <w:r>
              <w:rPr>
                <w:rFonts w:hint="eastAsia" w:ascii="宋体" w:hAnsi="宋体"/>
                <w:b/>
              </w:rPr>
              <w:t>故障级别</w:t>
            </w:r>
          </w:p>
        </w:tc>
        <w:tc>
          <w:tcPr>
            <w:tcW w:w="119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服务时间</w:t>
            </w:r>
          </w:p>
        </w:tc>
        <w:tc>
          <w:tcPr>
            <w:tcW w:w="156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现场响应时间</w:t>
            </w:r>
          </w:p>
        </w:tc>
        <w:tc>
          <w:tcPr>
            <w:tcW w:w="432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紧急程度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红色故障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（一级）</w:t>
            </w:r>
          </w:p>
        </w:tc>
        <w:tc>
          <w:tcPr>
            <w:tcW w:w="119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7*24小时</w:t>
            </w:r>
          </w:p>
        </w:tc>
        <w:tc>
          <w:tcPr>
            <w:tcW w:w="156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</w:rPr>
              <w:t>小时</w:t>
            </w:r>
          </w:p>
        </w:tc>
        <w:tc>
          <w:tcPr>
            <w:tcW w:w="432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紧急问题；设备及系统故障导致系统停止运行、数据丢失等。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橙色故障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（二级）</w:t>
            </w:r>
          </w:p>
        </w:tc>
        <w:tc>
          <w:tcPr>
            <w:tcW w:w="119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7*24小时</w:t>
            </w:r>
          </w:p>
        </w:tc>
        <w:tc>
          <w:tcPr>
            <w:tcW w:w="156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</w:rPr>
              <w:t>小时</w:t>
            </w:r>
          </w:p>
        </w:tc>
        <w:tc>
          <w:tcPr>
            <w:tcW w:w="432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严重问题；设备及系统部分不见或功能实效、性能下降但不影响正常业务运作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黄色故障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（三级）</w:t>
            </w:r>
          </w:p>
        </w:tc>
        <w:tc>
          <w:tcPr>
            <w:tcW w:w="119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7*24小时</w:t>
            </w:r>
          </w:p>
        </w:tc>
        <w:tc>
          <w:tcPr>
            <w:tcW w:w="156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</w:t>
            </w:r>
            <w:r>
              <w:rPr>
                <w:rFonts w:hint="eastAsia" w:ascii="宋体" w:hAnsi="宋体"/>
              </w:rPr>
              <w:t>小时</w:t>
            </w:r>
          </w:p>
        </w:tc>
        <w:tc>
          <w:tcPr>
            <w:tcW w:w="432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较严重问题；设备及系统能继续运行且性能不受影响，单出现报错，存在较大安全隐患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蓝色故障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（四级）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7*24小时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24小时</w:t>
            </w:r>
          </w:p>
        </w:tc>
        <w:tc>
          <w:tcPr>
            <w:tcW w:w="4324" w:type="dxa"/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普通问题；设备及系统技术功能、安装或配置等事前测试和准备，或其他显然不影响业务的预约服务</w:t>
            </w:r>
          </w:p>
        </w:tc>
      </w:tr>
      <w:bookmarkEnd w:id="1"/>
    </w:tbl>
    <w:p>
      <w:pPr>
        <w:rPr>
          <w:rFonts w:ascii="宋体" w:hAnsi="宋体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4B"/>
    <w:rsid w:val="000836EA"/>
    <w:rsid w:val="00155591"/>
    <w:rsid w:val="002F6CCD"/>
    <w:rsid w:val="003A5AE6"/>
    <w:rsid w:val="005204A1"/>
    <w:rsid w:val="008029A8"/>
    <w:rsid w:val="008F53CB"/>
    <w:rsid w:val="00904D4B"/>
    <w:rsid w:val="00A445CF"/>
    <w:rsid w:val="00AF02E6"/>
    <w:rsid w:val="00C96F96"/>
    <w:rsid w:val="00E1191A"/>
    <w:rsid w:val="00E12072"/>
    <w:rsid w:val="00F14BB8"/>
    <w:rsid w:val="0ADA7947"/>
    <w:rsid w:val="0F8518E6"/>
    <w:rsid w:val="3D853732"/>
    <w:rsid w:val="3F51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qFormat/>
    <w:uiPriority w:val="0"/>
    <w:pPr>
      <w:tabs>
        <w:tab w:val="center" w:pos="1440"/>
        <w:tab w:val="left" w:pos="5720"/>
      </w:tabs>
      <w:suppressAutoHyphens/>
      <w:spacing w:line="360" w:lineRule="auto"/>
      <w:jc w:val="left"/>
    </w:pPr>
    <w:rPr>
      <w:rFonts w:ascii="宋体" w:hAnsi="宋体"/>
      <w:kern w:val="1"/>
      <w:sz w:val="24"/>
      <w:lang w:eastAsia="ar-SA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3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Theme="minorEastAsia"/>
      <w:b/>
      <w:bCs/>
      <w:kern w:val="28"/>
      <w:sz w:val="32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标题 1 字符"/>
    <w:basedOn w:val="9"/>
    <w:link w:val="3"/>
    <w:qFormat/>
    <w:uiPriority w:val="0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13">
    <w:name w:val="副标题 Char"/>
    <w:link w:val="6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4">
    <w:name w:val="副标题 字符"/>
    <w:basedOn w:val="9"/>
    <w:qFormat/>
    <w:uiPriority w:val="11"/>
    <w:rPr>
      <w:b/>
      <w:bCs/>
      <w:kern w:val="28"/>
      <w:sz w:val="32"/>
      <w:szCs w:val="32"/>
    </w:rPr>
  </w:style>
  <w:style w:type="paragraph" w:styleId="15">
    <w:name w:val="List Paragraph"/>
    <w:basedOn w:val="1"/>
    <w:link w:val="16"/>
    <w:qFormat/>
    <w:uiPriority w:val="34"/>
    <w:pPr>
      <w:ind w:firstLine="420" w:firstLineChars="200"/>
    </w:pPr>
    <w:rPr>
      <w:rFonts w:ascii="Calibri" w:hAnsi="Calibri"/>
      <w:szCs w:val="22"/>
      <w:lang w:val="zh-CN" w:eastAsia="zh-CN"/>
    </w:rPr>
  </w:style>
  <w:style w:type="character" w:customStyle="1" w:styleId="16">
    <w:name w:val="列出段落 Char"/>
    <w:link w:val="15"/>
    <w:qFormat/>
    <w:locked/>
    <w:uiPriority w:val="34"/>
    <w:rPr>
      <w:rFonts w:ascii="Calibri" w:hAnsi="Calibri" w:eastAsia="宋体" w:cs="Times New Roman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405</Words>
  <Characters>2312</Characters>
  <Lines>19</Lines>
  <Paragraphs>5</Paragraphs>
  <TotalTime>6</TotalTime>
  <ScaleCrop>false</ScaleCrop>
  <LinksUpToDate>false</LinksUpToDate>
  <CharactersWithSpaces>2712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2021-11-24T04:53:00Z</dcterms:created>
  <dc:creator>Yelang</dc:creator>
  <cp:lastModifiedBy>Administrator</cp:lastModifiedBy>
  <dcterms:modified xsi:type="dcterms:W3CDTF">2022-01-23T04:11:01Z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