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货物需求一览表及技术规格</w:t>
      </w:r>
    </w:p>
    <w:p>
      <w:pPr>
        <w:ind w:left="424" w:leftChars="202"/>
        <w:rPr>
          <w:rFonts w:asciiTheme="majorEastAsia" w:hAnsiTheme="majorEastAsia" w:eastAsiaTheme="majorEastAsia"/>
          <w:szCs w:val="21"/>
        </w:rPr>
      </w:pPr>
      <w:r>
        <w:rPr>
          <w:rFonts w:hint="eastAsia" w:ascii="仿宋_GB2312" w:hAnsi="华文细黑" w:eastAsia="仿宋_GB2312"/>
          <w:b/>
          <w:sz w:val="24"/>
        </w:rPr>
        <w:t>数量：</w:t>
      </w:r>
      <w:r>
        <w:rPr>
          <w:rFonts w:hint="eastAsia" w:asciiTheme="majorEastAsia" w:hAnsiTheme="majorEastAsia" w:eastAsiaTheme="majorEastAsia"/>
          <w:szCs w:val="21"/>
        </w:rPr>
        <w:t>1台UPS主机及电池组</w:t>
      </w:r>
    </w:p>
    <w:p>
      <w:pPr>
        <w:ind w:left="424" w:leftChars="202"/>
        <w:rPr>
          <w:rFonts w:ascii="仿宋_GB2312" w:hAnsi="华文细黑" w:eastAsia="仿宋_GB2312"/>
          <w:b/>
          <w:sz w:val="24"/>
        </w:rPr>
      </w:pPr>
      <w:r>
        <w:rPr>
          <w:rFonts w:hint="eastAsia" w:ascii="仿宋_GB2312" w:hAnsi="华文细黑" w:eastAsia="仿宋_GB2312"/>
          <w:b/>
          <w:sz w:val="24"/>
        </w:rPr>
        <w:t>交货期：签订合同后三个月内</w:t>
      </w:r>
    </w:p>
    <w:p>
      <w:pPr>
        <w:ind w:left="424" w:leftChars="202"/>
        <w:rPr>
          <w:rFonts w:ascii="仿宋_GB2312" w:hAnsi="华文细黑" w:eastAsia="仿宋_GB2312"/>
          <w:b/>
          <w:sz w:val="24"/>
        </w:rPr>
      </w:pPr>
      <w:r>
        <w:rPr>
          <w:rFonts w:hint="eastAsia" w:ascii="仿宋_GB2312" w:hAnsi="华文细黑" w:eastAsia="仿宋_GB2312"/>
          <w:b/>
          <w:sz w:val="24"/>
        </w:rPr>
        <w:t>交货地点：北京清华长庚医院</w:t>
      </w:r>
    </w:p>
    <w:tbl>
      <w:tblPr>
        <w:tblStyle w:val="25"/>
        <w:tblW w:w="82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99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招标要求条目号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招标规格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一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设备名称：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 w:eastAsiaTheme="majorEastAsia"/>
                <w:color w:val="000000"/>
                <w:kern w:val="0"/>
                <w:szCs w:val="21"/>
              </w:rPr>
              <w:t>100KVA UPS系统一套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二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数量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UPS主机一台，12V120AH电池64块，Y</w:t>
            </w:r>
            <w:r>
              <w:rPr>
                <w:rFonts w:asciiTheme="majorEastAsia" w:hAnsiTheme="majorEastAsia" w:eastAsiaTheme="majorEastAsia"/>
                <w:szCs w:val="21"/>
              </w:rPr>
              <w:t>JV4*150mm</w:t>
            </w:r>
            <w:r>
              <w:rPr>
                <w:rFonts w:asciiTheme="majorEastAsia" w:hAnsiTheme="majorEastAsia" w:eastAsiaTheme="majorEastAsia"/>
                <w:szCs w:val="21"/>
                <w:vertAlign w:val="superscript"/>
              </w:rPr>
              <w:t>2</w:t>
            </w:r>
            <w:r>
              <w:rPr>
                <w:rFonts w:asciiTheme="majorEastAsia" w:hAnsiTheme="majorEastAsia" w:eastAsiaTheme="majorEastAsia"/>
                <w:szCs w:val="21"/>
              </w:rPr>
              <w:t>+1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电缆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30米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，Y</w:t>
            </w:r>
            <w:r>
              <w:rPr>
                <w:rFonts w:asciiTheme="majorEastAsia" w:hAnsiTheme="majorEastAsia" w:eastAsiaTheme="majorEastAsia"/>
                <w:szCs w:val="21"/>
              </w:rPr>
              <w:t>JV4*70mm</w:t>
            </w:r>
            <w:r>
              <w:rPr>
                <w:rFonts w:asciiTheme="majorEastAsia" w:hAnsiTheme="majorEastAsia" w:eastAsiaTheme="majorEastAsia"/>
                <w:szCs w:val="21"/>
                <w:vertAlign w:val="superscript"/>
              </w:rPr>
              <w:t>2</w:t>
            </w:r>
            <w:r>
              <w:rPr>
                <w:rFonts w:asciiTheme="majorEastAsia" w:hAnsiTheme="majorEastAsia" w:eastAsiaTheme="majorEastAsia"/>
                <w:szCs w:val="21"/>
              </w:rPr>
              <w:t>+1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电缆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70米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三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用途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用途：配备 UPS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可以避免因电网的干扰和杂讯导致仪器 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内部精密部件的损坏，对延长仪器的寿命有很大帮助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四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主要组成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2"/>
              <w:widowControl/>
              <w:spacing w:beforeAutospacing="0" w:afterAutospacing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UPS主机、电池组、电池架、UPS专用配电箱、动力线缆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五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投标资质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建筑智能化二级或能提供制造商六个月内有效代理证书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六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技术规格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7579" w:type="dxa"/>
            <w:gridSpan w:val="2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UPS系统技术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napToGrid w:val="0"/>
                <w:szCs w:val="21"/>
              </w:rPr>
              <w:t>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输入方式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三相四线</w:t>
            </w:r>
            <w:r>
              <w:rPr>
                <w:rFonts w:ascii="宋体" w:hAnsi="宋体"/>
                <w:kern w:val="0"/>
              </w:rPr>
              <w:t>+</w:t>
            </w:r>
            <w:r>
              <w:rPr>
                <w:rFonts w:hint="eastAsia" w:ascii="宋体" w:hAnsi="宋体"/>
                <w:kern w:val="0"/>
              </w:rPr>
              <w:t>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额定电压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380/400/415Vac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电压范围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13</w:t>
            </w:r>
            <w:r>
              <w:rPr>
                <w:rFonts w:hint="eastAsia" w:ascii="宋体" w:hAnsi="宋体"/>
                <w:kern w:val="0"/>
              </w:rPr>
              <w:t>8</w:t>
            </w:r>
            <w:r>
              <w:rPr>
                <w:rFonts w:ascii="宋体" w:hAnsi="宋体"/>
                <w:kern w:val="0"/>
              </w:rPr>
              <w:t>～485Vac；305～485Vac不降额，13</w:t>
            </w:r>
            <w:r>
              <w:rPr>
                <w:rFonts w:hint="eastAsia" w:ascii="宋体" w:hAnsi="宋体"/>
                <w:kern w:val="0"/>
              </w:rPr>
              <w:t>8</w:t>
            </w:r>
            <w:r>
              <w:rPr>
                <w:rFonts w:ascii="宋体" w:hAnsi="宋体"/>
                <w:kern w:val="0"/>
              </w:rPr>
              <w:t>～305Vac线性降额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频率范围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40~70Hz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功率因数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</w:t>
            </w:r>
            <w:r>
              <w:rPr>
                <w:rFonts w:ascii="宋体" w:hAnsi="宋体"/>
                <w:kern w:val="0"/>
              </w:rPr>
              <w:t>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输入电流谐波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.5%(100</w:t>
            </w:r>
            <w:r>
              <w:rPr>
                <w:rFonts w:hint="eastAsia" w:ascii="宋体" w:hAnsi="宋体"/>
                <w:kern w:val="0"/>
              </w:rPr>
              <w:t>％非线性负载</w:t>
            </w:r>
            <w:r>
              <w:rPr>
                <w:rFonts w:ascii="宋体" w:hAnsi="宋体"/>
                <w:kern w:val="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旁路范围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旁路保护电压上限：</w:t>
            </w:r>
            <w:r>
              <w:rPr>
                <w:rFonts w:ascii="宋体" w:hAnsi="宋体"/>
                <w:kern w:val="0"/>
              </w:rPr>
              <w:t>220V</w:t>
            </w:r>
            <w:r>
              <w:rPr>
                <w:rFonts w:hint="eastAsia" w:ascii="宋体" w:hAnsi="宋体"/>
                <w:kern w:val="0"/>
              </w:rPr>
              <w:t>：</w:t>
            </w:r>
            <w:r>
              <w:rPr>
                <w:rFonts w:hint="eastAsia" w:ascii="宋体" w:hAnsi="宋体" w:cs="宋体"/>
                <w:kern w:val="0"/>
              </w:rPr>
              <w:t>﹢</w:t>
            </w:r>
            <w:r>
              <w:rPr>
                <w:rFonts w:ascii="宋体" w:hAnsi="宋体"/>
                <w:kern w:val="0"/>
              </w:rPr>
              <w:t>25%</w:t>
            </w:r>
            <w:r>
              <w:rPr>
                <w:rFonts w:hint="eastAsia" w:ascii="宋体" w:hAnsi="宋体"/>
                <w:kern w:val="0"/>
              </w:rPr>
              <w:t>（可选</w:t>
            </w:r>
            <w:r>
              <w:rPr>
                <w:rFonts w:hint="eastAsia" w:ascii="宋体" w:hAnsi="宋体" w:cs="宋体"/>
                <w:kern w:val="0"/>
              </w:rPr>
              <w:t>﹢</w:t>
            </w:r>
            <w:r>
              <w:rPr>
                <w:rFonts w:ascii="宋体" w:hAnsi="宋体"/>
                <w:kern w:val="0"/>
              </w:rPr>
              <w:t>10%</w:t>
            </w:r>
            <w:r>
              <w:rPr>
                <w:rFonts w:hint="eastAsia" w:ascii="宋体" w:hAnsi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</w:rPr>
              <w:t>﹢</w:t>
            </w:r>
            <w:r>
              <w:rPr>
                <w:rFonts w:ascii="宋体" w:hAnsi="宋体"/>
                <w:kern w:val="0"/>
              </w:rPr>
              <w:t>15%</w:t>
            </w:r>
            <w:r>
              <w:rPr>
                <w:rFonts w:hint="eastAsia" w:ascii="宋体" w:hAnsi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</w:rPr>
              <w:t>﹢</w:t>
            </w:r>
            <w:r>
              <w:rPr>
                <w:rFonts w:ascii="宋体" w:hAnsi="宋体"/>
                <w:kern w:val="0"/>
              </w:rPr>
              <w:t>20%</w:t>
            </w:r>
            <w:r>
              <w:rPr>
                <w:rFonts w:hint="eastAsia" w:ascii="宋体" w:hAnsi="宋体"/>
                <w:kern w:val="0"/>
              </w:rPr>
              <w:t>）；</w:t>
            </w:r>
          </w:p>
          <w:p>
            <w:pPr>
              <w:widowControl/>
              <w:jc w:val="left"/>
              <w:rPr>
                <w:rFonts w:ascii="宋体" w:hAnsi="宋体" w:eastAsiaTheme="minorEastAsia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    </w:t>
            </w:r>
            <w:r>
              <w:rPr>
                <w:rFonts w:hint="eastAsia" w:ascii="宋体" w:hAnsi="宋体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>230V</w:t>
            </w:r>
            <w:r>
              <w:rPr>
                <w:rFonts w:hint="eastAsia" w:ascii="宋体" w:hAnsi="宋体"/>
                <w:kern w:val="0"/>
              </w:rPr>
              <w:t>：</w:t>
            </w:r>
            <w:r>
              <w:rPr>
                <w:rFonts w:hint="eastAsia" w:ascii="宋体" w:hAnsi="宋体" w:cs="宋体"/>
                <w:kern w:val="0"/>
              </w:rPr>
              <w:t>﹢</w:t>
            </w:r>
            <w:r>
              <w:rPr>
                <w:rFonts w:ascii="宋体" w:hAnsi="宋体"/>
                <w:kern w:val="0"/>
              </w:rPr>
              <w:t>20%</w:t>
            </w:r>
            <w:r>
              <w:rPr>
                <w:rFonts w:hint="eastAsia" w:ascii="宋体" w:hAnsi="宋体"/>
                <w:kern w:val="0"/>
              </w:rPr>
              <w:t>（可选</w:t>
            </w:r>
            <w:r>
              <w:rPr>
                <w:rFonts w:hint="eastAsia" w:ascii="宋体" w:hAnsi="宋体" w:cs="宋体"/>
                <w:kern w:val="0"/>
              </w:rPr>
              <w:t>﹢</w:t>
            </w:r>
            <w:r>
              <w:rPr>
                <w:rFonts w:ascii="宋体" w:hAnsi="宋体"/>
                <w:kern w:val="0"/>
              </w:rPr>
              <w:t>10%</w:t>
            </w:r>
            <w:r>
              <w:rPr>
                <w:rFonts w:hint="eastAsia" w:ascii="宋体" w:hAnsi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</w:rPr>
              <w:t>﹢</w:t>
            </w:r>
            <w:r>
              <w:rPr>
                <w:rFonts w:ascii="宋体" w:hAnsi="宋体"/>
                <w:kern w:val="0"/>
              </w:rPr>
              <w:t>15%</w:t>
            </w:r>
            <w:r>
              <w:rPr>
                <w:rFonts w:hint="eastAsia" w:ascii="宋体" w:hAnsi="宋体"/>
                <w:kern w:val="0"/>
              </w:rPr>
              <w:t>）；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240V</w:t>
            </w:r>
            <w:r>
              <w:rPr>
                <w:rFonts w:hint="eastAsia" w:ascii="宋体" w:hAnsi="宋体"/>
                <w:kern w:val="0"/>
              </w:rPr>
              <w:t>：</w:t>
            </w:r>
            <w:r>
              <w:rPr>
                <w:rFonts w:hint="eastAsia" w:ascii="宋体" w:hAnsi="宋体" w:cs="宋体"/>
                <w:kern w:val="0"/>
              </w:rPr>
              <w:t>﹢</w:t>
            </w:r>
            <w:r>
              <w:rPr>
                <w:rFonts w:ascii="宋体" w:hAnsi="宋体"/>
                <w:kern w:val="0"/>
              </w:rPr>
              <w:t>15%</w:t>
            </w:r>
            <w:r>
              <w:rPr>
                <w:rFonts w:hint="eastAsia" w:ascii="宋体" w:hAnsi="宋体"/>
                <w:kern w:val="0"/>
              </w:rPr>
              <w:t>（可选</w:t>
            </w:r>
            <w:r>
              <w:rPr>
                <w:rFonts w:hint="eastAsia" w:ascii="宋体" w:hAnsi="宋体" w:cs="宋体"/>
                <w:kern w:val="0"/>
              </w:rPr>
              <w:t>﹢</w:t>
            </w:r>
            <w:r>
              <w:rPr>
                <w:rFonts w:ascii="宋体" w:hAnsi="宋体"/>
                <w:kern w:val="0"/>
              </w:rPr>
              <w:t>10%</w:t>
            </w:r>
            <w:r>
              <w:rPr>
                <w:rFonts w:hint="eastAsia" w:ascii="宋体" w:hAnsi="宋体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旁路保护电压下限：</w:t>
            </w:r>
            <w:r>
              <w:rPr>
                <w:rFonts w:ascii="宋体" w:hAnsi="宋体"/>
                <w:kern w:val="0"/>
              </w:rPr>
              <w:t>-45%(</w:t>
            </w:r>
            <w:r>
              <w:rPr>
                <w:rFonts w:hint="eastAsia" w:ascii="宋体" w:hAnsi="宋体"/>
                <w:kern w:val="0"/>
              </w:rPr>
              <w:t>可选-10%、</w:t>
            </w:r>
            <w:r>
              <w:rPr>
                <w:rFonts w:ascii="宋体" w:hAnsi="宋体"/>
                <w:kern w:val="0"/>
              </w:rPr>
              <w:t>-20%</w:t>
            </w:r>
            <w:r>
              <w:rPr>
                <w:rFonts w:hint="eastAsia" w:ascii="宋体" w:hAnsi="宋体"/>
                <w:kern w:val="0"/>
              </w:rPr>
              <w:t>、</w:t>
            </w:r>
            <w:r>
              <w:rPr>
                <w:rFonts w:ascii="宋体" w:hAnsi="宋体"/>
                <w:kern w:val="0"/>
              </w:rPr>
              <w:t>-30%)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旁路频率保护范围：</w:t>
            </w:r>
            <w:r>
              <w:rPr>
                <w:rFonts w:ascii="宋体" w:hAnsi="宋体"/>
                <w:kern w:val="0"/>
              </w:rPr>
              <w:t>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1.2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napToGrid w:val="0"/>
                <w:szCs w:val="21"/>
              </w:rPr>
              <w:t>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输出方式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三相四线</w:t>
            </w:r>
            <w:r>
              <w:rPr>
                <w:rFonts w:ascii="宋体" w:hAnsi="宋体"/>
                <w:kern w:val="0"/>
              </w:rPr>
              <w:t>+</w:t>
            </w:r>
            <w:r>
              <w:rPr>
                <w:rFonts w:hint="eastAsia" w:ascii="宋体" w:hAnsi="宋体"/>
                <w:kern w:val="0"/>
              </w:rPr>
              <w:t>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额定电压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380/400/415Vac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功率因数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电压精度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输出频率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市电模式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与输入同步；当市电频率超出最大</w:t>
            </w:r>
            <w:r>
              <w:rPr>
                <w:rFonts w:ascii="宋体" w:hAnsi="宋体"/>
                <w:kern w:val="0"/>
              </w:rPr>
              <w:t>±10%</w:t>
            </w:r>
            <w:r>
              <w:rPr>
                <w:rFonts w:hint="eastAsia" w:ascii="宋体" w:hAnsi="宋体"/>
                <w:kern w:val="0"/>
              </w:rPr>
              <w:t>（可设置</w:t>
            </w:r>
            <w:r>
              <w:rPr>
                <w:rFonts w:ascii="宋体" w:hAnsi="宋体"/>
                <w:kern w:val="0"/>
              </w:rPr>
              <w:t>±1%</w:t>
            </w:r>
            <w:r>
              <w:rPr>
                <w:rFonts w:hint="eastAsia" w:ascii="宋体" w:hAnsi="宋体"/>
                <w:kern w:val="0"/>
              </w:rPr>
              <w:t>、</w:t>
            </w:r>
            <w:r>
              <w:rPr>
                <w:rFonts w:ascii="宋体" w:hAnsi="宋体"/>
                <w:kern w:val="0"/>
              </w:rPr>
              <w:t>±2%</w:t>
            </w:r>
            <w:r>
              <w:rPr>
                <w:rFonts w:hint="eastAsia" w:ascii="宋体" w:hAnsi="宋体"/>
                <w:kern w:val="0"/>
              </w:rPr>
              <w:t>、</w:t>
            </w:r>
            <w:r>
              <w:rPr>
                <w:rFonts w:ascii="宋体" w:hAnsi="宋体"/>
                <w:kern w:val="0"/>
              </w:rPr>
              <w:t>±4%</w:t>
            </w:r>
            <w:r>
              <w:rPr>
                <w:rFonts w:hint="eastAsia" w:ascii="宋体" w:hAnsi="宋体"/>
                <w:kern w:val="0"/>
              </w:rPr>
              <w:t>、</w:t>
            </w:r>
            <w:r>
              <w:rPr>
                <w:rFonts w:ascii="宋体" w:hAnsi="宋体"/>
                <w:kern w:val="0"/>
              </w:rPr>
              <w:t>±5%</w:t>
            </w:r>
            <w:r>
              <w:rPr>
                <w:rFonts w:hint="eastAsia" w:ascii="宋体" w:hAnsi="宋体"/>
                <w:kern w:val="0"/>
              </w:rPr>
              <w:t>）时，输出频率</w:t>
            </w:r>
            <w:r>
              <w:rPr>
                <w:rFonts w:ascii="宋体" w:hAnsi="宋体"/>
                <w:kern w:val="0"/>
              </w:rPr>
              <w:t>(50/60±0.</w:t>
            </w: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%)Hz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电池模式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(50/60±0.</w:t>
            </w: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%)Hz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负载峰值比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输出电压失真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≤1</w:t>
            </w:r>
            <w:r>
              <w:rPr>
                <w:rFonts w:ascii="宋体" w:hAnsi="宋体"/>
                <w:kern w:val="0"/>
              </w:rPr>
              <w:t xml:space="preserve">% </w:t>
            </w:r>
            <w:r>
              <w:rPr>
                <w:rFonts w:hint="eastAsia" w:ascii="宋体" w:hAnsi="宋体"/>
                <w:kern w:val="0"/>
              </w:rPr>
              <w:t>线性负载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≤2</w:t>
            </w:r>
            <w:r>
              <w:rPr>
                <w:rFonts w:ascii="宋体" w:hAnsi="宋体"/>
                <w:kern w:val="0"/>
              </w:rPr>
              <w:t xml:space="preserve">.5% </w:t>
            </w:r>
            <w:r>
              <w:rPr>
                <w:rFonts w:hint="eastAsia" w:ascii="宋体" w:hAnsi="宋体"/>
                <w:kern w:val="0"/>
              </w:rPr>
              <w:t>非线性负载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1.3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napToGrid w:val="0"/>
                <w:szCs w:val="21"/>
              </w:rPr>
              <w:t>效率：</w:t>
            </w:r>
            <w:r>
              <w:rPr>
                <w:rFonts w:hint="eastAsia" w:ascii="宋体" w:hAnsi="宋体"/>
                <w:kern w:val="0"/>
              </w:rPr>
              <w:t>正常模式：95.</w:t>
            </w:r>
            <w:r>
              <w:rPr>
                <w:rFonts w:ascii="宋体" w:hAnsi="宋体"/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1.4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ajorEastAsia" w:hAnsiTheme="majorEastAsia"/>
                <w:b/>
                <w:snapToGrid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napToGrid w:val="0"/>
                <w:szCs w:val="21"/>
              </w:rPr>
              <w:t>电池：</w:t>
            </w:r>
            <w:r>
              <w:rPr>
                <w:rFonts w:hint="eastAsia" w:ascii="宋体" w:hAnsi="宋体"/>
                <w:kern w:val="0"/>
              </w:rPr>
              <w:t>电池电压可调范围：</w:t>
            </w:r>
            <w:r>
              <w:rPr>
                <w:rFonts w:ascii="宋体" w:hAnsi="宋体"/>
                <w:kern w:val="0"/>
              </w:rPr>
              <w:t>±180V-±300V</w:t>
            </w:r>
            <w:r>
              <w:rPr>
                <w:rFonts w:hint="eastAsia" w:ascii="宋体" w:hAnsi="宋体"/>
                <w:kern w:val="0"/>
              </w:rPr>
              <w:t>；充电电流：20</w:t>
            </w:r>
            <w:r>
              <w:rPr>
                <w:rFonts w:ascii="宋体" w:hAnsi="宋体"/>
                <w:kern w:val="0"/>
              </w:rPr>
              <w:t>A max</w:t>
            </w:r>
            <w:r>
              <w:rPr>
                <w:rFonts w:hint="eastAsia" w:ascii="宋体" w:hAnsi="宋体"/>
                <w:kern w:val="0"/>
              </w:rPr>
              <w:t>；配套蓄电池与U</w:t>
            </w:r>
            <w:r>
              <w:rPr>
                <w:rFonts w:ascii="宋体" w:hAnsi="宋体"/>
                <w:kern w:val="0"/>
              </w:rPr>
              <w:t>PS</w:t>
            </w:r>
            <w:r>
              <w:rPr>
                <w:rFonts w:hint="eastAsia" w:ascii="宋体" w:hAnsi="宋体"/>
                <w:kern w:val="0"/>
              </w:rPr>
              <w:t>主机为同一品牌，不接受蓄电池为O</w:t>
            </w:r>
            <w:r>
              <w:rPr>
                <w:rFonts w:ascii="宋体" w:hAnsi="宋体"/>
                <w:kern w:val="0"/>
              </w:rPr>
              <w:t>EM</w:t>
            </w:r>
            <w:r>
              <w:rPr>
                <w:rFonts w:hint="eastAsia" w:ascii="宋体" w:hAnsi="宋体"/>
                <w:kern w:val="0"/>
              </w:rPr>
              <w:t>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1.5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ajorEastAsia" w:hAnsiTheme="majorEastAsia"/>
                <w:b/>
                <w:snapToGrid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切换时间：</w:t>
            </w:r>
            <w:r>
              <w:rPr>
                <w:rFonts w:hint="eastAsia" w:ascii="宋体" w:hAnsi="宋体"/>
                <w:kern w:val="0"/>
              </w:rPr>
              <w:t>市电模式转旁路模式</w:t>
            </w:r>
            <w:r>
              <w:rPr>
                <w:rFonts w:ascii="宋体" w:hAnsi="宋体"/>
                <w:kern w:val="0"/>
              </w:rPr>
              <w:t>: 0ms(</w:t>
            </w:r>
            <w:r>
              <w:rPr>
                <w:rFonts w:hint="eastAsia" w:ascii="宋体" w:hAnsi="宋体"/>
                <w:kern w:val="0"/>
              </w:rPr>
              <w:t>跟踪</w:t>
            </w:r>
            <w:r>
              <w:rPr>
                <w:rFonts w:ascii="宋体" w:hAnsi="宋体"/>
                <w:kern w:val="0"/>
              </w:rPr>
              <w:t>)</w:t>
            </w:r>
            <w:r>
              <w:rPr>
                <w:rFonts w:hint="eastAsia" w:ascii="宋体" w:hAnsi="宋体"/>
                <w:kern w:val="0"/>
              </w:rPr>
              <w:t>；市电模式转电池模式</w:t>
            </w:r>
            <w:r>
              <w:rPr>
                <w:rFonts w:ascii="宋体" w:hAnsi="宋体"/>
                <w:kern w:val="0"/>
              </w:rPr>
              <w:t xml:space="preserve">:0ms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1.6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napToGrid w:val="0"/>
                <w:szCs w:val="21"/>
              </w:rPr>
              <w:t>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过载能力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ajorEastAsia" w:hAnsiTheme="majorEastAsia"/>
                <w:b/>
                <w:snapToGrid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正常模式：负载≤</w:t>
            </w:r>
            <w:r>
              <w:rPr>
                <w:rFonts w:ascii="宋体" w:hAnsi="宋体"/>
                <w:kern w:val="0"/>
              </w:rPr>
              <w:t>110%</w:t>
            </w:r>
            <w:r>
              <w:rPr>
                <w:rFonts w:hint="eastAsia" w:ascii="宋体" w:hAnsi="宋体"/>
                <w:kern w:val="0"/>
              </w:rPr>
              <w:t>,</w:t>
            </w:r>
            <w:r>
              <w:rPr>
                <w:rFonts w:ascii="宋体" w:hAnsi="宋体"/>
                <w:kern w:val="0"/>
              </w:rPr>
              <w:t>60min</w:t>
            </w:r>
            <w:r>
              <w:rPr>
                <w:rFonts w:hint="eastAsia" w:ascii="宋体" w:hAnsi="宋体"/>
                <w:kern w:val="0"/>
              </w:rPr>
              <w:t>,≤</w:t>
            </w:r>
            <w:r>
              <w:rPr>
                <w:rFonts w:ascii="宋体" w:hAnsi="宋体"/>
                <w:kern w:val="0"/>
              </w:rPr>
              <w:t>125%</w:t>
            </w:r>
            <w:r>
              <w:rPr>
                <w:rFonts w:hint="eastAsia" w:ascii="宋体" w:hAnsi="宋体"/>
                <w:kern w:val="0"/>
              </w:rPr>
              <w:t>,维持</w:t>
            </w:r>
            <w:r>
              <w:rPr>
                <w:rFonts w:ascii="宋体" w:hAnsi="宋体"/>
                <w:kern w:val="0"/>
              </w:rPr>
              <w:t>10min</w:t>
            </w:r>
            <w:r>
              <w:rPr>
                <w:rFonts w:hint="eastAsia" w:ascii="宋体" w:hAnsi="宋体"/>
                <w:kern w:val="0"/>
              </w:rPr>
              <w:t>,≤</w:t>
            </w:r>
            <w:r>
              <w:rPr>
                <w:rFonts w:ascii="宋体" w:hAnsi="宋体"/>
                <w:kern w:val="0"/>
              </w:rPr>
              <w:t>150%</w:t>
            </w:r>
            <w:r>
              <w:rPr>
                <w:rFonts w:hint="eastAsia" w:ascii="宋体" w:hAnsi="宋体"/>
                <w:kern w:val="0"/>
              </w:rPr>
              <w:t>维持</w:t>
            </w:r>
            <w:r>
              <w:rPr>
                <w:rFonts w:ascii="宋体" w:hAnsi="宋体"/>
                <w:kern w:val="0"/>
              </w:rPr>
              <w:t>1min</w:t>
            </w:r>
            <w:r>
              <w:rPr>
                <w:rFonts w:hint="eastAsia" w:ascii="宋体" w:hAnsi="宋体"/>
                <w:kern w:val="0"/>
              </w:rPr>
              <w:t>,&gt;</w:t>
            </w:r>
            <w:r>
              <w:rPr>
                <w:rFonts w:ascii="宋体" w:hAnsi="宋体"/>
                <w:kern w:val="0"/>
              </w:rPr>
              <w:t xml:space="preserve">150% </w:t>
            </w:r>
            <w:r>
              <w:rPr>
                <w:rFonts w:hint="eastAsia" w:ascii="宋体" w:hAnsi="宋体"/>
                <w:kern w:val="0"/>
              </w:rPr>
              <w:t>立即关机；旁路模式：30℃环境,负载 ≤ 135%,可长期运行; 40℃环境,负载 ≤ 125%,可长期运行; 负载1000%,100ms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过温保护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正常模式</w:t>
            </w:r>
            <w:r>
              <w:rPr>
                <w:rFonts w:ascii="宋体" w:hAnsi="宋体"/>
                <w:kern w:val="0"/>
              </w:rPr>
              <w:t xml:space="preserve">: </w:t>
            </w:r>
            <w:r>
              <w:rPr>
                <w:rFonts w:hint="eastAsia" w:ascii="宋体" w:hAnsi="宋体"/>
                <w:kern w:val="0"/>
              </w:rPr>
              <w:t>切换到旁路模式</w:t>
            </w:r>
            <w:r>
              <w:rPr>
                <w:rFonts w:ascii="宋体" w:hAnsi="宋体"/>
                <w:kern w:val="0"/>
              </w:rPr>
              <w:t xml:space="preserve">; </w:t>
            </w:r>
            <w:r>
              <w:rPr>
                <w:rFonts w:hint="eastAsia" w:ascii="宋体" w:hAnsi="宋体"/>
                <w:kern w:val="0"/>
              </w:rPr>
              <w:t>电池模式</w:t>
            </w:r>
            <w:r>
              <w:rPr>
                <w:rFonts w:ascii="宋体" w:hAnsi="宋体"/>
                <w:kern w:val="0"/>
              </w:rPr>
              <w:t xml:space="preserve">: </w:t>
            </w:r>
            <w:r>
              <w:rPr>
                <w:rFonts w:hint="eastAsia" w:ascii="宋体" w:hAnsi="宋体"/>
                <w:kern w:val="0"/>
              </w:rPr>
              <w:t>立即关闭输出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1.7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ajorEastAsia" w:hAnsiTheme="majorEastAsia"/>
                <w:b/>
                <w:snapToGrid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通讯界面：</w:t>
            </w:r>
            <w:r>
              <w:rPr>
                <w:rFonts w:ascii="宋体" w:hAnsi="宋体"/>
                <w:kern w:val="0"/>
              </w:rPr>
              <w:t>USB</w:t>
            </w:r>
            <w:r>
              <w:rPr>
                <w:rFonts w:hint="eastAsia" w:ascii="宋体" w:hAnsi="宋体"/>
                <w:kern w:val="0"/>
              </w:rPr>
              <w:t>,RS232,</w:t>
            </w:r>
            <w:r>
              <w:rPr>
                <w:rFonts w:ascii="宋体" w:hAnsi="宋体"/>
                <w:kern w:val="0"/>
              </w:rPr>
              <w:t>RS485</w:t>
            </w:r>
            <w:r>
              <w:rPr>
                <w:rFonts w:hint="eastAsia" w:ascii="宋体" w:hAnsi="宋体"/>
                <w:kern w:val="0"/>
              </w:rPr>
              <w:t>,</w:t>
            </w:r>
            <w:r>
              <w:rPr>
                <w:rFonts w:ascii="宋体" w:hAnsi="宋体"/>
                <w:kern w:val="0"/>
              </w:rPr>
              <w:t>LBS</w:t>
            </w:r>
            <w:r>
              <w:rPr>
                <w:rFonts w:hint="eastAsia" w:ascii="宋体" w:hAnsi="宋体"/>
                <w:kern w:val="0"/>
              </w:rPr>
              <w:t>，旁路反灌(或电池开关脱扣)接口,并机(选件),</w:t>
            </w:r>
            <w:r>
              <w:rPr>
                <w:rFonts w:ascii="宋体" w:hAnsi="宋体"/>
                <w:kern w:val="0"/>
              </w:rPr>
              <w:t>SNMP</w:t>
            </w:r>
            <w:r>
              <w:rPr>
                <w:rFonts w:hint="eastAsia" w:ascii="宋体" w:hAnsi="宋体"/>
                <w:kern w:val="0"/>
              </w:rPr>
              <w:t>卡(选件),继电器卡(选件)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napToGrid w:val="0"/>
                <w:szCs w:val="21"/>
              </w:rPr>
              <w:t>配电系统、插座布线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.1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设备U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供电电缆采用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Y</w:t>
            </w:r>
            <w:r>
              <w:rPr>
                <w:rFonts w:asciiTheme="majorEastAsia" w:hAnsiTheme="majorEastAsia" w:eastAsiaTheme="majorEastAsia"/>
                <w:szCs w:val="21"/>
              </w:rPr>
              <w:t>JV4*70mm</w:t>
            </w:r>
            <w:r>
              <w:rPr>
                <w:rFonts w:asciiTheme="majorEastAsia" w:hAnsiTheme="majorEastAsia" w:eastAsiaTheme="majorEastAsia"/>
                <w:szCs w:val="21"/>
                <w:vertAlign w:val="superscript"/>
              </w:rPr>
              <w:t>2</w:t>
            </w:r>
            <w:r>
              <w:rPr>
                <w:rFonts w:asciiTheme="majorEastAsia" w:hAnsiTheme="majorEastAsia" w:eastAsiaTheme="majorEastAsia"/>
                <w:szCs w:val="21"/>
              </w:rPr>
              <w:t>+1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规格国标铜缆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.2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配电柜装置须满足I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设备的市电和U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供电同步，并配置U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电源外部手动维修旁路，安装于配电室U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.3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机房侧设置接线总开关，包含I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市电开关、I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T UPS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输出开关、空调市电开关，柜体可挂墙或落地安装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.4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系统材料选配满足项目需求和国家规范要求。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七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中标厂商负责场地规划、搬运、安装、调试，包括设备到货至安装期间之搬运及保险; 保险需包括人员及设备之全额保险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1.2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如</w:t>
            </w:r>
            <w:r>
              <w:rPr>
                <w:rFonts w:asciiTheme="majorEastAsia" w:hAnsiTheme="majorEastAsia" w:eastAsiaTheme="majorEastAsia"/>
                <w:szCs w:val="21"/>
              </w:rPr>
              <w:t>现场条件无法安装，中标厂商负责调整设备以满足现场条件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1.3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安装完成需提交安装报告书与质量报告书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1.4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本规格书经厂商填报后，为合约之一部分，验收时依本规格书逐项比对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1.5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安装完成经检点各项配件; 功能及实际使用测试各项软件一个月无异常，且完整提供各项文件经审查通过，为验收完成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1.6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厂商需负责清理安装所产生的废弃物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1.7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厂商需负责安装现场整洁; 若有损坏需负责恢复</w:t>
            </w:r>
            <w:r>
              <w:rPr>
                <w:rFonts w:asciiTheme="majorEastAsia" w:hAnsiTheme="majorEastAsia" w:eastAsiaTheme="majorEastAsia"/>
                <w:szCs w:val="21"/>
              </w:rPr>
              <w:t>原状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设备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证照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及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厂商资质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2.1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“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三证</w:t>
            </w:r>
            <w:r>
              <w:rPr>
                <w:rFonts w:asciiTheme="majorEastAsia" w:hAnsiTheme="majorEastAsia" w:eastAsiaTheme="majorEastAsia"/>
                <w:szCs w:val="21"/>
              </w:rPr>
              <w:t>”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.2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针对本项目的授权书和售后服务承诺书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保修与罚则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3.1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自</w:t>
            </w:r>
            <w:r>
              <w:rPr>
                <w:rFonts w:asciiTheme="majorEastAsia" w:hAnsiTheme="majorEastAsia" w:eastAsiaTheme="majorEastAsia"/>
                <w:szCs w:val="21"/>
              </w:rPr>
              <w:t>设备验收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完成</w:t>
            </w:r>
            <w:r>
              <w:rPr>
                <w:rFonts w:asciiTheme="majorEastAsia" w:hAnsiTheme="majorEastAsia" w:eastAsiaTheme="majorEastAsia"/>
                <w:szCs w:val="21"/>
              </w:rPr>
              <w:t>之日起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四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48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个</w:t>
            </w:r>
            <w:r>
              <w:rPr>
                <w:rFonts w:asciiTheme="majorEastAsia" w:hAnsiTheme="majorEastAsia" w:eastAsiaTheme="majorEastAsia"/>
                <w:szCs w:val="21"/>
              </w:rPr>
              <w:t>月）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保修期</w:t>
            </w:r>
            <w:r>
              <w:rPr>
                <w:rFonts w:asciiTheme="majorEastAsia" w:hAnsiTheme="majorEastAsia" w:eastAsiaTheme="majorEastAsia"/>
                <w:szCs w:val="21"/>
              </w:rPr>
              <w:t>内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并依原厂规定执行定期保养与校正，中标</w:t>
            </w:r>
            <w:r>
              <w:rPr>
                <w:rFonts w:asciiTheme="majorEastAsia" w:hAnsiTheme="majorEastAsia" w:eastAsiaTheme="majorEastAsia"/>
                <w:szCs w:val="21"/>
              </w:rPr>
              <w:t>厂商提供保养工具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及</w:t>
            </w:r>
            <w:r>
              <w:rPr>
                <w:rFonts w:asciiTheme="majorEastAsia" w:hAnsiTheme="majorEastAsia" w:eastAsiaTheme="majorEastAsia"/>
                <w:szCs w:val="21"/>
              </w:rPr>
              <w:t>设备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3.2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保修期内已购软件免费升级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3.3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提供新增软、硬件购置折扣计价方式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人员训练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4.1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装机完成，</w:t>
            </w:r>
            <w:r>
              <w:rPr>
                <w:rFonts w:asciiTheme="majorEastAsia" w:hAnsiTheme="majorEastAsia" w:eastAsiaTheme="majorEastAsia"/>
                <w:szCs w:val="21"/>
              </w:rPr>
              <w:t>厂商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需配合</w:t>
            </w:r>
            <w:r>
              <w:rPr>
                <w:rFonts w:asciiTheme="majorEastAsia" w:hAnsiTheme="majorEastAsia" w:eastAsiaTheme="majorEastAsia"/>
                <w:szCs w:val="21"/>
              </w:rPr>
              <w:t>院方安排，免费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指导使用</w:t>
            </w:r>
            <w:r>
              <w:rPr>
                <w:rFonts w:asciiTheme="majorEastAsia" w:hAnsiTheme="majorEastAsia" w:eastAsiaTheme="majorEastAsia"/>
                <w:szCs w:val="21"/>
              </w:rPr>
              <w:t>人员进行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操作训练，</w:t>
            </w:r>
            <w:r>
              <w:rPr>
                <w:rFonts w:asciiTheme="majorEastAsia" w:hAnsiTheme="majorEastAsia" w:eastAsiaTheme="majorEastAsia"/>
                <w:szCs w:val="21"/>
              </w:rPr>
              <w:t>直至完全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熟练</w:t>
            </w:r>
            <w:r>
              <w:rPr>
                <w:rFonts w:asciiTheme="majorEastAsia" w:hAnsiTheme="majorEastAsia" w:eastAsiaTheme="majorEastAsia"/>
                <w:szCs w:val="21"/>
              </w:rPr>
              <w:t>掌握操作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流程</w:t>
            </w:r>
            <w:r>
              <w:rPr>
                <w:rFonts w:asciiTheme="majorEastAsia" w:hAnsiTheme="majorEastAsia" w:eastAsiaTheme="majorEastAsia"/>
                <w:szCs w:val="21"/>
              </w:rPr>
              <w:t>及日常保养流程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4.2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提供原厂完整课程维复技术训练1名(含学费)：课程学费、住宿地点与训练地点间之交通由得标厂商负责，机票费、日常生活费由本院自理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4.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3</w:t>
            </w:r>
          </w:p>
        </w:tc>
        <w:tc>
          <w:tcPr>
            <w:tcW w:w="7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Cs w:val="21"/>
              </w:rPr>
              <w:t>1份中文使用手册，内容需包含：</w:t>
            </w:r>
          </w:p>
          <w:p>
            <w:pPr>
              <w:textAlignment w:val="center"/>
              <w:rPr>
                <w:rFonts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Cs w:val="21"/>
              </w:rPr>
              <w:t>1设备安装方法</w:t>
            </w:r>
          </w:p>
          <w:p>
            <w:pPr>
              <w:textAlignment w:val="center"/>
              <w:rPr>
                <w:rFonts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Cs w:val="21"/>
              </w:rPr>
              <w:t>2设备操作程序</w:t>
            </w:r>
          </w:p>
          <w:p>
            <w:pPr>
              <w:textAlignment w:val="center"/>
              <w:rPr>
                <w:rFonts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Cs w:val="21"/>
              </w:rPr>
              <w:t>3设备工作流程</w:t>
            </w:r>
          </w:p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Cs w:val="21"/>
              </w:rPr>
              <w:t>4设备状况处理</w:t>
            </w:r>
          </w:p>
        </w:tc>
      </w:tr>
    </w:tbl>
    <w:p>
      <w:pPr>
        <w:spacing w:line="300" w:lineRule="auto"/>
      </w:pPr>
    </w:p>
    <w:p>
      <w:pPr>
        <w:spacing w:line="30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1000417" w:usb3="00000000" w:csb0="0002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778F6"/>
    <w:multiLevelType w:val="multilevel"/>
    <w:tmpl w:val="535778F6"/>
    <w:lvl w:ilvl="0" w:tentative="0">
      <w:start w:val="1"/>
      <w:numFmt w:val="chineseCountingThousand"/>
      <w:pStyle w:val="2"/>
      <w:suff w:val="nothing"/>
      <w:lvlText w:val="%1、"/>
      <w:lvlJc w:val="left"/>
      <w:rPr>
        <w:rFonts w:hint="eastAsia" w:cs="Times New Roman"/>
        <w:b/>
        <w:i w:val="0"/>
        <w:sz w:val="24"/>
      </w:rPr>
    </w:lvl>
    <w:lvl w:ilvl="1" w:tentative="0">
      <w:start w:val="1"/>
      <w:numFmt w:val="decimal"/>
      <w:pStyle w:val="3"/>
      <w:suff w:val="nothing"/>
      <w:lvlText w:val="%2. "/>
      <w:lvlJc w:val="left"/>
      <w:rPr>
        <w:rFonts w:hint="eastAsia" w:cs="Times New Roman"/>
        <w:b w:val="0"/>
        <w:i w:val="0"/>
        <w:sz w:val="24"/>
      </w:rPr>
    </w:lvl>
    <w:lvl w:ilvl="2" w:tentative="0">
      <w:start w:val="1"/>
      <w:numFmt w:val="none"/>
      <w:pStyle w:val="4"/>
      <w:suff w:val="nothing"/>
      <w:lvlText w:val=""/>
      <w:lvlJc w:val="left"/>
      <w:rPr>
        <w:rFonts w:hint="eastAsia" w:cs="Times New Roman"/>
      </w:rPr>
    </w:lvl>
    <w:lvl w:ilvl="3" w:tentative="0">
      <w:start w:val="1"/>
      <w:numFmt w:val="none"/>
      <w:pStyle w:val="5"/>
      <w:suff w:val="nothing"/>
      <w:lvlText w:val=""/>
      <w:lvlJc w:val="left"/>
      <w:rPr>
        <w:rFonts w:hint="eastAsia" w:cs="Times New Roman"/>
      </w:rPr>
    </w:lvl>
    <w:lvl w:ilvl="4" w:tentative="0">
      <w:start w:val="1"/>
      <w:numFmt w:val="none"/>
      <w:pStyle w:val="7"/>
      <w:suff w:val="nothing"/>
      <w:lvlText w:val=""/>
      <w:lvlJc w:val="left"/>
      <w:rPr>
        <w:rFonts w:hint="eastAsia" w:cs="Times New Roman"/>
      </w:rPr>
    </w:lvl>
    <w:lvl w:ilvl="5" w:tentative="0">
      <w:start w:val="1"/>
      <w:numFmt w:val="none"/>
      <w:pStyle w:val="8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pStyle w:val="9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pStyle w:val="10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pStyle w:val="11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xZTg1MGUzOThjYzAyZGM2YWQwZmRiODc0OWNmODkifQ=="/>
  </w:docVars>
  <w:rsids>
    <w:rsidRoot w:val="00A65AA2"/>
    <w:rsid w:val="0000238B"/>
    <w:rsid w:val="000048AF"/>
    <w:rsid w:val="000405CD"/>
    <w:rsid w:val="000824C6"/>
    <w:rsid w:val="000B0769"/>
    <w:rsid w:val="000B3125"/>
    <w:rsid w:val="000B7C66"/>
    <w:rsid w:val="000C127A"/>
    <w:rsid w:val="000C1E61"/>
    <w:rsid w:val="000C7B4B"/>
    <w:rsid w:val="0010493B"/>
    <w:rsid w:val="00142B7C"/>
    <w:rsid w:val="001E0822"/>
    <w:rsid w:val="00210F2C"/>
    <w:rsid w:val="00240CA7"/>
    <w:rsid w:val="00251A94"/>
    <w:rsid w:val="00256F03"/>
    <w:rsid w:val="00270625"/>
    <w:rsid w:val="00282CB3"/>
    <w:rsid w:val="0028499D"/>
    <w:rsid w:val="002A1879"/>
    <w:rsid w:val="002A6E83"/>
    <w:rsid w:val="002B36A0"/>
    <w:rsid w:val="002E40F4"/>
    <w:rsid w:val="002F669C"/>
    <w:rsid w:val="00306B35"/>
    <w:rsid w:val="00331329"/>
    <w:rsid w:val="00371B50"/>
    <w:rsid w:val="00374259"/>
    <w:rsid w:val="003852C5"/>
    <w:rsid w:val="003A0E18"/>
    <w:rsid w:val="003A1792"/>
    <w:rsid w:val="003E62EF"/>
    <w:rsid w:val="0040444F"/>
    <w:rsid w:val="0041287A"/>
    <w:rsid w:val="004318C4"/>
    <w:rsid w:val="004517D5"/>
    <w:rsid w:val="00457AA0"/>
    <w:rsid w:val="00457C49"/>
    <w:rsid w:val="00461939"/>
    <w:rsid w:val="00467B7C"/>
    <w:rsid w:val="0047638A"/>
    <w:rsid w:val="004926F1"/>
    <w:rsid w:val="004A0592"/>
    <w:rsid w:val="004A50CB"/>
    <w:rsid w:val="004B28E7"/>
    <w:rsid w:val="004B7AF6"/>
    <w:rsid w:val="004E57E4"/>
    <w:rsid w:val="005219BC"/>
    <w:rsid w:val="00551CC0"/>
    <w:rsid w:val="00581911"/>
    <w:rsid w:val="005B388D"/>
    <w:rsid w:val="005B5FBA"/>
    <w:rsid w:val="005B74A0"/>
    <w:rsid w:val="005C0F0F"/>
    <w:rsid w:val="005C526B"/>
    <w:rsid w:val="005D61B7"/>
    <w:rsid w:val="006029AC"/>
    <w:rsid w:val="0060323B"/>
    <w:rsid w:val="00637012"/>
    <w:rsid w:val="006428C1"/>
    <w:rsid w:val="00672563"/>
    <w:rsid w:val="00674A6B"/>
    <w:rsid w:val="00682EA8"/>
    <w:rsid w:val="0068437C"/>
    <w:rsid w:val="006979A2"/>
    <w:rsid w:val="006A4249"/>
    <w:rsid w:val="006D26C2"/>
    <w:rsid w:val="006D507D"/>
    <w:rsid w:val="006E2A3D"/>
    <w:rsid w:val="006E70E0"/>
    <w:rsid w:val="006F3ABD"/>
    <w:rsid w:val="00705DCD"/>
    <w:rsid w:val="007256F9"/>
    <w:rsid w:val="007319C7"/>
    <w:rsid w:val="0076528B"/>
    <w:rsid w:val="007A5F17"/>
    <w:rsid w:val="007B22C1"/>
    <w:rsid w:val="007B4FA0"/>
    <w:rsid w:val="00803FC9"/>
    <w:rsid w:val="00831F9D"/>
    <w:rsid w:val="008356B1"/>
    <w:rsid w:val="00851DB5"/>
    <w:rsid w:val="008533BE"/>
    <w:rsid w:val="00854822"/>
    <w:rsid w:val="00857491"/>
    <w:rsid w:val="00884FA5"/>
    <w:rsid w:val="008972C3"/>
    <w:rsid w:val="008B3BC5"/>
    <w:rsid w:val="008E21DE"/>
    <w:rsid w:val="00902701"/>
    <w:rsid w:val="00923B31"/>
    <w:rsid w:val="009461BB"/>
    <w:rsid w:val="009A0ED6"/>
    <w:rsid w:val="00A23630"/>
    <w:rsid w:val="00A26AF4"/>
    <w:rsid w:val="00A31045"/>
    <w:rsid w:val="00A50D2D"/>
    <w:rsid w:val="00A65AA2"/>
    <w:rsid w:val="00AD1B90"/>
    <w:rsid w:val="00AD4100"/>
    <w:rsid w:val="00AF7C4B"/>
    <w:rsid w:val="00B21B03"/>
    <w:rsid w:val="00B74A39"/>
    <w:rsid w:val="00B7571A"/>
    <w:rsid w:val="00B80FF0"/>
    <w:rsid w:val="00BE5777"/>
    <w:rsid w:val="00C42206"/>
    <w:rsid w:val="00C65B9C"/>
    <w:rsid w:val="00C91D39"/>
    <w:rsid w:val="00CA51AE"/>
    <w:rsid w:val="00CC1748"/>
    <w:rsid w:val="00CD3AF4"/>
    <w:rsid w:val="00D16365"/>
    <w:rsid w:val="00D237A3"/>
    <w:rsid w:val="00D312C6"/>
    <w:rsid w:val="00D46382"/>
    <w:rsid w:val="00D4659E"/>
    <w:rsid w:val="00D60D99"/>
    <w:rsid w:val="00D8792B"/>
    <w:rsid w:val="00D97CDB"/>
    <w:rsid w:val="00DA36E2"/>
    <w:rsid w:val="00DB548B"/>
    <w:rsid w:val="00DC220B"/>
    <w:rsid w:val="00E01EE2"/>
    <w:rsid w:val="00E1527F"/>
    <w:rsid w:val="00E32760"/>
    <w:rsid w:val="00E33B76"/>
    <w:rsid w:val="00E54CFD"/>
    <w:rsid w:val="00E657CD"/>
    <w:rsid w:val="00E67BF8"/>
    <w:rsid w:val="00E82EA3"/>
    <w:rsid w:val="00E85FDB"/>
    <w:rsid w:val="00E96B31"/>
    <w:rsid w:val="00EF582D"/>
    <w:rsid w:val="00F1631B"/>
    <w:rsid w:val="00F22C3F"/>
    <w:rsid w:val="00F4502E"/>
    <w:rsid w:val="00F55DAC"/>
    <w:rsid w:val="00FA433A"/>
    <w:rsid w:val="00FB02E5"/>
    <w:rsid w:val="00FC7B0D"/>
    <w:rsid w:val="15D86382"/>
    <w:rsid w:val="2C1B702E"/>
    <w:rsid w:val="2D9E1C33"/>
    <w:rsid w:val="3261080B"/>
    <w:rsid w:val="34E46373"/>
    <w:rsid w:val="3BC51855"/>
    <w:rsid w:val="3D4259BF"/>
    <w:rsid w:val="488645D1"/>
    <w:rsid w:val="49E350E4"/>
    <w:rsid w:val="5B086FBA"/>
    <w:rsid w:val="5FA8425F"/>
    <w:rsid w:val="620C2688"/>
    <w:rsid w:val="643E663E"/>
    <w:rsid w:val="6B903568"/>
    <w:rsid w:val="6EFF1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34"/>
    <w:qFormat/>
    <w:uiPriority w:val="9"/>
    <w:pPr>
      <w:keepNext/>
      <w:keepLines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6"/>
    <w:link w:val="35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sz w:val="28"/>
      <w:szCs w:val="20"/>
    </w:rPr>
  </w:style>
  <w:style w:type="paragraph" w:styleId="7">
    <w:name w:val="heading 5"/>
    <w:basedOn w:val="1"/>
    <w:next w:val="6"/>
    <w:link w:val="36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  <w:szCs w:val="20"/>
    </w:rPr>
  </w:style>
  <w:style w:type="paragraph" w:styleId="8">
    <w:name w:val="heading 6"/>
    <w:basedOn w:val="1"/>
    <w:next w:val="6"/>
    <w:link w:val="37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9">
    <w:name w:val="heading 7"/>
    <w:basedOn w:val="1"/>
    <w:next w:val="6"/>
    <w:link w:val="38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  <w:szCs w:val="20"/>
    </w:rPr>
  </w:style>
  <w:style w:type="paragraph" w:styleId="10">
    <w:name w:val="heading 8"/>
    <w:basedOn w:val="1"/>
    <w:next w:val="6"/>
    <w:link w:val="39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6"/>
    <w:link w:val="40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99"/>
    <w:pPr>
      <w:ind w:firstLine="420"/>
    </w:pPr>
    <w:rPr>
      <w:szCs w:val="20"/>
    </w:rPr>
  </w:style>
  <w:style w:type="paragraph" w:styleId="12">
    <w:name w:val="annotation text"/>
    <w:basedOn w:val="1"/>
    <w:link w:val="53"/>
    <w:unhideWhenUsed/>
    <w:qFormat/>
    <w:uiPriority w:val="0"/>
    <w:pPr>
      <w:jc w:val="left"/>
    </w:pPr>
  </w:style>
  <w:style w:type="paragraph" w:styleId="13">
    <w:name w:val="Body Text"/>
    <w:basedOn w:val="1"/>
    <w:link w:val="45"/>
    <w:qFormat/>
    <w:uiPriority w:val="0"/>
    <w:pPr>
      <w:adjustRightInd w:val="0"/>
      <w:spacing w:line="360" w:lineRule="atLeast"/>
      <w:jc w:val="center"/>
      <w:textAlignment w:val="baseline"/>
    </w:pPr>
    <w:rPr>
      <w:rFonts w:asciiTheme="minorHAnsi" w:hAnsiTheme="minorHAnsi" w:eastAsiaTheme="minorEastAsia" w:cstheme="minorBidi"/>
      <w:sz w:val="24"/>
      <w:szCs w:val="22"/>
    </w:rPr>
  </w:style>
  <w:style w:type="paragraph" w:styleId="14">
    <w:name w:val="Body Text Indent"/>
    <w:basedOn w:val="1"/>
    <w:link w:val="44"/>
    <w:qFormat/>
    <w:uiPriority w:val="99"/>
    <w:pPr>
      <w:adjustRightInd w:val="0"/>
      <w:spacing w:line="360" w:lineRule="auto"/>
      <w:ind w:firstLine="480"/>
    </w:pPr>
    <w:rPr>
      <w:rFonts w:asciiTheme="minorHAnsi" w:hAnsiTheme="minorHAnsi" w:cstheme="minorBidi"/>
      <w:sz w:val="24"/>
      <w:szCs w:val="22"/>
    </w:rPr>
  </w:style>
  <w:style w:type="paragraph" w:styleId="15">
    <w:name w:val="Plain Text"/>
    <w:basedOn w:val="1"/>
    <w:link w:val="46"/>
    <w:qFormat/>
    <w:uiPriority w:val="99"/>
    <w:pPr>
      <w:adjustRightInd w:val="0"/>
      <w:textAlignment w:val="baseline"/>
    </w:pPr>
    <w:rPr>
      <w:rFonts w:ascii="宋体" w:hAnsi="Courier New" w:eastAsiaTheme="minorEastAsia" w:cstheme="minorBidi"/>
      <w:szCs w:val="22"/>
    </w:rPr>
  </w:style>
  <w:style w:type="paragraph" w:styleId="16">
    <w:name w:val="Date"/>
    <w:basedOn w:val="1"/>
    <w:next w:val="1"/>
    <w:link w:val="41"/>
    <w:qFormat/>
    <w:uiPriority w:val="0"/>
    <w:pPr>
      <w:ind w:left="100" w:leftChars="2500"/>
    </w:pPr>
    <w:rPr>
      <w:rFonts w:asciiTheme="minorHAnsi" w:hAnsiTheme="minorHAnsi" w:cstheme="minorBidi"/>
      <w:b/>
      <w:sz w:val="44"/>
    </w:rPr>
  </w:style>
  <w:style w:type="paragraph" w:styleId="17">
    <w:name w:val="Body Text Indent 2"/>
    <w:basedOn w:val="1"/>
    <w:link w:val="42"/>
    <w:qFormat/>
    <w:uiPriority w:val="0"/>
    <w:pPr>
      <w:ind w:left="600"/>
    </w:pPr>
    <w:rPr>
      <w:rFonts w:eastAsia="楷体_GB2312" w:asciiTheme="minorHAnsi" w:hAnsiTheme="minorHAnsi" w:cstheme="minorBidi"/>
      <w:sz w:val="30"/>
    </w:rPr>
  </w:style>
  <w:style w:type="paragraph" w:styleId="18">
    <w:name w:val="Balloon Text"/>
    <w:basedOn w:val="1"/>
    <w:link w:val="47"/>
    <w:qFormat/>
    <w:uiPriority w:val="0"/>
    <w:rPr>
      <w:rFonts w:ascii="Tahoma" w:hAnsi="Tahoma" w:cs="Tahoma" w:eastAsiaTheme="minorEastAsia"/>
      <w:sz w:val="16"/>
      <w:szCs w:val="16"/>
    </w:rPr>
  </w:style>
  <w:style w:type="paragraph" w:styleId="19">
    <w:name w:val="footer"/>
    <w:basedOn w:val="1"/>
    <w:link w:val="3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3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semiHidden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2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23">
    <w:name w:val="Title"/>
    <w:basedOn w:val="1"/>
    <w:next w:val="1"/>
    <w:link w:val="63"/>
    <w:qFormat/>
    <w:uiPriority w:val="0"/>
    <w:pPr>
      <w:widowControl/>
      <w:topLinePunct/>
      <w:adjustRightInd w:val="0"/>
      <w:snapToGrid w:val="0"/>
      <w:spacing w:before="120" w:after="120" w:line="480" w:lineRule="auto"/>
      <w:ind w:firstLine="200" w:firstLineChars="200"/>
      <w:jc w:val="left"/>
      <w:outlineLvl w:val="0"/>
    </w:pPr>
    <w:rPr>
      <w:rFonts w:ascii="Arial" w:hAnsi="Arial" w:cs="Arial"/>
      <w:b/>
      <w:bCs/>
      <w:sz w:val="28"/>
      <w:szCs w:val="32"/>
    </w:rPr>
  </w:style>
  <w:style w:type="paragraph" w:styleId="24">
    <w:name w:val="annotation subject"/>
    <w:basedOn w:val="12"/>
    <w:next w:val="12"/>
    <w:link w:val="43"/>
    <w:qFormat/>
    <w:uiPriority w:val="0"/>
    <w:rPr>
      <w:rFonts w:asciiTheme="minorHAnsi" w:hAnsiTheme="minorHAnsi" w:eastAsiaTheme="minorEastAsia" w:cstheme="minorBidi"/>
      <w:b/>
      <w:bCs/>
    </w:rPr>
  </w:style>
  <w:style w:type="character" w:styleId="27">
    <w:name w:val="page number"/>
    <w:basedOn w:val="26"/>
    <w:qFormat/>
    <w:uiPriority w:val="0"/>
  </w:style>
  <w:style w:type="character" w:styleId="28">
    <w:name w:val="Hyperlink"/>
    <w:qFormat/>
    <w:uiPriority w:val="99"/>
    <w:rPr>
      <w:rFonts w:cs="Times New Roman"/>
      <w:color w:val="0000FF"/>
      <w:u w:val="single"/>
    </w:rPr>
  </w:style>
  <w:style w:type="character" w:styleId="29">
    <w:name w:val="annotation reference"/>
    <w:qFormat/>
    <w:uiPriority w:val="0"/>
    <w:rPr>
      <w:sz w:val="21"/>
      <w:szCs w:val="21"/>
    </w:rPr>
  </w:style>
  <w:style w:type="character" w:customStyle="1" w:styleId="30">
    <w:name w:val="页眉 字符"/>
    <w:basedOn w:val="26"/>
    <w:link w:val="20"/>
    <w:qFormat/>
    <w:uiPriority w:val="0"/>
    <w:rPr>
      <w:sz w:val="18"/>
      <w:szCs w:val="18"/>
    </w:rPr>
  </w:style>
  <w:style w:type="character" w:customStyle="1" w:styleId="31">
    <w:name w:val="页脚 字符"/>
    <w:basedOn w:val="26"/>
    <w:link w:val="19"/>
    <w:qFormat/>
    <w:uiPriority w:val="0"/>
    <w:rPr>
      <w:sz w:val="18"/>
      <w:szCs w:val="18"/>
    </w:rPr>
  </w:style>
  <w:style w:type="character" w:customStyle="1" w:styleId="32">
    <w:name w:val="标题 1 字符"/>
    <w:basedOn w:val="26"/>
    <w:link w:val="2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33">
    <w:name w:val="标题 2 字符"/>
    <w:basedOn w:val="26"/>
    <w:link w:val="3"/>
    <w:qFormat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34">
    <w:name w:val="标题 3 字符"/>
    <w:basedOn w:val="26"/>
    <w:link w:val="4"/>
    <w:qFormat/>
    <w:uiPriority w:val="9"/>
    <w:rPr>
      <w:rFonts w:ascii="Times New Roman" w:hAnsi="Times New Roman" w:eastAsia="宋体" w:cs="Times New Roman"/>
      <w:b/>
      <w:kern w:val="0"/>
      <w:sz w:val="32"/>
      <w:szCs w:val="20"/>
    </w:rPr>
  </w:style>
  <w:style w:type="character" w:customStyle="1" w:styleId="35">
    <w:name w:val="标题 4 字符"/>
    <w:basedOn w:val="26"/>
    <w:link w:val="5"/>
    <w:qFormat/>
    <w:uiPriority w:val="9"/>
    <w:rPr>
      <w:rFonts w:ascii="Arial" w:hAnsi="Arial" w:eastAsia="黑体" w:cs="Times New Roman"/>
      <w:b/>
      <w:sz w:val="28"/>
      <w:szCs w:val="20"/>
    </w:rPr>
  </w:style>
  <w:style w:type="character" w:customStyle="1" w:styleId="36">
    <w:name w:val="标题 5 字符"/>
    <w:basedOn w:val="26"/>
    <w:link w:val="7"/>
    <w:qFormat/>
    <w:uiPriority w:val="9"/>
    <w:rPr>
      <w:rFonts w:ascii="Times New Roman" w:hAnsi="Times New Roman" w:eastAsia="宋体" w:cs="Times New Roman"/>
      <w:b/>
      <w:sz w:val="28"/>
      <w:szCs w:val="20"/>
    </w:rPr>
  </w:style>
  <w:style w:type="character" w:customStyle="1" w:styleId="37">
    <w:name w:val="标题 6 字符"/>
    <w:basedOn w:val="26"/>
    <w:link w:val="8"/>
    <w:qFormat/>
    <w:uiPriority w:val="9"/>
    <w:rPr>
      <w:rFonts w:ascii="Arial" w:hAnsi="Arial" w:eastAsia="黑体" w:cs="Times New Roman"/>
      <w:b/>
      <w:sz w:val="24"/>
      <w:szCs w:val="20"/>
    </w:rPr>
  </w:style>
  <w:style w:type="character" w:customStyle="1" w:styleId="38">
    <w:name w:val="标题 7 字符"/>
    <w:basedOn w:val="26"/>
    <w:link w:val="9"/>
    <w:qFormat/>
    <w:uiPriority w:val="9"/>
    <w:rPr>
      <w:rFonts w:ascii="Times New Roman" w:hAnsi="Times New Roman" w:eastAsia="宋体" w:cs="Times New Roman"/>
      <w:b/>
      <w:sz w:val="24"/>
      <w:szCs w:val="20"/>
    </w:rPr>
  </w:style>
  <w:style w:type="character" w:customStyle="1" w:styleId="39">
    <w:name w:val="标题 8 字符"/>
    <w:basedOn w:val="26"/>
    <w:link w:val="10"/>
    <w:qFormat/>
    <w:uiPriority w:val="9"/>
    <w:rPr>
      <w:rFonts w:ascii="Arial" w:hAnsi="Arial" w:eastAsia="黑体" w:cs="Times New Roman"/>
      <w:sz w:val="24"/>
      <w:szCs w:val="20"/>
    </w:rPr>
  </w:style>
  <w:style w:type="character" w:customStyle="1" w:styleId="40">
    <w:name w:val="标题 9 字符"/>
    <w:basedOn w:val="26"/>
    <w:link w:val="11"/>
    <w:qFormat/>
    <w:uiPriority w:val="9"/>
    <w:rPr>
      <w:rFonts w:ascii="Arial" w:hAnsi="Arial" w:eastAsia="黑体" w:cs="Times New Roman"/>
      <w:szCs w:val="20"/>
    </w:rPr>
  </w:style>
  <w:style w:type="character" w:customStyle="1" w:styleId="41">
    <w:name w:val="日期 字符"/>
    <w:link w:val="16"/>
    <w:qFormat/>
    <w:uiPriority w:val="0"/>
    <w:rPr>
      <w:rFonts w:eastAsia="宋体"/>
      <w:b/>
      <w:sz w:val="44"/>
      <w:szCs w:val="24"/>
    </w:rPr>
  </w:style>
  <w:style w:type="character" w:customStyle="1" w:styleId="42">
    <w:name w:val="正文文本缩进 2 字符"/>
    <w:link w:val="17"/>
    <w:qFormat/>
    <w:uiPriority w:val="0"/>
    <w:rPr>
      <w:rFonts w:eastAsia="楷体_GB2312"/>
      <w:sz w:val="30"/>
      <w:szCs w:val="24"/>
    </w:rPr>
  </w:style>
  <w:style w:type="character" w:customStyle="1" w:styleId="43">
    <w:name w:val="批注主题 字符"/>
    <w:link w:val="24"/>
    <w:qFormat/>
    <w:uiPriority w:val="0"/>
    <w:rPr>
      <w:b/>
      <w:bCs/>
      <w:szCs w:val="24"/>
    </w:rPr>
  </w:style>
  <w:style w:type="character" w:customStyle="1" w:styleId="44">
    <w:name w:val="正文文本缩进 字符"/>
    <w:link w:val="14"/>
    <w:qFormat/>
    <w:uiPriority w:val="99"/>
    <w:rPr>
      <w:rFonts w:eastAsia="宋体"/>
      <w:sz w:val="24"/>
    </w:rPr>
  </w:style>
  <w:style w:type="character" w:customStyle="1" w:styleId="45">
    <w:name w:val="正文文本 字符"/>
    <w:link w:val="13"/>
    <w:qFormat/>
    <w:uiPriority w:val="0"/>
    <w:rPr>
      <w:sz w:val="24"/>
    </w:rPr>
  </w:style>
  <w:style w:type="character" w:customStyle="1" w:styleId="46">
    <w:name w:val="纯文本 字符"/>
    <w:link w:val="15"/>
    <w:qFormat/>
    <w:uiPriority w:val="99"/>
    <w:rPr>
      <w:rFonts w:ascii="宋体" w:hAnsi="Courier New"/>
    </w:rPr>
  </w:style>
  <w:style w:type="character" w:customStyle="1" w:styleId="47">
    <w:name w:val="批注框文本 字符"/>
    <w:link w:val="18"/>
    <w:qFormat/>
    <w:uiPriority w:val="0"/>
    <w:rPr>
      <w:rFonts w:ascii="Tahoma" w:hAnsi="Tahoma" w:cs="Tahoma"/>
      <w:sz w:val="16"/>
      <w:szCs w:val="16"/>
    </w:rPr>
  </w:style>
  <w:style w:type="character" w:customStyle="1" w:styleId="48">
    <w:name w:val="批注文字 Char"/>
    <w:qFormat/>
    <w:uiPriority w:val="0"/>
    <w:rPr>
      <w:kern w:val="2"/>
      <w:sz w:val="21"/>
      <w:szCs w:val="24"/>
    </w:rPr>
  </w:style>
  <w:style w:type="character" w:customStyle="1" w:styleId="49">
    <w:name w:val="Anrede1IhrZeichen"/>
    <w:qFormat/>
    <w:uiPriority w:val="0"/>
    <w:rPr>
      <w:rFonts w:ascii="Arial" w:hAnsi="Arial" w:cs="Times New Roman"/>
      <w:sz w:val="20"/>
    </w:rPr>
  </w:style>
  <w:style w:type="character" w:customStyle="1" w:styleId="50">
    <w:name w:val="日期 Char1"/>
    <w:basedOn w:val="2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正文文本缩进 Char1"/>
    <w:basedOn w:val="2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正文文本 Char1"/>
    <w:basedOn w:val="2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3">
    <w:name w:val="批注文字 字符"/>
    <w:basedOn w:val="26"/>
    <w:link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批注主题 Char1"/>
    <w:basedOn w:val="53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5">
    <w:name w:val="纯文本 Char1"/>
    <w:basedOn w:val="2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6">
    <w:name w:val="正文文本缩进 2 Char1"/>
    <w:basedOn w:val="2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7">
    <w:name w:val="批注框文本 Char1"/>
    <w:basedOn w:val="2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58">
    <w:name w:val="Body"/>
    <w:qFormat/>
    <w:uiPriority w:val="0"/>
    <w:rPr>
      <w:rFonts w:ascii="Helvetica" w:hAnsi="Helvetica" w:eastAsia="ヒラギノ角ゴ Pro W3" w:cs="Times New Roman"/>
      <w:color w:val="000000"/>
      <w:sz w:val="24"/>
      <w:lang w:val="en-US" w:eastAsia="en-US" w:bidi="ar-SA"/>
    </w:rPr>
  </w:style>
  <w:style w:type="paragraph" w:customStyle="1" w:styleId="59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61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6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63">
    <w:name w:val="标题 字符"/>
    <w:basedOn w:val="26"/>
    <w:link w:val="23"/>
    <w:qFormat/>
    <w:uiPriority w:val="0"/>
    <w:rPr>
      <w:rFonts w:ascii="Arial" w:hAnsi="Arial" w:cs="Arial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TX</Company>
  <Pages>7</Pages>
  <Words>302</Words>
  <Characters>1723</Characters>
  <Lines>14</Lines>
  <Paragraphs>4</Paragraphs>
  <TotalTime>10</TotalTime>
  <ScaleCrop>false</ScaleCrop>
  <LinksUpToDate>false</LinksUpToDate>
  <CharactersWithSpaces>2021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2023-11-15T04:50:00Z</dcterms:created>
  <dc:creator>HL</dc:creator>
  <cp:lastModifiedBy>山巅之光</cp:lastModifiedBy>
  <cp:lastPrinted>2016-08-01T01:43:00Z</cp:lastPrinted>
  <dcterms:modified xsi:type="dcterms:W3CDTF">2023-11-15T09:05:46Z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CD655DA87CA74E71B190786278C2D005_13</vt:lpwstr>
  </property>
</Properties>
</file>