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color w:val="auto"/>
          <w:sz w:val="32"/>
          <w:szCs w:val="32"/>
        </w:rPr>
      </w:pPr>
      <w:r>
        <w:rPr>
          <w:rFonts w:hint="eastAsia" w:ascii="黑体" w:hAnsi="黑体" w:eastAsia="黑体"/>
          <w:color w:val="auto"/>
          <w:sz w:val="32"/>
          <w:szCs w:val="32"/>
        </w:rPr>
        <w:t>附件2</w:t>
      </w:r>
    </w:p>
    <w:tbl>
      <w:tblPr>
        <w:tblStyle w:val="6"/>
        <w:tblW w:w="9205" w:type="dxa"/>
        <w:jc w:val="center"/>
        <w:tblLayout w:type="fixed"/>
        <w:tblCellMar>
          <w:top w:w="0" w:type="dxa"/>
          <w:left w:w="108" w:type="dxa"/>
          <w:bottom w:w="0" w:type="dxa"/>
          <w:right w:w="108" w:type="dxa"/>
        </w:tblCellMar>
      </w:tblPr>
      <w:tblGrid>
        <w:gridCol w:w="855"/>
        <w:gridCol w:w="963"/>
        <w:gridCol w:w="1092"/>
        <w:gridCol w:w="831"/>
        <w:gridCol w:w="1280"/>
        <w:gridCol w:w="972"/>
        <w:gridCol w:w="704"/>
        <w:gridCol w:w="346"/>
        <w:gridCol w:w="211"/>
        <w:gridCol w:w="673"/>
        <w:gridCol w:w="645"/>
        <w:gridCol w:w="633"/>
      </w:tblGrid>
      <w:tr>
        <w:tblPrEx>
          <w:tblCellMar>
            <w:top w:w="0" w:type="dxa"/>
            <w:left w:w="108" w:type="dxa"/>
            <w:bottom w:w="0" w:type="dxa"/>
            <w:right w:w="108" w:type="dxa"/>
          </w:tblCellMar>
        </w:tblPrEx>
        <w:trPr>
          <w:trHeight w:val="440" w:hRule="exact"/>
          <w:jc w:val="center"/>
        </w:trPr>
        <w:tc>
          <w:tcPr>
            <w:tcW w:w="9205" w:type="dxa"/>
            <w:gridSpan w:val="12"/>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2"/>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（2023年度）</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7" w:type="dxa"/>
            <w:gridSpan w:val="10"/>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长庚医院青苗人才第八期第一年</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北京市医院管理中心</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16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北京清华长庚医院</w:t>
            </w:r>
          </w:p>
        </w:tc>
      </w:tr>
      <w:tr>
        <w:tblPrEx>
          <w:tblCellMar>
            <w:top w:w="0" w:type="dxa"/>
            <w:left w:w="108" w:type="dxa"/>
            <w:bottom w:w="0" w:type="dxa"/>
            <w:right w:w="108" w:type="dxa"/>
          </w:tblCellMar>
        </w:tblPrEx>
        <w:trPr>
          <w:trHeight w:val="593"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b w:val="0"/>
                <w:bCs w:val="0"/>
                <w:color w:val="auto"/>
                <w:kern w:val="0"/>
                <w:sz w:val="18"/>
                <w:szCs w:val="18"/>
              </w:rPr>
              <w:t>孔令云、阿卜杜萨拉木艾尼、易懿、靳松、杜桂芳、胥晓飞、柳玉倩、张蕾</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16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56118581</w:t>
            </w:r>
          </w:p>
        </w:tc>
      </w:tr>
      <w:tr>
        <w:tblPrEx>
          <w:tblCellMar>
            <w:top w:w="0" w:type="dxa"/>
            <w:left w:w="108" w:type="dxa"/>
            <w:bottom w:w="0" w:type="dxa"/>
            <w:right w:w="108" w:type="dxa"/>
          </w:tblCellMar>
        </w:tblPrEx>
        <w:trPr>
          <w:trHeight w:val="466"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2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97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全年执行数</w:t>
            </w:r>
          </w:p>
        </w:tc>
        <w:tc>
          <w:tcPr>
            <w:tcW w:w="88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65"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2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7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w:t>
            </w:r>
          </w:p>
        </w:tc>
        <w:tc>
          <w:tcPr>
            <w:tcW w:w="88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2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7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w:t>
            </w:r>
          </w:p>
        </w:tc>
        <w:tc>
          <w:tcPr>
            <w:tcW w:w="88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2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97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88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2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97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0</w:t>
            </w:r>
          </w:p>
        </w:tc>
        <w:tc>
          <w:tcPr>
            <w:tcW w:w="88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89" w:hRule="exact"/>
          <w:jc w:val="center"/>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bookmarkStart w:id="0" w:name="_GoBack" w:colFirst="0" w:colLast="1"/>
            <w:r>
              <w:rPr>
                <w:rFonts w:hint="eastAsia" w:ascii="宋体" w:hAnsi="宋体" w:cs="宋体"/>
                <w:color w:val="auto"/>
                <w:kern w:val="0"/>
                <w:sz w:val="18"/>
                <w:szCs w:val="18"/>
              </w:rPr>
              <w:t>年度总体目标</w:t>
            </w:r>
          </w:p>
        </w:tc>
        <w:tc>
          <w:tcPr>
            <w:tcW w:w="513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212"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067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513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孔令云：1、完成半数受试对象入组和图像分析  2、参加国内会议一次。</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阿卜杜萨拉木·艾尼：通过总结临床队列患者的预后数据、完成CD8 Tem细胞功能鉴定和靶向抑制等实验研究，总结出经PD-1/PD-L1抑制剂治疗患者的预后及发生急性排斥的危险因素，阐明CD8 Tem在维持移植物耐受性中的作用机制和揭示靶向抑制后改善移植物耐受性的可行性和转化潜力，将研究结论应用于肝移植受者的术后管理和精准免疫调节中，提高患者及移植物安全性、降低急性排斥发生率、减少排斥相关并发症的发生、减少医疗费用，提高本团队在肝癌肝移植诊疗技术水平和国内外影响力。</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易懿：本项目旨在利用超表面增强磁共振的电磁特性，研发出一种新颖、经济、高效的表面线圈，在3T临床磁共振扫描仪上实现超高分辨率成像。</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靳松：通过完成HSP90α介导前列腺上皮 间质细胞转化在早期进展性中的课题研究，形成基础研究成果，并将此研究成果应用于临床前期应用基础，为早期进展性前列腺增生疾病的诊疗奠定研究基础并带来新的契机，提高早期进展性前列腺增生疾病的治愈率，延缓早期进展性前列腺增生病人的手术时间，减少早期进展性前列腺增生疾病患者的治疗费用，提高早期进展性前列腺增生疾病治疗的国内外影响力。</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胥晓飞：本项目拟在已获取的临床样本和数据发现的KLOTHO表达降低与DOR发生具有相关性的基础上开展体外细胞系试验，利用细胞系实验进一步寻找KLOTHO互作蛋白，特别是参与细胞氧化应激及凋亡的相关蛋白，进行功能验证。为临床上生殖系统衰老相关疾病发病机制的研究提供重要的理论依据，同时为生殖系统衰老相关疾病的研究提供新的方向和视角，并有可能为抗衰老药物的研发提供新的参考。</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通过完成肝细胞癌的染色质开放性表征及关键靶点和转录因子筛选课题研究，获得原创性组学数据，刻画肝癌染色质可及性图谱及转录因子调控网络，并基于此筛选并验证肝癌染色质可及性分子靶标。上述研究为肝癌的诊疗奠定研究基础并带来新的契机，提高肝癌的治愈率，缩短病人住院时间，提高肝癌治疗的国内外影响力。</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张蕾：通过依托北京清华长庚医院多学科、多主体安宁疗护团队的行动实践，力图总结出社会工作者在实务工作中较为成熟的介入方法和介入模式</w:t>
            </w:r>
          </w:p>
          <w:p>
            <w:pPr>
              <w:widowControl/>
              <w:tabs>
                <w:tab w:val="left" w:pos="721"/>
              </w:tabs>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通过完成以接诉即办促进公立医院治理能力现代化的研究课题研究，探索研究提高“接诉即办”闭环改善成效的有效路径和对策，能够在一定程度上丰富和补充已有的实践成果和研究成果，有助于进一步推动医院治理现代化理论研究。</w:t>
            </w:r>
          </w:p>
        </w:tc>
        <w:tc>
          <w:tcPr>
            <w:tcW w:w="321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hd w:val="clear"/>
              <w:spacing w:line="240" w:lineRule="exact"/>
              <w:jc w:val="left"/>
              <w:rPr>
                <w:rFonts w:hint="eastAsia" w:ascii="宋体" w:hAnsi="宋体" w:cs="宋体"/>
                <w:b w:val="0"/>
                <w:bCs w:val="0"/>
                <w:color w:val="auto"/>
                <w:kern w:val="0"/>
                <w:sz w:val="18"/>
                <w:szCs w:val="18"/>
              </w:rPr>
            </w:pPr>
            <w:r>
              <w:rPr>
                <w:rFonts w:hint="eastAsia" w:ascii="宋体" w:hAnsi="宋体" w:cs="宋体"/>
                <w:b w:val="0"/>
                <w:bCs w:val="0"/>
                <w:color w:val="auto"/>
                <w:kern w:val="0"/>
                <w:sz w:val="18"/>
                <w:szCs w:val="18"/>
              </w:rPr>
              <w:t>孔令云：1、已完成半数受试对象入组和图像分析  2、已参加国内会议一次。</w:t>
            </w:r>
          </w:p>
          <w:p>
            <w:pPr>
              <w:widowControl/>
              <w:shd w:val="clear"/>
              <w:spacing w:line="240" w:lineRule="exact"/>
              <w:jc w:val="left"/>
              <w:rPr>
                <w:rFonts w:hint="eastAsia" w:ascii="宋体" w:hAnsi="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易懿：已完成超表面线圈的研发，并在3T临床磁共振下实现超高分辨率成像。</w:t>
            </w:r>
          </w:p>
          <w:p>
            <w:pPr>
              <w:widowControl/>
              <w:shd w:val="clear"/>
              <w:spacing w:line="240" w:lineRule="exact"/>
              <w:jc w:val="left"/>
              <w:rPr>
                <w:rFonts w:hint="eastAsia" w:ascii="宋体" w:hAnsi="宋体" w:cs="宋体"/>
                <w:b w:val="0"/>
                <w:bCs w:val="0"/>
                <w:color w:val="auto"/>
                <w:kern w:val="0"/>
                <w:sz w:val="18"/>
                <w:szCs w:val="18"/>
              </w:rPr>
            </w:pPr>
            <w:r>
              <w:rPr>
                <w:rFonts w:hint="eastAsia" w:ascii="宋体" w:hAnsi="宋体" w:cs="宋体"/>
                <w:b w:val="0"/>
                <w:bCs w:val="0"/>
                <w:color w:val="auto"/>
                <w:kern w:val="0"/>
                <w:sz w:val="18"/>
                <w:szCs w:val="18"/>
              </w:rPr>
              <w:t>靳松：已完成HSP90α介导前列腺上皮-间质细胞转化的表型验证的体外细胞实验，正在进一步完善其具体信号通路机制。</w:t>
            </w:r>
          </w:p>
          <w:p>
            <w:pPr>
              <w:widowControl/>
              <w:shd w:val="clear"/>
              <w:spacing w:line="240" w:lineRule="exact"/>
              <w:jc w:val="left"/>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杜桂芳：完成肝细胞癌相关公共组学数据收集并分析；依托北京清华长庚医院肝胆胰中心完成肝细胞癌临床样本收集；完成基于多组学的肝细胞癌的染色质开放性表征及关键靶点和转录因子筛选算法框架开发。</w:t>
            </w:r>
          </w:p>
          <w:p>
            <w:pPr>
              <w:widowControl/>
              <w:shd w:val="clea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胥晓飞：</w:t>
            </w:r>
            <w:r>
              <w:rPr>
                <w:rFonts w:hint="eastAsia" w:ascii="宋体" w:hAnsi="宋体" w:cs="宋体"/>
                <w:b w:val="0"/>
                <w:bCs w:val="0"/>
                <w:color w:val="auto"/>
                <w:kern w:val="0"/>
                <w:sz w:val="18"/>
                <w:szCs w:val="18"/>
              </w:rPr>
              <w:t>目前已完成KLOTHO与DOR相关性的初步探索，已进行过表达载体构建及siRNA合成，进行体外细胞系培养及目标基因过表达及降调，并完成了细胞增殖检测，但尚未进行结果分析，尚未进行相关蛋白及信号通路分析。</w:t>
            </w:r>
          </w:p>
          <w:p>
            <w:pPr>
              <w:widowControl/>
              <w:shd w:val="clear"/>
              <w:spacing w:line="240" w:lineRule="exact"/>
              <w:jc w:val="left"/>
              <w:rPr>
                <w:rFonts w:ascii="宋体" w:hAnsi="宋体" w:eastAsia="宋体" w:cs="宋体"/>
                <w:b w:val="0"/>
                <w:bCs w:val="0"/>
                <w:color w:val="auto"/>
                <w:sz w:val="18"/>
                <w:szCs w:val="18"/>
              </w:rPr>
            </w:pPr>
            <w:r>
              <w:rPr>
                <w:rFonts w:hint="eastAsia" w:ascii="宋体" w:hAnsi="宋体" w:cs="宋体"/>
                <w:b w:val="0"/>
                <w:bCs w:val="0"/>
                <w:color w:val="auto"/>
                <w:kern w:val="0"/>
                <w:sz w:val="18"/>
                <w:szCs w:val="18"/>
                <w:lang w:eastAsia="zh-CN"/>
              </w:rPr>
              <w:t>柳玉倩：</w:t>
            </w:r>
            <w:r>
              <w:rPr>
                <w:rFonts w:ascii="宋体" w:hAnsi="宋体" w:eastAsia="宋体" w:cs="宋体"/>
                <w:b w:val="0"/>
                <w:bCs w:val="0"/>
                <w:color w:val="auto"/>
                <w:sz w:val="18"/>
                <w:szCs w:val="18"/>
              </w:rPr>
              <w:t>已完成3年接诉即办3份分报告和1份总报告，完成满意度问卷设计及发放。</w:t>
            </w:r>
          </w:p>
          <w:p>
            <w:pPr>
              <w:widowControl/>
              <w:shd w:val="clear"/>
              <w:spacing w:line="240" w:lineRule="exact"/>
              <w:jc w:val="left"/>
              <w:rPr>
                <w:rFonts w:hint="eastAsia" w:ascii="宋体" w:hAnsi="宋体" w:eastAsia="宋体" w:cs="宋体"/>
                <w:b w:val="0"/>
                <w:bCs w:val="0"/>
                <w:color w:val="auto"/>
                <w:sz w:val="18"/>
                <w:szCs w:val="18"/>
                <w:lang w:val="en-US" w:eastAsia="zh-CN"/>
              </w:rPr>
            </w:pPr>
            <w:r>
              <w:rPr>
                <w:rFonts w:hint="eastAsia" w:ascii="宋体" w:hAnsi="宋体" w:cs="宋体"/>
                <w:b w:val="0"/>
                <w:bCs w:val="0"/>
                <w:color w:val="auto"/>
                <w:sz w:val="18"/>
                <w:szCs w:val="18"/>
                <w:lang w:eastAsia="zh-CN"/>
              </w:rPr>
              <w:t>张蕾：</w:t>
            </w:r>
            <w:r>
              <w:rPr>
                <w:rFonts w:ascii="宋体" w:hAnsi="宋体" w:eastAsia="宋体" w:cs="宋体"/>
                <w:b w:val="0"/>
                <w:bCs w:val="0"/>
                <w:color w:val="auto"/>
                <w:sz w:val="18"/>
                <w:szCs w:val="18"/>
              </w:rPr>
              <w:t>年度总体目标基本完成，已形成服务指南提交政府主管部门，提炼总结介入理论及方法并形成中英文学术文章，完成教学培养和推广交流任务，年度预算已按计划全部支领。</w:t>
            </w:r>
          </w:p>
        </w:tc>
      </w:tr>
      <w:tr>
        <w:tblPrEx>
          <w:tblCellMar>
            <w:top w:w="0" w:type="dxa"/>
            <w:left w:w="108" w:type="dxa"/>
            <w:bottom w:w="0" w:type="dxa"/>
            <w:right w:w="108" w:type="dxa"/>
          </w:tblCellMar>
        </w:tblPrEx>
        <w:trPr>
          <w:trHeight w:val="517" w:hRule="exact"/>
          <w:jc w:val="center"/>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二级指标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三级指标</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年度</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指标值</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实际</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分值</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得分</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偏差原因分析及改进措施</w:t>
            </w:r>
          </w:p>
        </w:tc>
      </w:tr>
      <w:tr>
        <w:tblPrEx>
          <w:tblCellMar>
            <w:top w:w="0" w:type="dxa"/>
            <w:left w:w="108" w:type="dxa"/>
            <w:bottom w:w="0" w:type="dxa"/>
            <w:right w:w="108" w:type="dxa"/>
          </w:tblCellMar>
        </w:tblPrEx>
        <w:trPr>
          <w:trHeight w:val="481"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产出指标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50分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数量指标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艾尼：参加学术会议场次</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2场</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64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艾尼：发表SCI核心期刊论文篇数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柳玉倩：发表中文核心期刊论文篇数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正在投稿</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柳玉倩：发表研究报告的份数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1份</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已完成3年接诉即办总研究报告。</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张蕾：发表中文核心期刊论文篇数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0.5</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一篇论文正在投稿中</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张蕾：形成研究报告的份数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1份</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83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杜桂芳：发表SCI核心期刊论文篇数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eastAsia="zh-CN"/>
              </w:rPr>
              <w:t>项目负责人已于</w:t>
            </w:r>
            <w:r>
              <w:rPr>
                <w:rFonts w:hint="eastAsia" w:ascii="宋体" w:hAnsi="宋体" w:cs="宋体"/>
                <w:b w:val="0"/>
                <w:bCs w:val="0"/>
                <w:color w:val="auto"/>
                <w:kern w:val="0"/>
                <w:sz w:val="18"/>
                <w:szCs w:val="18"/>
                <w:lang w:val="en-US" w:eastAsia="zh-CN"/>
              </w:rPr>
              <w:t>2024年3月离职</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杜桂芳：形成研究报告的份数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1份</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杜桂芳：课题研究设计方案</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胥晓飞：发表中文核心期刊论文篇数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正在投稿中</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胥晓飞：完成实验个数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6个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6个</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99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靳松：发表SCI/中文核心期刊论文篇数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一篇SCI论文已接收，拟发表于world journal of urology</w:t>
            </w:r>
          </w:p>
        </w:tc>
      </w:tr>
      <w:tr>
        <w:tblPrEx>
          <w:tblCellMar>
            <w:top w:w="0" w:type="dxa"/>
            <w:left w:w="108" w:type="dxa"/>
            <w:bottom w:w="0" w:type="dxa"/>
            <w:right w:w="108" w:type="dxa"/>
          </w:tblCellMar>
        </w:tblPrEx>
        <w:trPr>
          <w:trHeight w:val="95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靳松：完成会议摘要投稿个数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一篇会议摘要收录于2024年欧洲泌尿外科年会，壁报展示</w:t>
            </w:r>
          </w:p>
        </w:tc>
      </w:tr>
      <w:tr>
        <w:tblPrEx>
          <w:tblCellMar>
            <w:top w:w="0" w:type="dxa"/>
            <w:left w:w="108" w:type="dxa"/>
            <w:bottom w:w="0" w:type="dxa"/>
            <w:right w:w="108" w:type="dxa"/>
          </w:tblCellMar>
        </w:tblPrEx>
        <w:trPr>
          <w:trHeight w:val="90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靳松：开展课题研究个数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拟开展北京市科协人才托举工程项目一项</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易懿：超材料线圈样品</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易懿：形成研究报告的份数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2份</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83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易懿：发表中文核心期刊论文篇数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论文虽然已经撰写完成，从投稿到发表还需时间，目前正在投稿阶段，预计2024年底可发表。</w:t>
            </w: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易懿：发表SCI期刊论文篇数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孔令云：患者入组例数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110人</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110人</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张蕾：培养专业人才数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4人</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4人</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易懿：培养专业人才数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2人</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8"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靳松：完成实验个数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88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质量指标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张蕾：指标1：中文核心期刊论文达到的标准/水平</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IF=1.0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09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杜桂芳：SCI论文达到的标准/水平</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达到SCI水平，IF≥3.0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eastAsia="zh-CN"/>
              </w:rPr>
              <w:t>项目负责人已于</w:t>
            </w:r>
            <w:r>
              <w:rPr>
                <w:rFonts w:hint="eastAsia" w:ascii="宋体" w:hAnsi="宋体" w:cs="宋体"/>
                <w:b w:val="0"/>
                <w:bCs w:val="0"/>
                <w:color w:val="auto"/>
                <w:kern w:val="0"/>
                <w:sz w:val="18"/>
                <w:szCs w:val="18"/>
                <w:lang w:val="en-US" w:eastAsia="zh-CN"/>
              </w:rPr>
              <w:t>2024年3月离职</w:t>
            </w:r>
          </w:p>
        </w:tc>
      </w:tr>
      <w:tr>
        <w:tblPrEx>
          <w:tblCellMar>
            <w:top w:w="0" w:type="dxa"/>
            <w:left w:w="108" w:type="dxa"/>
            <w:bottom w:w="0" w:type="dxa"/>
            <w:right w:w="108" w:type="dxa"/>
          </w:tblCellMar>
        </w:tblPrEx>
        <w:trPr>
          <w:trHeight w:val="88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易懿：SCI论文达到的标准</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IF≥3.0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时效指标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张蕾：项目实施满意度调查</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2024年9月</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进行中</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张蕾：完成服务指南撰写</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2024年3月</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4</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张蕾：完成人才培养</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2024年3月</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4</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张蕾：完成方案制定和前期准备工作</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2024年2月</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4</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易懿：完成磁共振实验</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2024年6月前</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64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成本指标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胥晓飞：体外细胞系实验单位平均控制成本</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≦2万元</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≦2万元</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840"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张蕾：人才培养平均控制成本</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≦2.1万元</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实际为0.6605万元</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840"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val="0"/>
                <w:bCs w:val="0"/>
                <w:color w:val="auto"/>
                <w:kern w:val="0"/>
                <w:sz w:val="18"/>
                <w:szCs w:val="18"/>
              </w:rPr>
            </w:pPr>
            <w:r>
              <w:rPr>
                <w:rFonts w:hint="eastAsia" w:ascii="宋体" w:hAnsi="宋体" w:cs="宋体"/>
                <w:b w:val="0"/>
                <w:bCs w:val="0"/>
                <w:color w:val="auto"/>
                <w:kern w:val="0"/>
                <w:sz w:val="18"/>
                <w:szCs w:val="18"/>
              </w:rPr>
              <w:t>项目总预算控制数</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rPr>
              <w:t>≤</w:t>
            </w:r>
            <w:r>
              <w:rPr>
                <w:rFonts w:hint="eastAsia" w:ascii="宋体" w:hAnsi="宋体" w:cs="宋体"/>
                <w:b w:val="0"/>
                <w:bCs w:val="0"/>
                <w:color w:val="auto"/>
                <w:kern w:val="0"/>
                <w:sz w:val="18"/>
                <w:szCs w:val="18"/>
                <w:lang w:val="en-US" w:eastAsia="zh-CN"/>
              </w:rPr>
              <w:t>28万元</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default" w:ascii="宋体" w:hAnsi="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28万元</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18</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18</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64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效益指标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30分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经济效益</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柳玉倩：接诉即办解决率</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≥96%</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64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柳玉倩：接诉即办年度综合响应率</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002"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靳松：本课题为前期基础研究</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为后期靶向药物的研发奠定基础</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前期实验为后期靶向药物研发做准备</w:t>
            </w:r>
          </w:p>
        </w:tc>
      </w:tr>
      <w:tr>
        <w:tblPrEx>
          <w:tblCellMar>
            <w:top w:w="0" w:type="dxa"/>
            <w:left w:w="108" w:type="dxa"/>
            <w:bottom w:w="0" w:type="dxa"/>
            <w:right w:w="108" w:type="dxa"/>
          </w:tblCellMar>
        </w:tblPrEx>
        <w:trPr>
          <w:trHeight w:val="2342"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社会效益</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靳松：针对早期BPH患者</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提供精准化治疗方案，为患者缓解疾病忧虑</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在临床中，已针对早期BPH患者提供预防措施和进一步抑制疾病进展的建议</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在临床中，已针对早期BPH患者提供预防措施和进一步抑制疾病进展的建议。</w:t>
            </w:r>
          </w:p>
        </w:tc>
      </w:tr>
      <w:tr>
        <w:tblPrEx>
          <w:tblCellMar>
            <w:top w:w="0" w:type="dxa"/>
            <w:left w:w="108" w:type="dxa"/>
            <w:bottom w:w="0" w:type="dxa"/>
            <w:right w:w="108" w:type="dxa"/>
          </w:tblCellMar>
        </w:tblPrEx>
        <w:trPr>
          <w:trHeight w:val="1356"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胥晓飞：确定KLOTHO与卵巢衰老相关性</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初步体外探索KLOTHO与衰老相关性</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相关性已确定，初步探索已完成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95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张蕾：倡导社会大众正确生命观</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ascii="宋体" w:hAnsi="宋体" w:cs="宋体"/>
                <w:b w:val="0"/>
                <w:bCs w:val="0"/>
                <w:color w:val="auto"/>
                <w:kern w:val="0"/>
                <w:sz w:val="18"/>
                <w:szCs w:val="18"/>
              </w:rPr>
            </w:pPr>
            <w:r>
              <w:rPr>
                <w:rFonts w:hint="eastAsia" w:ascii="宋体" w:hAnsi="宋体" w:cs="宋体"/>
                <w:b w:val="0"/>
                <w:bCs w:val="0"/>
                <w:color w:val="auto"/>
                <w:kern w:val="0"/>
                <w:sz w:val="18"/>
                <w:szCs w:val="18"/>
              </w:rPr>
              <w:t>通过政府主管部门和行业协会推广</w:t>
            </w: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6场活动</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2529"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可持续影响指标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靳松：针对BPH患者</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ascii="宋体" w:hAnsi="宋体" w:cs="宋体"/>
                <w:b w:val="0"/>
                <w:bCs w:val="0"/>
                <w:color w:val="auto"/>
                <w:kern w:val="0"/>
                <w:sz w:val="18"/>
                <w:szCs w:val="18"/>
              </w:rPr>
            </w:pPr>
            <w:r>
              <w:rPr>
                <w:rFonts w:hint="eastAsia" w:ascii="宋体" w:hAnsi="宋体" w:cs="宋体"/>
                <w:b w:val="0"/>
                <w:bCs w:val="0"/>
                <w:color w:val="auto"/>
                <w:kern w:val="0"/>
                <w:sz w:val="18"/>
                <w:szCs w:val="18"/>
              </w:rPr>
              <w:t>探索BPH的病因以及促进BPH进展的原因，这将对BPH的预防及其治疗具有重要意义</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从前列腺上皮细胞方向阐述早期进展患者的发病机制，为总体BPH人群提供理论依据</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940"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张蕾：推动安宁社会工作规范化和可持续</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通过政府主管部门和行业协会推广</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lang w:eastAsia="zh-CN"/>
              </w:rPr>
              <w:t>参与北京市卫健委牵头课题；受政府部门委托，撰写服务指南</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05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杜桂芳：筛选并验证肝癌染色质可及性分子靶标</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eastAsia="zh-CN"/>
              </w:rPr>
              <w:t>项目负责人已于</w:t>
            </w:r>
            <w:r>
              <w:rPr>
                <w:rFonts w:hint="eastAsia" w:ascii="宋体" w:hAnsi="宋体" w:cs="宋体"/>
                <w:b w:val="0"/>
                <w:bCs w:val="0"/>
                <w:color w:val="auto"/>
                <w:kern w:val="0"/>
                <w:sz w:val="18"/>
                <w:szCs w:val="18"/>
                <w:lang w:val="en-US" w:eastAsia="zh-CN"/>
              </w:rPr>
              <w:t>2024年3月离职</w:t>
            </w:r>
          </w:p>
        </w:tc>
      </w:tr>
      <w:tr>
        <w:tblPrEx>
          <w:tblCellMar>
            <w:top w:w="0" w:type="dxa"/>
            <w:left w:w="108" w:type="dxa"/>
            <w:bottom w:w="0" w:type="dxa"/>
            <w:right w:w="108" w:type="dxa"/>
          </w:tblCellMar>
        </w:tblPrEx>
        <w:trPr>
          <w:trHeight w:val="100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满意度</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服务对象满意度指标</w:t>
            </w: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张蕾：家属满意度</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≥90%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bookmarkEnd w:id="0"/>
      <w:tr>
        <w:tblPrEx>
          <w:tblCellMar>
            <w:top w:w="0" w:type="dxa"/>
            <w:left w:w="108" w:type="dxa"/>
            <w:bottom w:w="0" w:type="dxa"/>
            <w:right w:w="108" w:type="dxa"/>
          </w:tblCellMar>
        </w:tblPrEx>
        <w:trPr>
          <w:trHeight w:val="100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柳玉倩：项目研究满意度</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未出结果</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正在调查中</w:t>
            </w:r>
          </w:p>
        </w:tc>
      </w:tr>
      <w:tr>
        <w:tblPrEx>
          <w:tblCellMar>
            <w:top w:w="0" w:type="dxa"/>
            <w:left w:w="108" w:type="dxa"/>
            <w:bottom w:w="0" w:type="dxa"/>
            <w:right w:w="108" w:type="dxa"/>
          </w:tblCellMar>
        </w:tblPrEx>
        <w:trPr>
          <w:trHeight w:val="100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靳松：早期BPH患者满意度</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≥70%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00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c>
          <w:tcPr>
            <w:tcW w:w="2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张蕾：患者满意度</w:t>
            </w:r>
          </w:p>
        </w:tc>
        <w:tc>
          <w:tcPr>
            <w:tcW w:w="9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≥90%</w:t>
            </w:r>
          </w:p>
        </w:tc>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≥90%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94" w:hRule="exact"/>
          <w:jc w:val="center"/>
        </w:trPr>
        <w:tc>
          <w:tcPr>
            <w:tcW w:w="6697"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84.5</w:t>
            </w:r>
          </w:p>
        </w:tc>
        <w:tc>
          <w:tcPr>
            <w:tcW w:w="12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bl>
    <w:p>
      <w:pPr>
        <w:rPr>
          <w:color w:val="auto"/>
        </w:rPr>
      </w:pPr>
    </w:p>
    <w:p>
      <w:pPr>
        <w:rPr>
          <w:color w:val="auto"/>
          <w:sz w:val="28"/>
          <w:szCs w:val="36"/>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14619F"/>
    <w:rsid w:val="002703C6"/>
    <w:rsid w:val="003954D7"/>
    <w:rsid w:val="00A21ED2"/>
    <w:rsid w:val="00AE1D46"/>
    <w:rsid w:val="00BE11B1"/>
    <w:rsid w:val="0167401F"/>
    <w:rsid w:val="082C269F"/>
    <w:rsid w:val="08A90D2D"/>
    <w:rsid w:val="118C5756"/>
    <w:rsid w:val="13AB3BAB"/>
    <w:rsid w:val="17B91FAA"/>
    <w:rsid w:val="17CC7AF5"/>
    <w:rsid w:val="1C46568C"/>
    <w:rsid w:val="1DFC61BB"/>
    <w:rsid w:val="24D40F7C"/>
    <w:rsid w:val="27EC6A6B"/>
    <w:rsid w:val="286C4782"/>
    <w:rsid w:val="289C222B"/>
    <w:rsid w:val="28FF42C9"/>
    <w:rsid w:val="33A53EC8"/>
    <w:rsid w:val="3A912821"/>
    <w:rsid w:val="3C9E39FD"/>
    <w:rsid w:val="44A66286"/>
    <w:rsid w:val="461E5E07"/>
    <w:rsid w:val="467E6B7C"/>
    <w:rsid w:val="4BA31C33"/>
    <w:rsid w:val="4D32521E"/>
    <w:rsid w:val="50F04F55"/>
    <w:rsid w:val="536072D8"/>
    <w:rsid w:val="54691D09"/>
    <w:rsid w:val="5B560C66"/>
    <w:rsid w:val="611E1462"/>
    <w:rsid w:val="63872CC8"/>
    <w:rsid w:val="64DE0B89"/>
    <w:rsid w:val="68040C99"/>
    <w:rsid w:val="68AF3DCD"/>
    <w:rsid w:val="6C042DC1"/>
    <w:rsid w:val="6CE028AE"/>
    <w:rsid w:val="6DC421C8"/>
    <w:rsid w:val="6E7838C8"/>
    <w:rsid w:val="748C3843"/>
    <w:rsid w:val="75321A53"/>
    <w:rsid w:val="7E322F29"/>
    <w:rsid w:val="7E3D3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Autospacing="1" w:afterAutospacing="1"/>
      <w:jc w:val="left"/>
    </w:pPr>
    <w:rPr>
      <w:kern w:val="0"/>
      <w:sz w:val="24"/>
    </w:rPr>
  </w:style>
  <w:style w:type="character" w:styleId="8">
    <w:name w:val="annotation reference"/>
    <w:basedOn w:val="7"/>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3004</Words>
  <Characters>3227</Characters>
  <Lines>20</Lines>
  <Paragraphs>5</Paragraphs>
  <TotalTime>25</TotalTime>
  <ScaleCrop>false</ScaleCrop>
  <LinksUpToDate>false</LinksUpToDate>
  <CharactersWithSpaces>3245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cp:lastPrinted>2024-04-30T01:06:00Z</cp:lastPrinted>
  <dcterms:modified xsi:type="dcterms:W3CDTF">2024-05-17T08:39:33Z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E71B598B5A894B68816C919C316B5659_13</vt:lpwstr>
  </property>
</Properties>
</file>