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bookmarkStart w:id="0" w:name="_Hlk116912023"/>
    </w:p>
    <w:p>
      <w:pPr>
        <w:pStyle w:val="4"/>
        <w:spacing w:before="0" w:line="360" w:lineRule="auto"/>
        <w:jc w:val="center"/>
        <w:rPr>
          <w:rFonts w:hint="eastAsia" w:ascii="宋体" w:hAnsi="宋体" w:eastAsia="宋体" w:cs="宋体"/>
          <w:sz w:val="28"/>
        </w:rPr>
      </w:pPr>
      <w:bookmarkStart w:id="1" w:name="_Toc156309079"/>
      <w:r>
        <w:rPr>
          <w:rFonts w:hint="eastAsia" w:ascii="宋体" w:hAnsi="宋体" w:eastAsia="宋体" w:cs="宋体"/>
          <w:sz w:val="28"/>
        </w:rPr>
        <w:t>一  需求</w:t>
      </w:r>
      <w:bookmarkEnd w:id="1"/>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4079"/>
        <w:gridCol w:w="130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24" w:type="pct"/>
            <w:vAlign w:val="center"/>
          </w:tcPr>
          <w:p>
            <w:pPr>
              <w:tabs>
                <w:tab w:val="left" w:pos="945"/>
                <w:tab w:val="left" w:pos="2977"/>
              </w:tabs>
              <w:spacing w:line="360" w:lineRule="auto"/>
              <w:contextualSpacing/>
              <w:rPr>
                <w:rFonts w:hint="eastAsia" w:ascii="宋体" w:hAnsi="宋体" w:eastAsia="宋体" w:cs="宋体"/>
                <w:sz w:val="24"/>
              </w:rPr>
            </w:pPr>
            <w:r>
              <w:rPr>
                <w:rFonts w:hint="eastAsia" w:ascii="宋体" w:hAnsi="宋体" w:eastAsia="宋体" w:cs="宋体"/>
                <w:sz w:val="24"/>
              </w:rPr>
              <w:t>包号</w:t>
            </w:r>
          </w:p>
        </w:tc>
        <w:tc>
          <w:tcPr>
            <w:tcW w:w="2393" w:type="pct"/>
            <w:vAlign w:val="center"/>
          </w:tcPr>
          <w:p>
            <w:pPr>
              <w:tabs>
                <w:tab w:val="left" w:pos="945"/>
                <w:tab w:val="left" w:pos="2977"/>
              </w:tabs>
              <w:spacing w:line="360" w:lineRule="auto"/>
              <w:contextualSpacing/>
              <w:jc w:val="center"/>
              <w:rPr>
                <w:rFonts w:hint="eastAsia" w:ascii="宋体" w:hAnsi="宋体" w:eastAsia="宋体" w:cs="宋体"/>
                <w:sz w:val="24"/>
              </w:rPr>
            </w:pPr>
            <w:r>
              <w:rPr>
                <w:rFonts w:hint="eastAsia" w:ascii="宋体" w:hAnsi="宋体" w:eastAsia="宋体" w:cs="宋体"/>
                <w:sz w:val="24"/>
              </w:rPr>
              <w:t>服务内容</w:t>
            </w:r>
          </w:p>
        </w:tc>
        <w:tc>
          <w:tcPr>
            <w:tcW w:w="768"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服务期</w:t>
            </w:r>
          </w:p>
        </w:tc>
        <w:tc>
          <w:tcPr>
            <w:tcW w:w="1415"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24" w:type="pct"/>
            <w:vAlign w:val="center"/>
          </w:tcPr>
          <w:p>
            <w:pPr>
              <w:tabs>
                <w:tab w:val="left" w:pos="945"/>
                <w:tab w:val="left" w:pos="2977"/>
              </w:tabs>
              <w:spacing w:line="360" w:lineRule="auto"/>
              <w:contextualSpacing/>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2393" w:type="pct"/>
            <w:vAlign w:val="center"/>
          </w:tcPr>
          <w:p>
            <w:pPr>
              <w:tabs>
                <w:tab w:val="left" w:pos="945"/>
                <w:tab w:val="left" w:pos="2977"/>
              </w:tabs>
              <w:spacing w:line="360" w:lineRule="auto"/>
              <w:contextualSpacing/>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病原体多重检测、基因检测</w:t>
            </w:r>
          </w:p>
        </w:tc>
        <w:tc>
          <w:tcPr>
            <w:tcW w:w="768"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1年</w:t>
            </w:r>
          </w:p>
        </w:tc>
        <w:tc>
          <w:tcPr>
            <w:tcW w:w="1415"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北京清华长庚医院</w:t>
            </w:r>
          </w:p>
        </w:tc>
      </w:tr>
    </w:tbl>
    <w:p>
      <w:pPr>
        <w:tabs>
          <w:tab w:val="left" w:pos="945"/>
          <w:tab w:val="left" w:pos="2977"/>
        </w:tabs>
        <w:spacing w:line="360" w:lineRule="auto"/>
        <w:ind w:left="2977" w:hanging="2977"/>
        <w:rPr>
          <w:rFonts w:hint="eastAsia" w:ascii="宋体" w:hAnsi="宋体" w:eastAsia="宋体" w:cs="宋体"/>
          <w:sz w:val="24"/>
        </w:rPr>
      </w:pPr>
    </w:p>
    <w:p>
      <w:pPr>
        <w:pStyle w:val="4"/>
        <w:spacing w:before="0" w:line="360" w:lineRule="auto"/>
        <w:jc w:val="center"/>
        <w:rPr>
          <w:rFonts w:hint="eastAsia" w:ascii="宋体" w:hAnsi="宋体" w:eastAsia="宋体" w:cs="宋体"/>
          <w:sz w:val="28"/>
        </w:rPr>
      </w:pPr>
      <w:bookmarkStart w:id="2" w:name="_Toc156309080"/>
      <w:r>
        <w:rPr>
          <w:rFonts w:hint="eastAsia" w:ascii="宋体" w:hAnsi="宋体" w:eastAsia="宋体" w:cs="宋体"/>
          <w:sz w:val="28"/>
        </w:rPr>
        <w:t>二  技术要求</w:t>
      </w:r>
      <w:bookmarkEnd w:id="2"/>
    </w:p>
    <w:p>
      <w:pPr>
        <w:pStyle w:val="5"/>
        <w:ind w:firstLine="0"/>
        <w:rPr>
          <w:rFonts w:hint="eastAsia" w:ascii="宋体" w:hAnsi="宋体" w:eastAsia="宋体" w:cs="宋体"/>
        </w:rPr>
      </w:pP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rPr>
        <w:t>项目概况</w:t>
      </w:r>
    </w:p>
    <w:p>
      <w:pPr>
        <w:pStyle w:val="5"/>
        <w:spacing w:line="360" w:lineRule="auto"/>
        <w:ind w:firstLine="480" w:firstLineChars="200"/>
        <w:rPr>
          <w:rFonts w:hint="eastAsia" w:ascii="宋体" w:hAnsi="宋体" w:eastAsia="宋体" w:cs="宋体"/>
        </w:rPr>
      </w:pPr>
      <w:r>
        <w:rPr>
          <w:rFonts w:hint="eastAsia" w:ascii="宋体" w:hAnsi="宋体" w:eastAsia="宋体" w:cs="宋体"/>
          <w:lang w:val="en-US" w:eastAsia="zh-CN"/>
        </w:rPr>
        <w:t>遴选</w:t>
      </w:r>
      <w:r>
        <w:rPr>
          <w:rFonts w:hint="eastAsia" w:ascii="宋体" w:hAnsi="宋体" w:eastAsia="宋体" w:cs="宋体"/>
        </w:rPr>
        <w:t>部分外检项目：我院有部分检测项目，由于病例数有限和设备技术等条件所限，</w:t>
      </w:r>
      <w:r>
        <w:rPr>
          <w:rFonts w:hint="eastAsia" w:ascii="宋体" w:hAnsi="宋体" w:eastAsia="宋体" w:cs="宋体"/>
          <w:lang w:val="en-US" w:eastAsia="zh-CN"/>
        </w:rPr>
        <w:t>25</w:t>
      </w:r>
      <w:r>
        <w:rPr>
          <w:rFonts w:hint="eastAsia" w:ascii="宋体" w:hAnsi="宋体" w:eastAsia="宋体" w:cs="宋体"/>
        </w:rPr>
        <w:t>个检验项目暂时无法在我医院检验科开展，特此进行委外检验。经临床科室提出需求，检验科进行能力评估，现将部分外检项目进行</w:t>
      </w:r>
      <w:r>
        <w:rPr>
          <w:rFonts w:hint="eastAsia" w:ascii="宋体" w:hAnsi="宋体" w:eastAsia="宋体" w:cs="宋体"/>
          <w:lang w:val="en-US" w:eastAsia="zh-CN"/>
        </w:rPr>
        <w:t>院内遴选</w:t>
      </w:r>
      <w:r>
        <w:rPr>
          <w:rFonts w:hint="eastAsia" w:ascii="宋体" w:hAnsi="宋体" w:eastAsia="宋体" w:cs="宋体"/>
        </w:rPr>
        <w:t>，具体项目清单及要求如下：</w:t>
      </w: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rPr>
        <w:t>项目清单</w:t>
      </w:r>
    </w:p>
    <w:tbl>
      <w:tblPr>
        <w:tblStyle w:val="11"/>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119"/>
        <w:gridCol w:w="2693"/>
        <w:gridCol w:w="879"/>
        <w:gridCol w:w="99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序号</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项目名称</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检测内容</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市场价（元）</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结算价（元）</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检测时效</w:t>
            </w:r>
          </w:p>
          <w:p>
            <w:pPr>
              <w:jc w:val="center"/>
              <w:rPr>
                <w:rFonts w:hint="eastAsia" w:ascii="宋体" w:hAnsi="宋体"/>
                <w:color w:val="000000"/>
                <w:sz w:val="18"/>
                <w:szCs w:val="18"/>
              </w:rPr>
            </w:pPr>
            <w:r>
              <w:rPr>
                <w:rFonts w:hint="eastAsia" w:ascii="宋体" w:hAnsi="宋体"/>
                <w:color w:val="000000"/>
                <w:sz w:val="18"/>
                <w:szCs w:val="18"/>
              </w:rPr>
              <w:t>（工作日）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抗栓药物用药指导基因检测</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药物：（氯吡格雷、华法林）</w:t>
            </w:r>
          </w:p>
          <w:p>
            <w:pPr>
              <w:jc w:val="center"/>
              <w:rPr>
                <w:rFonts w:hint="eastAsia" w:ascii="宋体" w:hAnsi="宋体" w:cs="宋体"/>
                <w:color w:val="000000"/>
                <w:sz w:val="18"/>
                <w:szCs w:val="18"/>
              </w:rPr>
            </w:pPr>
            <w:r>
              <w:rPr>
                <w:rFonts w:hint="eastAsia" w:ascii="宋体" w:hAnsi="宋体"/>
                <w:color w:val="000000"/>
                <w:sz w:val="18"/>
                <w:szCs w:val="18"/>
              </w:rPr>
              <w:t>基因位点：6基因9位点VKORC1 (-1639G&gt;A和1173T&gt;C)、CYP2C9 (1075A&gt;C)、CYP4F2 (1297C&gt;T)、GGCX (3261G&gt;A)、CYP2C19 (681G&gt;A、636G&gt;A和-806C&gt;T)和CYP3A4 (894C&gt;T)</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720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389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超广谱病原微生物mNGS检测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可筛查临床样本中与人类疾病相关的三万多种病原微生物，指标涵盖DNA病毒、RNA病毒（包括新型冠状病毒SARS-CoV-2）、细菌、真菌、寄生虫、耐药基因等</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4000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2160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临床全外显子组基因检测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包含</w:t>
            </w:r>
            <w:r>
              <w:rPr>
                <w:rFonts w:ascii="宋体" w:hAnsi="宋体"/>
                <w:color w:val="000000"/>
                <w:sz w:val="18"/>
                <w:szCs w:val="18"/>
              </w:rPr>
              <w:t>4269种疾病和3877个基因的外显子检测。</w:t>
            </w:r>
          </w:p>
        </w:tc>
        <w:tc>
          <w:tcPr>
            <w:tcW w:w="879" w:type="dxa"/>
            <w:shd w:val="clear" w:color="auto" w:fill="auto"/>
            <w:vAlign w:val="center"/>
          </w:tcPr>
          <w:p>
            <w:pPr>
              <w:ind w:firstLine="360" w:firstLineChars="200"/>
              <w:jc w:val="center"/>
              <w:rPr>
                <w:rFonts w:hint="eastAsia" w:ascii="宋体" w:hAnsi="宋体" w:cs="宋体"/>
                <w:color w:val="000000"/>
                <w:sz w:val="18"/>
                <w:szCs w:val="18"/>
              </w:rPr>
            </w:pPr>
            <w:r>
              <w:rPr>
                <w:rFonts w:hint="eastAsia" w:ascii="宋体" w:hAnsi="宋体" w:cs="宋体"/>
                <w:color w:val="000000"/>
                <w:sz w:val="18"/>
                <w:szCs w:val="18"/>
              </w:rPr>
              <w:t>5200</w:t>
            </w:r>
          </w:p>
        </w:tc>
        <w:tc>
          <w:tcPr>
            <w:tcW w:w="993" w:type="dxa"/>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2808</w:t>
            </w:r>
          </w:p>
        </w:tc>
        <w:tc>
          <w:tcPr>
            <w:tcW w:w="1134" w:type="dxa"/>
          </w:tcPr>
          <w:p>
            <w:pPr>
              <w:jc w:val="center"/>
              <w:rPr>
                <w:rFonts w:hint="eastAsia" w:ascii="宋体" w:hAnsi="宋体" w:cs="宋体"/>
                <w:color w:val="000000"/>
                <w:sz w:val="18"/>
                <w:szCs w:val="18"/>
              </w:rPr>
            </w:pPr>
            <w:r>
              <w:rPr>
                <w:rFonts w:hint="eastAsia" w:ascii="宋体" w:hAnsi="宋体" w:cs="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PD-L1 表达检测</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 xml:space="preserve">PD-L1 </w:t>
            </w:r>
            <w:r>
              <w:rPr>
                <w:rFonts w:hint="eastAsia" w:ascii="宋体" w:hAnsi="宋体"/>
                <w:color w:val="000000"/>
                <w:sz w:val="18"/>
                <w:szCs w:val="18"/>
              </w:rPr>
              <w:t>表达水平</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2200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1188</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微卫星不稳定性检测（MSI）</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核苷酸重复位点共6个</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2400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1296</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w:t>
            </w:r>
          </w:p>
        </w:tc>
        <w:tc>
          <w:tcPr>
            <w:tcW w:w="311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HER-2基因扩增检测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HER-2基因扩增</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1620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乳腺癌预后评估基因检测（21基因）</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乳腺癌预后相关21个基因</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5000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2700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8</w:t>
            </w:r>
          </w:p>
        </w:tc>
        <w:tc>
          <w:tcPr>
            <w:tcW w:w="311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18种遗传性肿瘤基因检测（64基因）</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18种遗传性肿瘤基因检测（64基因）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标准版肿瘤靶向用药基因检测（组织</w:t>
            </w:r>
            <w:r>
              <w:rPr>
                <w:rFonts w:ascii="宋体" w:hAnsi="宋体"/>
                <w:color w:val="000000"/>
                <w:sz w:val="18"/>
                <w:szCs w:val="18"/>
              </w:rPr>
              <w:t>52基因）</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标准版肿瘤靶向用药基因检测（组织</w:t>
            </w:r>
            <w:r>
              <w:rPr>
                <w:rFonts w:ascii="宋体" w:hAnsi="宋体"/>
                <w:color w:val="000000"/>
                <w:sz w:val="18"/>
                <w:szCs w:val="18"/>
              </w:rPr>
              <w:t>52基因）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9800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5292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全能版肿瘤个体化用药指导基因检测（组织800基因）</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16800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9072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全能版肿瘤个体化用药指导基因检测（血液800基因）</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r>
              <w:rPr>
                <w:rFonts w:ascii="宋体" w:hAnsi="宋体"/>
                <w:color w:val="000000"/>
                <w:sz w:val="18"/>
                <w:szCs w:val="18"/>
              </w:rPr>
              <w:t>该检测全面，适用于实体瘤患者。</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16800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9072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基因拷贝数变异测序(CNV-seq)1.0</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23对染色体异常检测 、染色体微缺失/微重复</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1350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儿童安全用药基因检测（</w:t>
            </w:r>
            <w:r>
              <w:rPr>
                <w:rFonts w:ascii="宋体" w:hAnsi="宋体"/>
                <w:color w:val="000000"/>
                <w:sz w:val="18"/>
                <w:szCs w:val="18"/>
              </w:rPr>
              <w:t>I）</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5个基因6个位点58种药物</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儿童安全用药基因检测（</w:t>
            </w:r>
            <w:r>
              <w:rPr>
                <w:rFonts w:ascii="宋体" w:hAnsi="宋体"/>
                <w:color w:val="000000"/>
                <w:sz w:val="18"/>
                <w:szCs w:val="18"/>
              </w:rPr>
              <w:t>II）</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51个基因82个位点127种药物</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810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染色体核型分型</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23对染色体异常检测</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270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人乳头瘤病毒（HPV）22种分型检测（基因芯片法）</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22种HPV分型，含18种高危亚型、4种低危亚型</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220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十五项遗传性耳聋相关基因检测</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先天性耳聋、药物性耳聋、大前庭水管综合征检测</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1650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891</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18</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遗传性耳聋18个基因100个位点相关基因突变检测（高通量测序法）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覆盖非综合征耳聋和综合征耳聋相关的18个基因100个位点变异信息。</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6050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3267</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遗传性耳聋基因检测（227个基因+线粒体基因组）</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227个核基因组+线粒体基因组全序列，覆盖已报道的非综合征耳聋和综合征耳聋。</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GJB2编码区及剪切位点检测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GJB2外显子及其上下游10bp内含子单碱基突变、小插入缺失（&lt;20bp）</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1080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SLC26A4编码区及剪切位点检测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SLC26A4基因外显子及其上下游10bp内含子单碱基突变、小插入缺失（&lt;20bp）</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1080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杜氏/贝氏肌营养不良症(DMD/BMD)基因检测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DMD基因79个外显子编码区及其上下游50bp内含子以及21个内含子区域单碱基突变、小插入缺失（&lt;20bp）、外显子重复、外显子缺失</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1890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17种常见单基因遗传病基因检测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覆盖进行性假肥大型肌营养不良、苯丙酮尿症、α,β地中海贫血等17种常见隐性单基因遗传病、共27个基因。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1890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神经肌肉系统遗传病基因检测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覆盖肌营养不良、腓骨肌萎缩症、遗传性痉挛性截瘫等神经肌肉系统1314种遗传病、1004个基因。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ind w:firstLine="360" w:firstLineChars="200"/>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ind w:firstLine="360" w:firstLineChars="200"/>
              <w:rPr>
                <w:rFonts w:hint="eastAsia" w:ascii="宋体" w:hAnsi="宋体"/>
                <w:color w:val="000000"/>
                <w:sz w:val="18"/>
                <w:szCs w:val="18"/>
              </w:rPr>
            </w:pPr>
            <w:r>
              <w:rPr>
                <w:rFonts w:hint="eastAsia" w:ascii="宋体" w:hAnsi="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癫痫相关基因检测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覆盖早期婴儿癫痫性脑病、良性家族性新生儿癫痫等癫痫相关的498种遗传病、452个基因。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26</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呼吸系统靶向病原微生物核酸检测（高通量测序法）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可检测180多种呼吸系统感染常见病原微生物，指标涵盖DNA病毒、RNA病毒(包括新型冠状病毒 SARSCoV-2)、细菌、真菌、寄生虫等。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中枢神经系统靶向病原微生物核酸检测（高通量测序法）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可检测100多种中枢神经系统感染常见病原微生物，指标涵盖DNA病毒、RNA病毒、细菌、真菌、寄生虫等。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血流感染靶向病原微生物核酸检测（高通量测序法）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可检测140多种血流感染常见病原微生物，指标涵盖 DNA 病毒、RNA病毒、细菌、真菌、寄生虫等。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泌尿生殖系统靶向病原微生物核酸检测（高通量测序法）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可检测68种尿道炎、膀胱炎、肾盂肾炎以及尿脓毒症等泌尿生殖系统感染常见病原微生物，指标涵盖DNA病毒、细菌、真菌、寄生虫等。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单基因病扩展性携带者筛查（基础版）-单人</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可检测24个基因，24种疾病亚型，8000多个致病性和可能致病性位点。</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1800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972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单基因病扩展性携带者筛查（核心版）-单人</w:t>
            </w:r>
          </w:p>
        </w:tc>
        <w:tc>
          <w:tcPr>
            <w:tcW w:w="2693" w:type="dxa"/>
            <w:shd w:val="clear" w:color="auto" w:fill="auto"/>
          </w:tcPr>
          <w:p>
            <w:pPr>
              <w:jc w:val="center"/>
              <w:rPr>
                <w:rFonts w:hint="eastAsia" w:ascii="宋体" w:hAnsi="宋体" w:cs="宋体"/>
                <w:color w:val="000000"/>
                <w:sz w:val="18"/>
                <w:szCs w:val="18"/>
              </w:rPr>
            </w:pPr>
            <w:r>
              <w:rPr>
                <w:rFonts w:hint="eastAsia" w:ascii="宋体" w:hAnsi="宋体" w:cs="宋体"/>
                <w:color w:val="000000"/>
                <w:sz w:val="18"/>
                <w:szCs w:val="18"/>
              </w:rPr>
              <w:t>可检测200多个基因，300多种疾病亚型，15800多个致病性和可能致病性位点。</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1512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个人全外显子组基因检测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包含人类所有基因的外显子编码区，不包括外显缺失重复，动态突变和染色体易位检测等。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5200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2808</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家系（Trio）全外显子组基因检测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核心家系3人均个人全外检测，覆盖人类所有基因的外显子编码区，可检测单碱基突变和小的插入缺失突变，不包括外显子缺失重复、动态突变和染色体易位检测等。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12000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5616</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bl>
    <w:p>
      <w:pPr>
        <w:rPr>
          <w:rFonts w:hint="eastAsia" w:ascii="宋体" w:hAnsi="宋体" w:eastAsia="宋体" w:cs="宋体"/>
        </w:rPr>
      </w:pPr>
      <w:bookmarkStart w:id="3" w:name="_GoBack"/>
      <w:bookmarkEnd w:id="3"/>
    </w:p>
    <w:p>
      <w:pPr>
        <w:pStyle w:val="6"/>
        <w:numPr>
          <w:ilvl w:val="0"/>
          <w:numId w:val="1"/>
        </w:numPr>
        <w:rPr>
          <w:rFonts w:hint="eastAsia" w:ascii="宋体" w:hAnsi="宋体" w:eastAsia="宋体" w:cs="宋体"/>
        </w:rPr>
      </w:pPr>
      <w:r>
        <w:rPr>
          <w:rFonts w:hint="eastAsia" w:ascii="宋体" w:hAnsi="宋体" w:eastAsia="宋体" w:cs="宋体"/>
        </w:rPr>
        <w:t>服务要求</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建立并完善质量管理体系，保持良好的运行，按照国家相关法律法规要求，保证检测结果的准确性，在规定时间负责收取运送标本、并执行检测、发布报告工作，回答临床咨询并处理相关风险。</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投标单位所有检测人员具备执业资格，具备项目所需符合条件的实验操作人员，保证人员数量，具备对实验操作人员的培训和规范管理能力。</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具备对医院招标项目进行检测的设备并保持良好使用维护状态，提供设备购买凭证或发票或租赁合同。</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检验所使用的试剂、检测方法必须符合国家标准，所申报项目的检测方法为业内公认或国际通用的检测方法，并参加国家卫健委、市卫健委临检中心室间质评或实验室间比对。</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提供招标项目所需的相关耗材和管理性文件，如申请单、标本和报告转接记录单和规范标本转运箱等。</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投标人可提供工作日接收标本服务；收取标本时，须对标本的完好性进行核查，对不合格的送检标本有权拒收；按双方约定的时间取送标本；避免发生样本损坏、丢失信息混乱等意外事件，有完善的记录可追溯。</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对于医院所提供标本的相关信息需要负有保密责任，但因相关法律、法规的明确规定，必须向有关国家机关、政府部门及公众披露的除外。</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派专人、专车负责送检标本的安全运输，并保证必须的“冷链”运输。</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双方约定发布报告的时间和格式，并需征得医院科室的同意确认，投标人应在投标文件中清楚表明是否响应医院报告周期的要求，并将已检验标本及检验报告按照行业规范化要求保存适当时间。</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具备客服部，工作日可对医院和患者的问题进行实时响应；在院方要求或双方约定的期限内出具准确的检测报告；回答临床咨询和承担报告结果解释工作。</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检验服务所涉及到的标本采集、结果报告周期、标本保存条件等能够满足临床需要并符合行业标准。</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投标人应承担因检测质量问题带来的风险和后果，不对采购人构成经济和社会声誉影响。</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及时完成项目耗材的配送，不延误医院使用并保证供应安全，达到卫生行业标准。</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投标人应接受采购人不定</w:t>
      </w:r>
      <w:r>
        <w:rPr>
          <w:rFonts w:hint="eastAsia" w:cs="宋体"/>
          <w:lang w:val="en-US" w:eastAsia="zh-CN"/>
        </w:rPr>
        <w:t>期</w:t>
      </w:r>
      <w:r>
        <w:rPr>
          <w:rFonts w:hint="eastAsia" w:ascii="宋体" w:hAnsi="宋体" w:eastAsia="宋体" w:cs="宋体"/>
        </w:rPr>
        <w:t>对进行的质量监控，并如实提供文件资料，投标机构需提供相关证书、资料复印件加盖公章。</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合同签订之日起1年内均能保证满足临床需求。</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各项检验项目的报告时效要求要达到项目清单中所列时效要求。</w:t>
      </w:r>
      <w:bookmarkEnd w:id="0"/>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lang w:val="en-US" w:eastAsia="zh-CN"/>
        </w:rPr>
        <w:t>评审标准</w:t>
      </w:r>
    </w:p>
    <w:tbl>
      <w:tblPr>
        <w:tblStyle w:val="11"/>
        <w:tblpPr w:leftFromText="180" w:rightFromText="180" w:vertAnchor="text" w:horzAnchor="page" w:tblpX="1733" w:tblpY="1245"/>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41"/>
        <w:gridCol w:w="483"/>
        <w:gridCol w:w="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7"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项目分类</w:t>
            </w:r>
          </w:p>
        </w:tc>
        <w:tc>
          <w:tcPr>
            <w:tcW w:w="1341"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分项标准</w:t>
            </w:r>
          </w:p>
        </w:tc>
        <w:tc>
          <w:tcPr>
            <w:tcW w:w="483"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分值</w:t>
            </w:r>
          </w:p>
        </w:tc>
        <w:tc>
          <w:tcPr>
            <w:tcW w:w="5867"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 w:type="dxa"/>
            <w:noWrap/>
            <w:vAlign w:val="center"/>
          </w:tcPr>
          <w:p>
            <w:pPr>
              <w:jc w:val="left"/>
              <w:rPr>
                <w:rFonts w:hint="eastAsia" w:ascii="宋体" w:hAnsi="宋体" w:eastAsia="宋体" w:cs="宋体"/>
                <w:bCs/>
                <w:sz w:val="24"/>
              </w:rPr>
            </w:pPr>
            <w:r>
              <w:rPr>
                <w:rFonts w:hint="eastAsia" w:ascii="宋体" w:hAnsi="宋体" w:eastAsia="宋体" w:cs="宋体"/>
                <w:bCs/>
                <w:sz w:val="24"/>
              </w:rPr>
              <w:t>价格</w:t>
            </w:r>
            <w:r>
              <w:rPr>
                <w:rFonts w:hint="eastAsia" w:ascii="宋体" w:hAnsi="宋体" w:eastAsia="宋体" w:cs="宋体"/>
                <w:bCs/>
                <w:sz w:val="24"/>
                <w:lang w:val="en-US" w:eastAsia="zh-CN"/>
              </w:rPr>
              <w:t>3</w:t>
            </w:r>
            <w:r>
              <w:rPr>
                <w:rFonts w:hint="eastAsia" w:ascii="宋体" w:hAnsi="宋体" w:eastAsia="宋体" w:cs="宋体"/>
                <w:bCs/>
                <w:sz w:val="24"/>
              </w:rPr>
              <w:t>0分</w:t>
            </w:r>
          </w:p>
        </w:tc>
        <w:tc>
          <w:tcPr>
            <w:tcW w:w="1341" w:type="dxa"/>
            <w:noWrap/>
            <w:vAlign w:val="center"/>
          </w:tcPr>
          <w:p>
            <w:pPr>
              <w:widowControl/>
              <w:spacing w:line="440" w:lineRule="exact"/>
              <w:jc w:val="left"/>
              <w:rPr>
                <w:rFonts w:hint="eastAsia" w:ascii="宋体" w:hAnsi="宋体" w:eastAsia="宋体" w:cs="宋体"/>
                <w:kern w:val="0"/>
                <w:sz w:val="24"/>
              </w:rPr>
            </w:pPr>
            <w:r>
              <w:rPr>
                <w:rFonts w:hint="eastAsia" w:ascii="宋体" w:hAnsi="宋体" w:eastAsia="宋体" w:cs="宋体"/>
                <w:kern w:val="0"/>
                <w:sz w:val="24"/>
              </w:rPr>
              <w:t>报价</w:t>
            </w:r>
          </w:p>
        </w:tc>
        <w:tc>
          <w:tcPr>
            <w:tcW w:w="483" w:type="dxa"/>
            <w:noWrap/>
            <w:vAlign w:val="center"/>
          </w:tcPr>
          <w:p>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0</w:t>
            </w:r>
          </w:p>
        </w:tc>
        <w:tc>
          <w:tcPr>
            <w:tcW w:w="5867" w:type="dxa"/>
            <w:noWrap/>
            <w:vAlign w:val="center"/>
          </w:tcPr>
          <w:p>
            <w:pPr>
              <w:jc w:val="left"/>
              <w:rPr>
                <w:rFonts w:hint="eastAsia" w:ascii="宋体" w:hAnsi="宋体" w:eastAsia="宋体" w:cs="宋体"/>
                <w:bCs/>
                <w:sz w:val="24"/>
              </w:rPr>
            </w:pPr>
            <w:r>
              <w:rPr>
                <w:rFonts w:hint="eastAsia" w:ascii="宋体" w:hAnsi="宋体" w:eastAsia="宋体" w:cs="宋体"/>
                <w:bCs/>
                <w:sz w:val="24"/>
              </w:rPr>
              <w:t>评</w:t>
            </w:r>
            <w:r>
              <w:rPr>
                <w:rFonts w:hint="eastAsia" w:ascii="宋体" w:hAnsi="宋体" w:eastAsia="宋体" w:cs="宋体"/>
                <w:bCs/>
                <w:sz w:val="24"/>
                <w:lang w:val="en-US" w:eastAsia="zh-CN"/>
              </w:rPr>
              <w:t>选</w:t>
            </w:r>
            <w:r>
              <w:rPr>
                <w:rFonts w:hint="eastAsia" w:ascii="宋体" w:hAnsi="宋体" w:eastAsia="宋体" w:cs="宋体"/>
                <w:bCs/>
                <w:sz w:val="24"/>
              </w:rPr>
              <w:t>基准价：满足招标文件要求且</w:t>
            </w:r>
            <w:r>
              <w:rPr>
                <w:rFonts w:hint="eastAsia" w:ascii="宋体" w:hAnsi="宋体" w:eastAsia="宋体" w:cs="宋体"/>
                <w:bCs/>
                <w:sz w:val="24"/>
                <w:lang w:val="en-US" w:eastAsia="zh-CN"/>
              </w:rPr>
              <w:t>参与遴选</w:t>
            </w:r>
            <w:r>
              <w:rPr>
                <w:rFonts w:hint="eastAsia" w:ascii="宋体" w:hAnsi="宋体" w:eastAsia="宋体" w:cs="宋体"/>
                <w:bCs/>
                <w:sz w:val="24"/>
              </w:rPr>
              <w:t>价格最低的报价。</w:t>
            </w:r>
            <w:r>
              <w:rPr>
                <w:rFonts w:hint="eastAsia" w:ascii="宋体" w:hAnsi="宋体" w:eastAsia="宋体" w:cs="宋体"/>
                <w:bCs/>
                <w:sz w:val="24"/>
                <w:lang w:val="en-US" w:eastAsia="zh-CN"/>
              </w:rPr>
              <w:t>遴选</w:t>
            </w:r>
            <w:r>
              <w:rPr>
                <w:rFonts w:hint="eastAsia" w:ascii="宋体" w:hAnsi="宋体" w:eastAsia="宋体" w:cs="宋体"/>
                <w:bCs/>
                <w:sz w:val="24"/>
              </w:rPr>
              <w:t>报价得分＝（基准价/</w:t>
            </w:r>
            <w:r>
              <w:rPr>
                <w:rFonts w:hint="eastAsia" w:ascii="宋体" w:hAnsi="宋体" w:eastAsia="宋体" w:cs="宋体"/>
                <w:bCs/>
                <w:sz w:val="24"/>
                <w:lang w:val="en-US" w:eastAsia="zh-CN"/>
              </w:rPr>
              <w:t>报价</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restart"/>
            <w:noWrap/>
            <w:vAlign w:val="center"/>
          </w:tcPr>
          <w:p>
            <w:pPr>
              <w:jc w:val="left"/>
              <w:rPr>
                <w:rFonts w:hint="eastAsia" w:ascii="宋体" w:hAnsi="宋体" w:eastAsia="宋体" w:cs="宋体"/>
                <w:bCs/>
                <w:sz w:val="24"/>
              </w:rPr>
            </w:pPr>
            <w:r>
              <w:rPr>
                <w:rFonts w:hint="eastAsia" w:ascii="宋体" w:hAnsi="宋体" w:eastAsia="宋体" w:cs="宋体"/>
                <w:bCs/>
                <w:sz w:val="24"/>
              </w:rPr>
              <w:t>商务部分</w:t>
            </w:r>
            <w:r>
              <w:rPr>
                <w:rFonts w:hint="eastAsia" w:ascii="宋体" w:hAnsi="宋体" w:eastAsia="宋体" w:cs="宋体"/>
                <w:bCs/>
                <w:sz w:val="24"/>
                <w:lang w:val="en-US" w:eastAsia="zh-CN"/>
              </w:rPr>
              <w:t>15</w:t>
            </w:r>
            <w:r>
              <w:rPr>
                <w:rFonts w:hint="eastAsia" w:ascii="宋体" w:hAnsi="宋体" w:eastAsia="宋体" w:cs="宋体"/>
                <w:bCs/>
                <w:sz w:val="24"/>
              </w:rPr>
              <w:t>分</w:t>
            </w: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投标人同类业绩</w:t>
            </w:r>
          </w:p>
        </w:tc>
        <w:tc>
          <w:tcPr>
            <w:tcW w:w="483" w:type="dxa"/>
            <w:noWrap/>
            <w:vAlign w:val="center"/>
          </w:tcPr>
          <w:p>
            <w:pPr>
              <w:spacing w:line="440" w:lineRule="exact"/>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自 202</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 xml:space="preserve">年 </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月1日至今（按合同签订时间计算），</w:t>
            </w:r>
            <w:r>
              <w:rPr>
                <w:rFonts w:hint="eastAsia" w:ascii="宋体" w:hAnsi="宋体" w:eastAsia="宋体" w:cs="宋体"/>
                <w:bCs/>
                <w:sz w:val="24"/>
                <w:highlight w:val="none"/>
                <w:lang w:val="en-US" w:eastAsia="zh-CN"/>
              </w:rPr>
              <w:t>参与遴选</w:t>
            </w:r>
            <w:r>
              <w:rPr>
                <w:rFonts w:hint="eastAsia" w:ascii="宋体" w:hAnsi="宋体" w:eastAsia="宋体" w:cs="宋体"/>
                <w:bCs/>
                <w:sz w:val="24"/>
                <w:highlight w:val="none"/>
              </w:rPr>
              <w:t>人每提供一个同类检测项目业绩得</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分，最高得</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分。须提供合同复印件，内容能体现合同名称、主要服务内容（须包含检测项目清单）以及双方签字盖章页。未按上述要求提供合同复印件的不得分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continue"/>
            <w:noWrap/>
            <w:vAlign w:val="center"/>
          </w:tcPr>
          <w:p>
            <w:pPr>
              <w:jc w:val="left"/>
              <w:rPr>
                <w:rFonts w:hint="eastAsia" w:ascii="宋体" w:hAnsi="宋体" w:eastAsia="宋体" w:cs="宋体"/>
                <w:bCs/>
                <w:sz w:val="24"/>
              </w:rPr>
            </w:pP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信用状况</w:t>
            </w:r>
          </w:p>
        </w:tc>
        <w:tc>
          <w:tcPr>
            <w:tcW w:w="483" w:type="dxa"/>
            <w:noWrap/>
            <w:vAlign w:val="center"/>
          </w:tcPr>
          <w:p>
            <w:pPr>
              <w:spacing w:line="44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投标人具有AAA信用等级证书得4分，投标人具有AA信用等级证书得2分， 投标人具有A信用等级证书得1分，没有不得分，须提供证书复印件。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continue"/>
            <w:noWrap/>
            <w:vAlign w:val="center"/>
          </w:tcPr>
          <w:p>
            <w:pPr>
              <w:spacing w:line="440" w:lineRule="exact"/>
              <w:jc w:val="center"/>
              <w:rPr>
                <w:rFonts w:hint="eastAsia" w:ascii="宋体" w:hAnsi="宋体" w:eastAsia="宋体" w:cs="宋体"/>
                <w:kern w:val="0"/>
                <w:sz w:val="24"/>
              </w:rPr>
            </w:pP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资质相关证明文件</w:t>
            </w:r>
          </w:p>
        </w:tc>
        <w:tc>
          <w:tcPr>
            <w:tcW w:w="483" w:type="dxa"/>
            <w:noWrap/>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实验室ISO15189 质量体系认证得</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分；</w:t>
            </w:r>
          </w:p>
          <w:p>
            <w:pPr>
              <w:jc w:val="left"/>
              <w:rPr>
                <w:rFonts w:hint="eastAsia" w:ascii="宋体" w:hAnsi="宋体" w:eastAsia="宋体" w:cs="宋体"/>
                <w:bCs/>
                <w:sz w:val="24"/>
                <w:highlight w:val="none"/>
              </w:rPr>
            </w:pPr>
            <w:r>
              <w:rPr>
                <w:rFonts w:hint="eastAsia" w:ascii="宋体" w:hAnsi="宋体" w:eastAsia="宋体" w:cs="宋体"/>
                <w:bCs/>
                <w:sz w:val="24"/>
                <w:highlight w:val="none"/>
              </w:rPr>
              <w:t>注：须提供资质或认证证书复印件。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37" w:type="dxa"/>
            <w:vMerge w:val="restart"/>
            <w:noWrap/>
            <w:vAlign w:val="center"/>
          </w:tcPr>
          <w:p>
            <w:pPr>
              <w:jc w:val="left"/>
              <w:rPr>
                <w:rFonts w:hint="eastAsia" w:ascii="宋体" w:hAnsi="宋体" w:eastAsia="宋体" w:cs="宋体"/>
                <w:bCs/>
                <w:sz w:val="24"/>
              </w:rPr>
            </w:pPr>
            <w:r>
              <w:rPr>
                <w:rFonts w:hint="eastAsia" w:ascii="宋体" w:hAnsi="宋体" w:eastAsia="宋体" w:cs="宋体"/>
                <w:bCs/>
                <w:sz w:val="24"/>
              </w:rPr>
              <w:t>技术部分</w:t>
            </w:r>
            <w:r>
              <w:rPr>
                <w:rFonts w:hint="eastAsia" w:ascii="宋体" w:hAnsi="宋体" w:eastAsia="宋体" w:cs="宋体"/>
                <w:bCs/>
                <w:sz w:val="24"/>
                <w:lang w:val="en-US" w:eastAsia="zh-CN"/>
              </w:rPr>
              <w:t>30</w:t>
            </w:r>
            <w:r>
              <w:rPr>
                <w:rFonts w:hint="eastAsia" w:ascii="宋体" w:hAnsi="宋体" w:eastAsia="宋体" w:cs="宋体"/>
                <w:bCs/>
                <w:sz w:val="24"/>
              </w:rPr>
              <w:t>分</w:t>
            </w: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检测方案</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w:t>
            </w:r>
          </w:p>
        </w:tc>
        <w:tc>
          <w:tcPr>
            <w:tcW w:w="5867" w:type="dxa"/>
            <w:noWrap/>
            <w:vAlign w:val="center"/>
          </w:tcPr>
          <w:p>
            <w:pPr>
              <w:jc w:val="left"/>
              <w:rPr>
                <w:rFonts w:hint="eastAsia" w:ascii="宋体" w:hAnsi="宋体" w:eastAsia="宋体" w:cs="宋体"/>
                <w:bCs/>
                <w:kern w:val="0"/>
                <w:sz w:val="24"/>
              </w:rPr>
            </w:pPr>
            <w:r>
              <w:rPr>
                <w:rFonts w:hint="eastAsia" w:ascii="宋体" w:hAnsi="宋体" w:eastAsia="宋体" w:cs="宋体"/>
                <w:bCs/>
                <w:kern w:val="0"/>
                <w:sz w:val="24"/>
                <w:lang w:val="en-US" w:eastAsia="zh-CN"/>
              </w:rPr>
              <w:t>参与遴选</w:t>
            </w:r>
            <w:r>
              <w:rPr>
                <w:rFonts w:hint="eastAsia" w:ascii="宋体" w:hAnsi="宋体" w:eastAsia="宋体" w:cs="宋体"/>
                <w:bCs/>
                <w:kern w:val="0"/>
                <w:sz w:val="24"/>
              </w:rPr>
              <w:t>人具对本项目提供整体检测服务方案，检测流程、时效性等方面进行评审各项服务检测服务方案内容完整、方法及采用试剂明确，检测流程规范，可行性强，完全满足项目整体要求，得</w:t>
            </w:r>
            <w:r>
              <w:rPr>
                <w:rFonts w:hint="eastAsia" w:ascii="宋体" w:hAnsi="宋体" w:cs="宋体"/>
                <w:bCs/>
                <w:kern w:val="0"/>
                <w:sz w:val="24"/>
                <w:lang w:val="en-US" w:eastAsia="zh-CN"/>
              </w:rPr>
              <w:t>10</w:t>
            </w:r>
            <w:r>
              <w:rPr>
                <w:rFonts w:hint="eastAsia" w:ascii="宋体" w:hAnsi="宋体" w:eastAsia="宋体" w:cs="宋体"/>
                <w:bCs/>
                <w:kern w:val="0"/>
                <w:sz w:val="24"/>
              </w:rPr>
              <w:t>分;</w:t>
            </w:r>
          </w:p>
          <w:p>
            <w:pPr>
              <w:jc w:val="left"/>
              <w:rPr>
                <w:rFonts w:hint="eastAsia" w:ascii="宋体" w:hAnsi="宋体" w:eastAsia="宋体" w:cs="宋体"/>
                <w:bCs/>
                <w:kern w:val="0"/>
                <w:sz w:val="24"/>
              </w:rPr>
            </w:pPr>
            <w:r>
              <w:rPr>
                <w:rFonts w:hint="eastAsia" w:ascii="宋体" w:hAnsi="宋体" w:eastAsia="宋体" w:cs="宋体"/>
                <w:bCs/>
                <w:kern w:val="0"/>
                <w:sz w:val="24"/>
              </w:rPr>
              <w:t>各项服务检测服务方案内容较完善、方法及采用试剂较明确，基本能体现项目整体要求，得5分;</w:t>
            </w:r>
          </w:p>
          <w:p>
            <w:pPr>
              <w:jc w:val="left"/>
              <w:rPr>
                <w:rFonts w:hint="eastAsia" w:ascii="宋体" w:hAnsi="宋体" w:eastAsia="宋体" w:cs="宋体"/>
                <w:bCs/>
                <w:kern w:val="0"/>
                <w:sz w:val="24"/>
              </w:rPr>
            </w:pPr>
            <w:r>
              <w:rPr>
                <w:rFonts w:hint="eastAsia" w:ascii="宋体" w:hAnsi="宋体" w:eastAsia="宋体" w:cs="宋体"/>
                <w:bCs/>
                <w:kern w:val="0"/>
                <w:sz w:val="24"/>
              </w:rPr>
              <w:t>各项服务检测服务方案不完整，可行性一般，得2分;</w:t>
            </w:r>
          </w:p>
          <w:p>
            <w:pPr>
              <w:jc w:val="left"/>
              <w:rPr>
                <w:rFonts w:hint="eastAsia" w:ascii="宋体" w:hAnsi="宋体" w:eastAsia="宋体" w:cs="宋体"/>
                <w:bCs/>
                <w:sz w:val="24"/>
              </w:rPr>
            </w:pPr>
            <w:r>
              <w:rPr>
                <w:rFonts w:hint="eastAsia" w:ascii="宋体" w:hAnsi="宋体" w:eastAsia="宋体" w:cs="宋体"/>
                <w:bCs/>
                <w:kern w:val="0"/>
                <w:sz w:val="24"/>
              </w:rPr>
              <w:t>未提供检测服务方案的:0分。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37" w:type="dxa"/>
            <w:vMerge w:val="continue"/>
            <w:noWrap/>
            <w:vAlign w:val="center"/>
          </w:tcPr>
          <w:p>
            <w:pPr>
              <w:spacing w:line="440" w:lineRule="exact"/>
              <w:rPr>
                <w:rFonts w:hint="eastAsia" w:ascii="宋体" w:hAnsi="宋体" w:eastAsia="宋体" w:cs="宋体"/>
                <w:kern w:val="0"/>
                <w:sz w:val="24"/>
                <w:highlight w:val="yellow"/>
              </w:rPr>
            </w:pP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检测项目质量保证</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bCs/>
                <w:kern w:val="0"/>
                <w:sz w:val="24"/>
                <w:lang w:val="en-US" w:eastAsia="zh-CN"/>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投标人应对室内质控活动有明确的规定，内容包括：质控物的选择(适用性和质量)、质控物的测定频次、质控规则 及失控限设定、质控结果的统计及记录；受托方应参加相关范围(如国际、国内、地区)内的 室间质评或能力验证活动；有对室间质评或能力验证结果进行审核的程序及对不满意或不及格结果进行分析或纠正、验证的记录；必要时应与其他实验室进行结果比对；受托方应定期检查使用中的设备是否满足其工作范围和工作量的要求；应有仪器日常检查维护的文件、记录和维修报告;投标人仅限在“委托检验服务协议书”范围内开展检 验活动；投标人应有保证全员参与质量管理及持续质量改进的措施。根据投标人提供的质量保证体系进行评价：</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质量控制方案合理有效得</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质量控制方案较合理得</w:t>
            </w:r>
            <w:r>
              <w:rPr>
                <w:rFonts w:hint="eastAsia" w:ascii="宋体" w:hAnsi="宋体" w:eastAsia="宋体" w:cs="宋体"/>
                <w:kern w:val="0"/>
                <w:sz w:val="24"/>
                <w:lang w:val="en-US" w:eastAsia="zh-CN"/>
              </w:rPr>
              <w:t>7</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质量控制方案一般得</w:t>
            </w:r>
            <w:r>
              <w:rPr>
                <w:rFonts w:hint="eastAsia" w:ascii="宋体" w:hAnsi="宋体" w:eastAsia="宋体" w:cs="宋体"/>
                <w:kern w:val="0"/>
                <w:sz w:val="24"/>
                <w:lang w:val="en-US" w:eastAsia="zh-CN"/>
              </w:rPr>
              <w:t>5</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质量控制方案有欠缺得</w:t>
            </w:r>
            <w:r>
              <w:rPr>
                <w:rFonts w:hint="eastAsia" w:ascii="宋体" w:hAnsi="宋体" w:eastAsia="宋体" w:cs="宋体"/>
                <w:kern w:val="0"/>
                <w:sz w:val="24"/>
                <w:lang w:val="en-US" w:eastAsia="zh-CN"/>
              </w:rPr>
              <w:t>2</w:t>
            </w:r>
            <w:r>
              <w:rPr>
                <w:rFonts w:hint="eastAsia" w:ascii="宋体" w:hAnsi="宋体" w:eastAsia="宋体" w:cs="宋体"/>
                <w:kern w:val="0"/>
                <w:sz w:val="24"/>
              </w:rPr>
              <w:t>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yellow"/>
              </w:rPr>
            </w:pPr>
          </w:p>
        </w:tc>
        <w:tc>
          <w:tcPr>
            <w:tcW w:w="1341"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团队配置</w:t>
            </w:r>
          </w:p>
        </w:tc>
        <w:tc>
          <w:tcPr>
            <w:tcW w:w="483" w:type="dxa"/>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根据各投标人按照技术需求提供的服务团队人数、职称，医疗咨询能力是否合理、健全进行打分。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人员经验丰富得10分；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人员经验较丰富，得7分；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人员经验一般，得5分；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人员经验不足，得3分；</w:t>
            </w:r>
          </w:p>
          <w:p>
            <w:pPr>
              <w:widowControl/>
              <w:jc w:val="left"/>
              <w:rPr>
                <w:rFonts w:hint="eastAsia" w:ascii="宋体" w:hAnsi="宋体" w:eastAsia="宋体" w:cs="宋体"/>
                <w:kern w:val="0"/>
                <w:sz w:val="24"/>
              </w:rPr>
            </w:pPr>
            <w:r>
              <w:rPr>
                <w:rFonts w:hint="eastAsia" w:ascii="宋体" w:hAnsi="宋体" w:eastAsia="宋体" w:cs="宋体"/>
                <w:kern w:val="0"/>
                <w:sz w:val="24"/>
              </w:rPr>
              <w:t>未提供不得分。</w:t>
            </w:r>
          </w:p>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检验人员需提供检验</w:t>
            </w:r>
            <w:r>
              <w:rPr>
                <w:rFonts w:hint="eastAsia" w:ascii="宋体" w:hAnsi="宋体" w:eastAsia="宋体" w:cs="宋体"/>
                <w:kern w:val="0"/>
                <w:sz w:val="24"/>
                <w:lang w:val="en-US" w:eastAsia="zh-CN"/>
              </w:rPr>
              <w:t>师</w:t>
            </w:r>
            <w:r>
              <w:rPr>
                <w:rFonts w:hint="eastAsia" w:ascii="宋体" w:hAnsi="宋体" w:eastAsia="宋体" w:cs="宋体"/>
                <w:kern w:val="0"/>
                <w:sz w:val="24"/>
              </w:rPr>
              <w:t>及以上职称证书复印件加盖公章，未提供上述有效证明文件，本项不得分。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restart"/>
            <w:noWrap/>
            <w:vAlign w:val="center"/>
          </w:tcPr>
          <w:p>
            <w:pPr>
              <w:spacing w:line="440" w:lineRule="exact"/>
              <w:rPr>
                <w:rFonts w:hint="eastAsia" w:ascii="宋体" w:hAnsi="宋体" w:eastAsia="宋体" w:cs="宋体"/>
                <w:kern w:val="0"/>
                <w:sz w:val="24"/>
                <w:highlight w:val="yellow"/>
                <w:lang w:val="en-US" w:eastAsia="zh-CN"/>
              </w:rPr>
            </w:pPr>
            <w:r>
              <w:rPr>
                <w:rFonts w:hint="eastAsia" w:ascii="宋体" w:hAnsi="宋体" w:eastAsia="宋体" w:cs="宋体"/>
                <w:kern w:val="0"/>
                <w:sz w:val="24"/>
                <w:highlight w:val="none"/>
                <w:lang w:val="en-US" w:eastAsia="zh-CN"/>
              </w:rPr>
              <w:t>服务部分25分</w:t>
            </w: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sz w:val="24"/>
              </w:rPr>
              <w:t>售后服务方案</w:t>
            </w:r>
          </w:p>
        </w:tc>
        <w:tc>
          <w:tcPr>
            <w:tcW w:w="483" w:type="dxa"/>
            <w:noWrap/>
            <w:vAlign w:val="center"/>
          </w:tcPr>
          <w:p>
            <w:pPr>
              <w:widowControl/>
              <w:jc w:val="center"/>
              <w:rPr>
                <w:rFonts w:hint="eastAsia" w:ascii="宋体" w:hAnsi="宋体" w:eastAsia="宋体" w:cs="宋体"/>
                <w:bCs/>
                <w:kern w:val="0"/>
                <w:sz w:val="24"/>
                <w:lang w:val="en-US" w:eastAsia="zh-CN"/>
              </w:rPr>
            </w:pPr>
            <w:r>
              <w:rPr>
                <w:rFonts w:hint="eastAsia" w:ascii="宋体" w:hAnsi="宋体" w:eastAsia="宋体" w:cs="宋体"/>
                <w:kern w:val="0"/>
                <w:sz w:val="24"/>
                <w:lang w:val="en-US" w:eastAsia="zh-CN"/>
              </w:rPr>
              <w:t>10</w:t>
            </w:r>
          </w:p>
        </w:tc>
        <w:tc>
          <w:tcPr>
            <w:tcW w:w="5867" w:type="dxa"/>
            <w:noWrap/>
            <w:vAlign w:val="center"/>
          </w:tcPr>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售后服务方案合理、详细，售后服务承诺周到，具有完善的服务体系：</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售后服务方案合理可行得</w:t>
            </w:r>
            <w:r>
              <w:rPr>
                <w:rFonts w:hint="eastAsia" w:ascii="宋体" w:hAnsi="宋体" w:eastAsia="宋体" w:cs="宋体"/>
                <w:bCs/>
                <w:kern w:val="0"/>
                <w:sz w:val="24"/>
                <w:lang w:val="en-US" w:eastAsia="zh-CN"/>
              </w:rPr>
              <w:t>10</w:t>
            </w:r>
            <w:r>
              <w:rPr>
                <w:rFonts w:hint="eastAsia" w:ascii="宋体" w:hAnsi="宋体" w:eastAsia="宋体" w:cs="宋体"/>
                <w:bCs/>
                <w:kern w:val="0"/>
                <w:sz w:val="24"/>
              </w:rPr>
              <w:t>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售后服务方案较合理可行得7分，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售后服务方案一般得5分，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售后服务方案有欠缺得3分，</w:t>
            </w:r>
          </w:p>
          <w:p>
            <w:pPr>
              <w:widowControl/>
              <w:jc w:val="left"/>
              <w:rPr>
                <w:rFonts w:hint="eastAsia" w:ascii="宋体" w:hAnsi="宋体" w:eastAsia="宋体" w:cs="宋体"/>
                <w:kern w:val="0"/>
                <w:sz w:val="24"/>
              </w:rPr>
            </w:pPr>
            <w:r>
              <w:rPr>
                <w:rFonts w:hint="eastAsia" w:ascii="宋体" w:hAnsi="宋体" w:eastAsia="宋体" w:cs="宋体"/>
                <w:bCs/>
                <w:kern w:val="0"/>
                <w:sz w:val="24"/>
              </w:rPr>
              <w:t>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none"/>
                <w:lang w:val="en-US" w:eastAsia="zh-CN"/>
              </w:rPr>
            </w:pPr>
          </w:p>
        </w:tc>
        <w:tc>
          <w:tcPr>
            <w:tcW w:w="1341"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检验项目结果报送</w:t>
            </w:r>
          </w:p>
        </w:tc>
        <w:tc>
          <w:tcPr>
            <w:tcW w:w="483" w:type="dxa"/>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5</w:t>
            </w:r>
          </w:p>
        </w:tc>
        <w:tc>
          <w:tcPr>
            <w:tcW w:w="5867"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根据投标人提供的结果报送体系进行评价，完全满足要求得</w:t>
            </w:r>
            <w:r>
              <w:rPr>
                <w:rFonts w:hint="eastAsia" w:ascii="宋体" w:hAnsi="宋体" w:eastAsia="宋体" w:cs="宋体"/>
                <w:kern w:val="0"/>
                <w:sz w:val="24"/>
                <w:lang w:val="en-US" w:eastAsia="zh-CN"/>
              </w:rPr>
              <w:t>5</w:t>
            </w:r>
            <w:r>
              <w:rPr>
                <w:rFonts w:hint="eastAsia" w:ascii="宋体" w:hAnsi="宋体" w:eastAsia="宋体" w:cs="宋体"/>
                <w:kern w:val="0"/>
                <w:sz w:val="24"/>
              </w:rPr>
              <w:t>分，基本满足得</w:t>
            </w:r>
            <w:r>
              <w:rPr>
                <w:rFonts w:hint="eastAsia" w:ascii="宋体" w:hAnsi="宋体" w:eastAsia="宋体" w:cs="宋体"/>
                <w:kern w:val="0"/>
                <w:sz w:val="24"/>
                <w:lang w:val="en-US" w:eastAsia="zh-CN"/>
              </w:rPr>
              <w:t>3</w:t>
            </w:r>
            <w:r>
              <w:rPr>
                <w:rFonts w:hint="eastAsia" w:ascii="宋体" w:hAnsi="宋体" w:eastAsia="宋体" w:cs="宋体"/>
                <w:kern w:val="0"/>
                <w:sz w:val="24"/>
              </w:rPr>
              <w:t>分，部分满足得</w:t>
            </w:r>
            <w:r>
              <w:rPr>
                <w:rFonts w:hint="eastAsia" w:ascii="宋体" w:hAnsi="宋体" w:eastAsia="宋体" w:cs="宋体"/>
                <w:kern w:val="0"/>
                <w:sz w:val="24"/>
                <w:lang w:val="en-US" w:eastAsia="zh-CN"/>
              </w:rPr>
              <w:t>1</w:t>
            </w:r>
            <w:r>
              <w:rPr>
                <w:rFonts w:hint="eastAsia" w:ascii="宋体" w:hAnsi="宋体" w:eastAsia="宋体" w:cs="宋体"/>
                <w:kern w:val="0"/>
                <w:sz w:val="24"/>
              </w:rPr>
              <w:t>分，无法满足不得分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none"/>
                <w:lang w:val="en-US" w:eastAsia="zh-CN"/>
              </w:rPr>
            </w:pP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应急处理方案</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根据各投标人按照技术需求提供的应急处理方案进行打分：</w:t>
            </w:r>
          </w:p>
          <w:p>
            <w:pPr>
              <w:widowControl/>
              <w:jc w:val="left"/>
              <w:rPr>
                <w:rFonts w:hint="eastAsia" w:ascii="宋体" w:hAnsi="宋体" w:eastAsia="宋体" w:cs="宋体"/>
                <w:kern w:val="0"/>
                <w:sz w:val="24"/>
              </w:rPr>
            </w:pPr>
            <w:r>
              <w:rPr>
                <w:rFonts w:hint="eastAsia" w:ascii="宋体" w:hAnsi="宋体" w:eastAsia="宋体" w:cs="宋体"/>
                <w:kern w:val="0"/>
                <w:sz w:val="24"/>
              </w:rPr>
              <w:t>方案合理、可行、完全满足文件要求，投标人应遵照《中华人民共和国传染病防治法》等的规定建立对相关异常检验结果的直接报告制度，并通知采购人；得10分；</w:t>
            </w:r>
          </w:p>
          <w:p>
            <w:pPr>
              <w:widowControl/>
              <w:jc w:val="left"/>
              <w:rPr>
                <w:rFonts w:hint="eastAsia" w:ascii="宋体" w:hAnsi="宋体" w:eastAsia="宋体" w:cs="宋体"/>
                <w:kern w:val="0"/>
                <w:sz w:val="24"/>
              </w:rPr>
            </w:pPr>
            <w:r>
              <w:rPr>
                <w:rFonts w:hint="eastAsia" w:ascii="宋体" w:hAnsi="宋体" w:eastAsia="宋体" w:cs="宋体"/>
                <w:kern w:val="0"/>
                <w:sz w:val="24"/>
              </w:rPr>
              <w:t>方案较合理，实施性一般得7分；</w:t>
            </w:r>
          </w:p>
          <w:p>
            <w:pPr>
              <w:widowControl/>
              <w:jc w:val="left"/>
              <w:rPr>
                <w:rFonts w:hint="eastAsia" w:ascii="宋体" w:hAnsi="宋体" w:eastAsia="宋体" w:cs="宋体"/>
                <w:kern w:val="0"/>
                <w:sz w:val="24"/>
              </w:rPr>
            </w:pPr>
            <w:r>
              <w:rPr>
                <w:rFonts w:hint="eastAsia" w:ascii="宋体" w:hAnsi="宋体" w:eastAsia="宋体" w:cs="宋体"/>
                <w:kern w:val="0"/>
                <w:sz w:val="24"/>
              </w:rPr>
              <w:t>方案基本合理，基本满足文件要求得5分；</w:t>
            </w:r>
          </w:p>
          <w:p>
            <w:pPr>
              <w:widowControl/>
              <w:jc w:val="left"/>
              <w:rPr>
                <w:rFonts w:hint="eastAsia" w:ascii="宋体" w:hAnsi="宋体" w:eastAsia="宋体" w:cs="宋体"/>
                <w:kern w:val="0"/>
                <w:sz w:val="24"/>
              </w:rPr>
            </w:pPr>
            <w:r>
              <w:rPr>
                <w:rFonts w:hint="eastAsia" w:ascii="宋体" w:hAnsi="宋体" w:eastAsia="宋体" w:cs="宋体"/>
                <w:kern w:val="0"/>
                <w:sz w:val="24"/>
              </w:rPr>
              <w:t>方案简单，实施性较差、部分满足文件要求得2分。</w:t>
            </w:r>
          </w:p>
          <w:p>
            <w:pPr>
              <w:widowControl/>
              <w:jc w:val="left"/>
              <w:rPr>
                <w:rFonts w:hint="eastAsia" w:ascii="宋体" w:hAnsi="宋体" w:eastAsia="宋体" w:cs="宋体"/>
                <w:kern w:val="0"/>
                <w:sz w:val="24"/>
              </w:rPr>
            </w:pPr>
            <w:r>
              <w:rPr>
                <w:rFonts w:hint="eastAsia" w:ascii="宋体" w:hAnsi="宋体" w:eastAsia="宋体" w:cs="宋体"/>
                <w:kern w:val="0"/>
                <w:sz w:val="24"/>
              </w:rPr>
              <w:t>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8" w:type="dxa"/>
            <w:gridSpan w:val="4"/>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合计100分</w:t>
            </w:r>
          </w:p>
        </w:tc>
      </w:tr>
    </w:tbl>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lang w:val="en-US" w:eastAsia="zh-CN"/>
        </w:rPr>
        <w:t>遴选文件格式</w:t>
      </w:r>
    </w:p>
    <w:p>
      <w:pPr>
        <w:pStyle w:val="2"/>
        <w:numPr>
          <w:ilvl w:val="0"/>
          <w:numId w:val="3"/>
        </w:numPr>
        <w:rPr>
          <w:rFonts w:hint="eastAsia" w:ascii="宋体" w:hAnsi="宋体" w:eastAsia="宋体" w:cs="宋体"/>
          <w:lang w:val="en-US" w:eastAsia="zh-CN"/>
        </w:rPr>
      </w:pPr>
      <w:r>
        <w:rPr>
          <w:rFonts w:hint="eastAsia" w:ascii="宋体" w:hAnsi="宋体" w:eastAsia="宋体" w:cs="宋体"/>
          <w:lang w:val="en-US" w:eastAsia="zh-CN"/>
        </w:rPr>
        <w:t>报价清单：</w:t>
      </w:r>
    </w:p>
    <w:tbl>
      <w:tblPr>
        <w:tblStyle w:val="11"/>
        <w:tblW w:w="84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701"/>
        <w:gridCol w:w="4590"/>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检测内容</w:t>
            </w:r>
          </w:p>
        </w:tc>
        <w:tc>
          <w:tcPr>
            <w:tcW w:w="1442" w:type="dxa"/>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抗栓药物用药指导基因检测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药物：（氯吡格雷、华法林）</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基因位点：6基因9位点VKORC1 (-1639G&gt;A和1173T&gt;C)、CYP2C9 (1075A&gt;C)、CYP4F2 (1297C&gt;T)、GGCX (3261G&gt;A)、CYP2C19 (681G&gt;A、636G&gt;A和-806C&gt;T)和CYP3A4 (894C&gt;T)</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MAPMI 超广谱病原微生物mNGS检测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可筛查临床样本中与人类疾病相关的三万多种病原微生物，指标涵盖DNA病毒、RNA病毒（包括新型冠状病毒SARS-CoV-2）、细菌、真菌、寄生虫、耐药基因等</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临床全外显子组基因检测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包含4269种疾病和3877个基因的外显子检测。</w:t>
            </w:r>
          </w:p>
        </w:tc>
        <w:tc>
          <w:tcPr>
            <w:tcW w:w="1442" w:type="dxa"/>
            <w:shd w:val="clear" w:color="auto" w:fill="auto"/>
            <w:vAlign w:val="center"/>
          </w:tcPr>
          <w:p>
            <w:pPr>
              <w:ind w:firstLine="360" w:firstLineChars="200"/>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PD-L1 表达检测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PD-L1 表达水平</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微卫星不稳定性检测（MSI）</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核苷酸重复位点共6个</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HER-2基因扩增检测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FISH方法</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乳腺癌预后评估基因检测（21基因）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乳腺癌预后相关21个基因</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18种遗传性肿瘤基因检测（64基因）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18种遗传性肿瘤基因检测（64基因）</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标准版肿瘤靶向用药基因检测（组织52基因）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标准版肿瘤靶向用药基因检测（组织52基因）</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全能版肿瘤个体化用药指导基因检测（组织800基因）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全能版肿瘤个体化用药指导基因检测（血液800基因）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缺失、扩增及基因融合等全部变异类型，帮助医生为患者制定专业的个体化治疗方案。该检测全面，适用于实体瘤患者。</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基因拷贝数变异测序(CNV-seq)1.0</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23对染色体异常检测 、染色体微缺失/微重复</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儿童安全用药基因检测（I）</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5个基因6个位点58种药物</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儿童安全用药基因检测（II）</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51个基因82个位点127种药物</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染色体核型分型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23对染色体异常检测</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晶芯人乳头瘤病毒（HPV）22种分型检测（基因芯片法）</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22个分型</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十五项遗传性耳聋相关基因检测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先天性耳聋、药物性耳聋、大前庭水管综合征检测</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遗传性耳聋18个基因100个位点相关基因突变检测（高通量测序法）</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遗传性耳聋基因检测（227个基因+线粒体基因组）</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原耳聋227基因+线粒体基因组</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GJB2编码区及剪切位点检测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GJB2外显子及其上下游10bp内含子单碱基突变、小插入缺失（&lt;20bp）</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SLC26A4编码区及剪切位点检测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SLC26A4基因外显子及其上下游10bp内含子单碱基突变、小插入缺失（&lt;20bp）</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杜氏/贝氏肌营养不良症(DMD/BMD)基因检测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DMD基因79个外显子编码区及其上下游50bp内含子以及21个内含子区域单碱基突变、小插入缺失（&lt;20bp）、外显子重复、外显子缺失</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17种常见单基因遗传病基因检测</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神经肌肉系统遗传病基因检测</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癫痫相关基因检测</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bl>
    <w:p>
      <w:pPr>
        <w:pStyle w:val="2"/>
        <w:widowControl w:val="0"/>
        <w:numPr>
          <w:ilvl w:val="0"/>
          <w:numId w:val="0"/>
        </w:numPr>
        <w:spacing w:before="120" w:line="22" w:lineRule="atLeast"/>
        <w:jc w:val="both"/>
        <w:rPr>
          <w:rFonts w:hint="eastAsia" w:ascii="宋体" w:hAnsi="宋体" w:eastAsia="宋体" w:cs="宋体"/>
          <w:lang w:val="en-US" w:eastAsia="zh-CN"/>
        </w:rPr>
      </w:pPr>
    </w:p>
    <w:p>
      <w:pPr>
        <w:pStyle w:val="2"/>
        <w:numPr>
          <w:ilvl w:val="0"/>
          <w:numId w:val="4"/>
        </w:numPr>
        <w:rPr>
          <w:rFonts w:hint="eastAsia" w:ascii="宋体" w:hAnsi="宋体" w:eastAsia="宋体" w:cs="宋体"/>
          <w:lang w:val="en-US" w:eastAsia="zh-CN"/>
        </w:rPr>
      </w:pPr>
      <w:r>
        <w:rPr>
          <w:rFonts w:hint="eastAsia" w:ascii="宋体" w:hAnsi="宋体" w:eastAsia="宋体" w:cs="宋体"/>
          <w:lang w:val="en-US" w:eastAsia="zh-CN"/>
        </w:rPr>
        <w:t>参与人员业绩</w:t>
      </w: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提供合同复印件并加盖公章</w:t>
      </w: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（3）信用状况</w:t>
      </w: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提供AAA信用等级证书须提供证书复印件</w:t>
      </w:r>
    </w:p>
    <w:p>
      <w:pPr>
        <w:pStyle w:val="2"/>
        <w:numPr>
          <w:ilvl w:val="0"/>
          <w:numId w:val="0"/>
        </w:numPr>
        <w:rPr>
          <w:rFonts w:hint="eastAsia" w:ascii="宋体" w:hAnsi="宋体" w:eastAsia="宋体" w:cs="宋体"/>
          <w:lang w:val="en-US" w:eastAsia="zh-CN"/>
        </w:rPr>
      </w:pPr>
    </w:p>
    <w:p>
      <w:pPr>
        <w:pStyle w:val="2"/>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（4）实验室ISO15189 质量体系认证提供资质或认证证书复印件。</w:t>
      </w:r>
    </w:p>
    <w:p>
      <w:pPr>
        <w:pStyle w:val="2"/>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w:t>
      </w:r>
    </w:p>
    <w:p>
      <w:pPr>
        <w:pStyle w:val="2"/>
        <w:numPr>
          <w:ilvl w:val="0"/>
          <w:numId w:val="0"/>
        </w:numPr>
        <w:ind w:firstLine="240" w:firstLineChars="100"/>
        <w:rPr>
          <w:rFonts w:hint="eastAsia" w:ascii="宋体" w:hAnsi="宋体" w:eastAsia="宋体" w:cs="宋体"/>
          <w:kern w:val="0"/>
          <w:sz w:val="24"/>
        </w:rPr>
      </w:pPr>
      <w:r>
        <w:rPr>
          <w:rFonts w:hint="eastAsia" w:cs="宋体"/>
          <w:lang w:val="en-US" w:eastAsia="zh-CN"/>
        </w:rPr>
        <w:t>(</w:t>
      </w:r>
      <w:r>
        <w:rPr>
          <w:rFonts w:hint="eastAsia" w:ascii="宋体" w:hAnsi="宋体" w:eastAsia="宋体" w:cs="宋体"/>
          <w:lang w:val="en-US" w:eastAsia="zh-CN"/>
        </w:rPr>
        <w:t>5）</w:t>
      </w:r>
      <w:r>
        <w:rPr>
          <w:rFonts w:hint="eastAsia" w:ascii="宋体" w:hAnsi="宋体" w:eastAsia="宋体" w:cs="宋体"/>
          <w:kern w:val="0"/>
          <w:sz w:val="24"/>
        </w:rPr>
        <w:t>检测方案</w:t>
      </w:r>
    </w:p>
    <w:p>
      <w:pPr>
        <w:pStyle w:val="2"/>
        <w:numPr>
          <w:ilvl w:val="0"/>
          <w:numId w:val="0"/>
        </w:numPr>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格式自拟</w:t>
      </w:r>
    </w:p>
    <w:p>
      <w:pPr>
        <w:pStyle w:val="2"/>
        <w:numPr>
          <w:ilvl w:val="0"/>
          <w:numId w:val="5"/>
        </w:numPr>
        <w:ind w:left="120" w:leftChars="0" w:firstLine="0" w:firstLineChars="0"/>
        <w:rPr>
          <w:rFonts w:hint="eastAsia" w:ascii="宋体" w:hAnsi="宋体" w:eastAsia="宋体" w:cs="宋体"/>
          <w:kern w:val="0"/>
          <w:sz w:val="24"/>
        </w:rPr>
      </w:pPr>
      <w:r>
        <w:rPr>
          <w:rFonts w:hint="eastAsia" w:ascii="宋体" w:hAnsi="宋体" w:eastAsia="宋体" w:cs="宋体"/>
          <w:kern w:val="0"/>
          <w:sz w:val="24"/>
        </w:rPr>
        <w:t>检测项目质量保证</w:t>
      </w:r>
    </w:p>
    <w:p>
      <w:pPr>
        <w:pStyle w:val="2"/>
        <w:numPr>
          <w:ilvl w:val="0"/>
          <w:numId w:val="0"/>
        </w:numPr>
        <w:ind w:left="120"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格式自拟</w:t>
      </w:r>
    </w:p>
    <w:p>
      <w:pPr>
        <w:pStyle w:val="2"/>
        <w:numPr>
          <w:ilvl w:val="0"/>
          <w:numId w:val="0"/>
        </w:numPr>
        <w:ind w:left="120" w:leftChars="0"/>
        <w:rPr>
          <w:rFonts w:hint="eastAsia" w:ascii="宋体" w:hAnsi="宋体" w:eastAsia="宋体" w:cs="宋体"/>
          <w:kern w:val="0"/>
          <w:sz w:val="24"/>
          <w:lang w:val="en-US" w:eastAsia="zh-CN"/>
        </w:rPr>
      </w:pPr>
    </w:p>
    <w:p>
      <w:pPr>
        <w:pStyle w:val="2"/>
        <w:numPr>
          <w:ilvl w:val="0"/>
          <w:numId w:val="5"/>
        </w:numPr>
        <w:ind w:left="120" w:leftChars="0" w:firstLine="0" w:firstLineChars="0"/>
        <w:rPr>
          <w:rFonts w:hint="eastAsia" w:ascii="宋体" w:hAnsi="宋体" w:eastAsia="宋体" w:cs="宋体"/>
          <w:kern w:val="0"/>
          <w:sz w:val="24"/>
        </w:rPr>
      </w:pPr>
      <w:r>
        <w:rPr>
          <w:rFonts w:hint="eastAsia" w:ascii="宋体" w:hAnsi="宋体" w:eastAsia="宋体" w:cs="宋体"/>
          <w:kern w:val="0"/>
          <w:sz w:val="24"/>
        </w:rPr>
        <w:t>团队配置</w:t>
      </w:r>
    </w:p>
    <w:p>
      <w:pPr>
        <w:pStyle w:val="2"/>
        <w:numPr>
          <w:ilvl w:val="0"/>
          <w:numId w:val="0"/>
        </w:numPr>
        <w:ind w:left="120"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提供本项目服务团队人员配置、职称、学历，格式自拟</w:t>
      </w:r>
    </w:p>
    <w:p>
      <w:pPr>
        <w:pStyle w:val="2"/>
        <w:numPr>
          <w:ilvl w:val="0"/>
          <w:numId w:val="0"/>
        </w:numPr>
        <w:ind w:left="120" w:leftChars="0"/>
        <w:rPr>
          <w:rFonts w:hint="eastAsia" w:ascii="宋体" w:hAnsi="宋体" w:eastAsia="宋体" w:cs="宋体"/>
          <w:kern w:val="0"/>
          <w:sz w:val="24"/>
          <w:lang w:val="en-US" w:eastAsia="zh-CN"/>
        </w:rPr>
      </w:pPr>
    </w:p>
    <w:p>
      <w:pPr>
        <w:pStyle w:val="2"/>
        <w:numPr>
          <w:ilvl w:val="0"/>
          <w:numId w:val="5"/>
        </w:numPr>
        <w:ind w:left="120" w:leftChars="0" w:firstLine="0" w:firstLineChars="0"/>
        <w:rPr>
          <w:rFonts w:hint="eastAsia" w:ascii="宋体" w:hAnsi="宋体" w:eastAsia="宋体" w:cs="宋体"/>
          <w:sz w:val="24"/>
        </w:rPr>
      </w:pPr>
      <w:r>
        <w:rPr>
          <w:rFonts w:hint="eastAsia" w:ascii="宋体" w:hAnsi="宋体" w:eastAsia="宋体" w:cs="宋体"/>
          <w:sz w:val="24"/>
        </w:rPr>
        <w:t>售后服务方案</w:t>
      </w:r>
    </w:p>
    <w:p>
      <w:pPr>
        <w:pStyle w:val="2"/>
        <w:numPr>
          <w:ilvl w:val="0"/>
          <w:numId w:val="0"/>
        </w:numPr>
        <w:ind w:left="120" w:leftChars="0" w:firstLine="480"/>
        <w:rPr>
          <w:rFonts w:hint="eastAsia" w:ascii="宋体" w:hAnsi="宋体" w:eastAsia="宋体" w:cs="宋体"/>
          <w:sz w:val="24"/>
          <w:lang w:val="en-US" w:eastAsia="zh-CN"/>
        </w:rPr>
      </w:pPr>
      <w:r>
        <w:rPr>
          <w:rFonts w:hint="eastAsia" w:ascii="宋体" w:hAnsi="宋体" w:eastAsia="宋体" w:cs="宋体"/>
          <w:sz w:val="24"/>
          <w:lang w:val="en-US" w:eastAsia="zh-CN"/>
        </w:rPr>
        <w:t>格式自拟</w:t>
      </w:r>
    </w:p>
    <w:p>
      <w:pPr>
        <w:pStyle w:val="2"/>
        <w:numPr>
          <w:ilvl w:val="0"/>
          <w:numId w:val="0"/>
        </w:numPr>
        <w:ind w:left="120" w:leftChars="0" w:firstLine="480"/>
        <w:rPr>
          <w:rFonts w:hint="eastAsia" w:ascii="宋体" w:hAnsi="宋体" w:eastAsia="宋体" w:cs="宋体"/>
          <w:sz w:val="24"/>
          <w:lang w:val="en-US" w:eastAsia="zh-CN"/>
        </w:rPr>
      </w:pPr>
    </w:p>
    <w:p>
      <w:pPr>
        <w:pStyle w:val="2"/>
        <w:numPr>
          <w:ilvl w:val="0"/>
          <w:numId w:val="5"/>
        </w:numPr>
        <w:ind w:left="12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rPr>
        <w:t>检验项目结果报送</w:t>
      </w:r>
      <w:r>
        <w:rPr>
          <w:rFonts w:hint="eastAsia" w:ascii="宋体" w:hAnsi="宋体" w:eastAsia="宋体" w:cs="宋体"/>
          <w:kern w:val="0"/>
          <w:sz w:val="24"/>
          <w:lang w:val="en-US" w:eastAsia="zh-CN"/>
        </w:rPr>
        <w:t>方案</w:t>
      </w:r>
    </w:p>
    <w:p>
      <w:pPr>
        <w:pStyle w:val="2"/>
        <w:numPr>
          <w:ilvl w:val="0"/>
          <w:numId w:val="0"/>
        </w:numPr>
        <w:ind w:left="120" w:leftChars="0"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格式自拟</w:t>
      </w:r>
    </w:p>
    <w:p>
      <w:pPr>
        <w:pStyle w:val="2"/>
        <w:numPr>
          <w:ilvl w:val="0"/>
          <w:numId w:val="0"/>
        </w:numPr>
        <w:ind w:left="120" w:leftChars="0" w:firstLine="480"/>
        <w:rPr>
          <w:rFonts w:hint="eastAsia" w:ascii="宋体" w:hAnsi="宋体" w:eastAsia="宋体" w:cs="宋体"/>
          <w:kern w:val="0"/>
          <w:sz w:val="24"/>
          <w:lang w:val="en-US" w:eastAsia="zh-CN"/>
        </w:rPr>
      </w:pPr>
    </w:p>
    <w:p>
      <w:pPr>
        <w:pStyle w:val="2"/>
        <w:numPr>
          <w:ilvl w:val="0"/>
          <w:numId w:val="5"/>
        </w:numPr>
        <w:ind w:left="120" w:leftChars="0" w:firstLine="0" w:firstLineChars="0"/>
        <w:rPr>
          <w:rFonts w:hint="eastAsia" w:ascii="宋体" w:hAnsi="宋体" w:eastAsia="宋体" w:cs="宋体"/>
          <w:kern w:val="0"/>
          <w:sz w:val="24"/>
        </w:rPr>
      </w:pPr>
      <w:r>
        <w:rPr>
          <w:rFonts w:hint="eastAsia" w:ascii="宋体" w:hAnsi="宋体" w:eastAsia="宋体" w:cs="宋体"/>
          <w:kern w:val="0"/>
          <w:sz w:val="24"/>
        </w:rPr>
        <w:t>应急处理方案</w:t>
      </w:r>
    </w:p>
    <w:p>
      <w:pPr>
        <w:pStyle w:val="2"/>
        <w:numPr>
          <w:ilvl w:val="0"/>
          <w:numId w:val="0"/>
        </w:numPr>
        <w:ind w:left="120" w:leftChars="0"/>
        <w:rPr>
          <w:rFonts w:hint="eastAsia" w:ascii="仿宋" w:hAnsi="仿宋" w:eastAsia="仿宋" w:cs="宋体"/>
          <w:kern w:val="0"/>
          <w:sz w:val="24"/>
          <w:lang w:val="en-US" w:eastAsia="zh-CN"/>
        </w:rPr>
      </w:pPr>
      <w:r>
        <w:rPr>
          <w:rFonts w:hint="eastAsia" w:ascii="宋体" w:hAnsi="宋体" w:eastAsia="宋体" w:cs="宋体"/>
          <w:kern w:val="0"/>
          <w:sz w:val="24"/>
          <w:lang w:val="en-US" w:eastAsia="zh-CN"/>
        </w:rPr>
        <w:t xml:space="preserve">     格式自拟</w:t>
      </w:r>
    </w:p>
    <w:p>
      <w:pPr>
        <w:pStyle w:val="2"/>
        <w:numPr>
          <w:ilvl w:val="0"/>
          <w:numId w:val="0"/>
        </w:numPr>
        <w:ind w:left="120" w:leftChars="0"/>
        <w:rPr>
          <w:rFonts w:hint="default" w:ascii="仿宋" w:hAnsi="仿宋" w:eastAsia="仿宋" w:cs="宋体"/>
          <w:kern w:val="0"/>
          <w:sz w:val="24"/>
          <w:lang w:val="en-US" w:eastAsia="zh-CN"/>
        </w:rPr>
      </w:pPr>
    </w:p>
    <w:p>
      <w:pPr>
        <w:pStyle w:val="2"/>
      </w:pPr>
    </w:p>
    <w:p>
      <w:pPr>
        <w:pStyle w:val="2"/>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78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C5FB5"/>
    <w:multiLevelType w:val="singleLevel"/>
    <w:tmpl w:val="DB9C5FB5"/>
    <w:lvl w:ilvl="0" w:tentative="0">
      <w:start w:val="2"/>
      <w:numFmt w:val="decimal"/>
      <w:suff w:val="nothing"/>
      <w:lvlText w:val="（%1）"/>
      <w:lvlJc w:val="left"/>
    </w:lvl>
  </w:abstractNum>
  <w:abstractNum w:abstractNumId="1">
    <w:nsid w:val="F588B72D"/>
    <w:multiLevelType w:val="singleLevel"/>
    <w:tmpl w:val="F588B72D"/>
    <w:lvl w:ilvl="0" w:tentative="0">
      <w:start w:val="1"/>
      <w:numFmt w:val="decimal"/>
      <w:lvlText w:val="(%1)"/>
      <w:lvlJc w:val="left"/>
      <w:pPr>
        <w:tabs>
          <w:tab w:val="left" w:pos="312"/>
        </w:tabs>
      </w:pPr>
    </w:lvl>
  </w:abstractNum>
  <w:abstractNum w:abstractNumId="2">
    <w:nsid w:val="5244334A"/>
    <w:multiLevelType w:val="multilevel"/>
    <w:tmpl w:val="5244334A"/>
    <w:lvl w:ilvl="0" w:tentative="0">
      <w:start w:val="1"/>
      <w:numFmt w:val="decimal"/>
      <w:lvlText w:val="（%1）"/>
      <w:lvlJc w:val="left"/>
      <w:pPr>
        <w:ind w:left="-60" w:hanging="420"/>
      </w:pPr>
    </w:lvl>
    <w:lvl w:ilvl="1" w:tentative="0">
      <w:start w:val="1"/>
      <w:numFmt w:val="lowerLetter"/>
      <w:lvlText w:val="%2)"/>
      <w:lvlJc w:val="left"/>
      <w:pPr>
        <w:ind w:left="360" w:hanging="420"/>
      </w:pPr>
    </w:lvl>
    <w:lvl w:ilvl="2" w:tentative="0">
      <w:start w:val="1"/>
      <w:numFmt w:val="lowerRoman"/>
      <w:lvlText w:val="%3."/>
      <w:lvlJc w:val="right"/>
      <w:pPr>
        <w:ind w:left="780" w:hanging="420"/>
      </w:pPr>
    </w:lvl>
    <w:lvl w:ilvl="3" w:tentative="0">
      <w:start w:val="1"/>
      <w:numFmt w:val="decimal"/>
      <w:lvlText w:val="%4."/>
      <w:lvlJc w:val="left"/>
      <w:pPr>
        <w:ind w:left="1200" w:hanging="420"/>
      </w:pPr>
    </w:lvl>
    <w:lvl w:ilvl="4" w:tentative="0">
      <w:start w:val="1"/>
      <w:numFmt w:val="lowerLetter"/>
      <w:lvlText w:val="%5)"/>
      <w:lvlJc w:val="left"/>
      <w:pPr>
        <w:ind w:left="1620" w:hanging="420"/>
      </w:pPr>
    </w:lvl>
    <w:lvl w:ilvl="5" w:tentative="0">
      <w:start w:val="1"/>
      <w:numFmt w:val="lowerRoman"/>
      <w:lvlText w:val="%6."/>
      <w:lvlJc w:val="right"/>
      <w:pPr>
        <w:ind w:left="2040" w:hanging="420"/>
      </w:pPr>
    </w:lvl>
    <w:lvl w:ilvl="6" w:tentative="0">
      <w:start w:val="1"/>
      <w:numFmt w:val="decimal"/>
      <w:lvlText w:val="%7."/>
      <w:lvlJc w:val="left"/>
      <w:pPr>
        <w:ind w:left="2460" w:hanging="420"/>
      </w:pPr>
    </w:lvl>
    <w:lvl w:ilvl="7" w:tentative="0">
      <w:start w:val="1"/>
      <w:numFmt w:val="lowerLetter"/>
      <w:lvlText w:val="%8)"/>
      <w:lvlJc w:val="left"/>
      <w:pPr>
        <w:ind w:left="2880" w:hanging="420"/>
      </w:pPr>
    </w:lvl>
    <w:lvl w:ilvl="8" w:tentative="0">
      <w:start w:val="1"/>
      <w:numFmt w:val="lowerRoman"/>
      <w:lvlText w:val="%9."/>
      <w:lvlJc w:val="right"/>
      <w:pPr>
        <w:ind w:left="3300" w:hanging="420"/>
      </w:pPr>
    </w:lvl>
  </w:abstractNum>
  <w:abstractNum w:abstractNumId="3">
    <w:nsid w:val="681952DC"/>
    <w:multiLevelType w:val="multilevel"/>
    <w:tmpl w:val="681952D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5F50D5"/>
    <w:multiLevelType w:val="singleLevel"/>
    <w:tmpl w:val="6E5F50D5"/>
    <w:lvl w:ilvl="0" w:tentative="0">
      <w:start w:val="6"/>
      <w:numFmt w:val="decimal"/>
      <w:suff w:val="nothing"/>
      <w:lvlText w:val="（%1）"/>
      <w:lvlJc w:val="left"/>
      <w:pPr>
        <w:ind w:left="120" w:leftChars="0" w:firstLine="0" w:firstLineChars="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32A5"/>
    <w:rsid w:val="15FD2441"/>
    <w:rsid w:val="1CFA5AAB"/>
    <w:rsid w:val="2FD01CF5"/>
    <w:rsid w:val="3B0A72B0"/>
    <w:rsid w:val="3B6A0C9A"/>
    <w:rsid w:val="5F052B24"/>
    <w:rsid w:val="7F55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9"/>
    <w:pPr>
      <w:keepNext/>
      <w:keepLines/>
      <w:autoSpaceDE w:val="0"/>
      <w:autoSpaceDN w:val="0"/>
      <w:adjustRightInd w:val="0"/>
      <w:spacing w:before="120" w:line="300" w:lineRule="auto"/>
      <w:jc w:val="left"/>
      <w:outlineLvl w:val="1"/>
    </w:pPr>
    <w:rPr>
      <w:rFonts w:ascii="Arial" w:hAnsi="Arial" w:eastAsia="仿宋"/>
      <w:b/>
      <w:kern w:val="0"/>
      <w:sz w:val="30"/>
      <w:szCs w:val="20"/>
    </w:rPr>
  </w:style>
  <w:style w:type="paragraph" w:styleId="6">
    <w:name w:val="heading 3"/>
    <w:basedOn w:val="1"/>
    <w:next w:val="5"/>
    <w:qFormat/>
    <w:uiPriority w:val="0"/>
    <w:pPr>
      <w:keepNext/>
      <w:keepLines/>
      <w:autoSpaceDE w:val="0"/>
      <w:autoSpaceDN w:val="0"/>
      <w:adjustRightInd w:val="0"/>
      <w:jc w:val="left"/>
      <w:outlineLvl w:val="2"/>
    </w:pPr>
    <w:rPr>
      <w:rFonts w:ascii="宋体" w:eastAsia="仿宋"/>
      <w:b/>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index 1"/>
    <w:basedOn w:val="1"/>
    <w:next w:val="1"/>
    <w:qFormat/>
    <w:uiPriority w:val="0"/>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无"/>
    <w:qFormat/>
    <w:uiPriority w:val="0"/>
  </w:style>
  <w:style w:type="paragraph" w:customStyle="1" w:styleId="16">
    <w:name w:val="索引 11"/>
    <w:basedOn w:val="1"/>
    <w:next w:val="1"/>
    <w:qFormat/>
    <w:uiPriority w:val="0"/>
    <w:rPr>
      <w:szCs w:val="20"/>
    </w:rPr>
  </w:style>
  <w:style w:type="paragraph" w:customStyle="1" w:styleId="17">
    <w:name w:val="彩色列表 - 强调文字颜色 11"/>
    <w:basedOn w:val="1"/>
    <w:qFormat/>
    <w:uiPriority w:val="0"/>
    <w:pPr>
      <w:ind w:firstLine="420" w:firstLineChars="200"/>
    </w:pPr>
    <w:rPr>
      <w:rFonts w:ascii="Calibri" w:hAnsi="Calibri" w:cs="Calibri"/>
      <w:szCs w:val="21"/>
    </w:rPr>
  </w:style>
  <w:style w:type="paragraph" w:customStyle="1" w:styleId="18">
    <w:name w:val="列出段落1"/>
    <w:basedOn w:val="1"/>
    <w:qFormat/>
    <w:uiPriority w:val="34"/>
    <w:pPr>
      <w:ind w:firstLine="420" w:firstLineChars="200"/>
    </w:pPr>
  </w:style>
  <w:style w:type="paragraph" w:customStyle="1" w:styleId="19">
    <w:name w:val="A医学导论 正文 20230107"/>
    <w:basedOn w:val="1"/>
    <w:qFormat/>
    <w:uiPriority w:val="0"/>
    <w:pPr>
      <w:widowControl/>
      <w:spacing w:line="360" w:lineRule="auto"/>
      <w:ind w:firstLine="420" w:firstLineChars="175"/>
      <w:jc w:val="left"/>
    </w:pPr>
    <w:rPr>
      <w:rFonts w:hint="eastAsia"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2025-01-20T03:48:20Z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E853F7795C2041ABA2291B4DF661E9DF</vt:lpwstr>
  </property>
</Properties>
</file>