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第一章 采购</w:t>
      </w:r>
      <w:r>
        <w:rPr>
          <w:rFonts w:hint="eastAsia"/>
          <w:sz w:val="32"/>
          <w:szCs w:val="40"/>
        </w:rPr>
        <w:t>需求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</w:rPr>
      </w:pPr>
      <w:r>
        <w:rPr>
          <w:rFonts w:hint="eastAsia" w:ascii="仿宋" w:hAnsi="仿宋" w:eastAsia="仿宋" w:cs="仿宋"/>
          <w:sz w:val="24"/>
          <w:szCs w:val="32"/>
          <w:highlight w:val="none"/>
        </w:rPr>
        <w:t>一、 项目</w:t>
      </w: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基本情况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1. 项目名称：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>中国OPO发展大会暨2025年度国家人体捐献器官获取质量控制中心源头培训（北京北部站）</w:t>
      </w: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市内车辆及人员服务</w:t>
      </w:r>
      <w:r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2. 项目时间：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>20</w:t>
      </w: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 xml:space="preserve"> 年 </w:t>
      </w: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27日至3月1日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>举办，为期</w:t>
      </w: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>天</w:t>
      </w:r>
      <w:r>
        <w:rPr>
          <w:rFonts w:hint="eastAsia" w:ascii="仿宋" w:hAnsi="仿宋" w:eastAsia="仿宋" w:cs="仿宋"/>
          <w:sz w:val="24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3. 采购方式：院内遴选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4. 项目预算金额：24.66万元，其中车辆预算24万，会务人员预算0.66万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二、资格要求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1、营业执照等证明文件：供应商为企业(包括合伙企业)的，应提供有效的“营业执照”；供应商为事业单位的，应提供有效的“事业单位法人证书”；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供应商是非企业机构的，应提供有效的“执业许可证”、“登记证书”等证明文件；供应商是个体工商户的，应提供有效的“个体工商户营业执照”；供应商是自然人的，应提供有效的自然人身份证明。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2、“信用中国 www.creditchina.gov.cn ）”和“中国政府采购网（ www.ccgp.gov.cn ）”网站查询的投标单位信用记录的查询结果， 对列入失信被执行人、重大税收违法案件当事人名单、政府采购严重违法失信行为记录名单。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32"/>
          <w:highlight w:val="none"/>
        </w:rPr>
      </w:pPr>
      <w:r>
        <w:rPr>
          <w:rFonts w:hint="eastAsia" w:ascii="仿宋" w:hAnsi="仿宋" w:eastAsia="仿宋" w:cs="仿宋"/>
          <w:sz w:val="24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z w:val="24"/>
          <w:szCs w:val="32"/>
          <w:highlight w:val="none"/>
        </w:rPr>
        <w:t xml:space="preserve">、 服务内容及要求 </w:t>
      </w:r>
    </w:p>
    <w:p>
      <w:pPr>
        <w:spacing w:after="0" w:line="360" w:lineRule="auto"/>
        <w:ind w:firstLine="480" w:firstLineChars="200"/>
        <w:outlineLvl w:val="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（一）服务时间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  <w:lang w:val="en-US" w:eastAsia="zh-CN"/>
        </w:rPr>
        <w:t>依甲方要求，在会议开始前3天统筹安排直至活动及合同履行结束后。</w:t>
      </w:r>
    </w:p>
    <w:p>
      <w:pPr>
        <w:spacing w:after="0" w:line="360" w:lineRule="auto"/>
        <w:ind w:firstLine="480" w:firstLineChars="200"/>
        <w:outlineLvl w:val="1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（二）服务要求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/>
          <w:sz w:val="24"/>
        </w:rPr>
        <w:t>1.</w:t>
      </w:r>
      <w:r>
        <w:rPr>
          <w:rFonts w:hint="eastAsia" w:ascii="仿宋" w:hAnsi="仿宋" w:eastAsia="仿宋" w:cs="宋体"/>
          <w:sz w:val="24"/>
        </w:rPr>
        <w:t>负责600名参会者</w:t>
      </w:r>
      <w:r>
        <w:rPr>
          <w:rFonts w:hint="eastAsia" w:ascii="仿宋" w:hAnsi="仿宋" w:eastAsia="仿宋" w:cs="宋体"/>
          <w:sz w:val="24"/>
          <w:lang w:eastAsia="zh-CN"/>
        </w:rPr>
        <w:t>，</w:t>
      </w:r>
      <w:r>
        <w:rPr>
          <w:rFonts w:hint="eastAsia" w:ascii="仿宋" w:hAnsi="仿宋" w:eastAsia="仿宋" w:cs="宋体"/>
          <w:sz w:val="24"/>
        </w:rPr>
        <w:t>会议开始前</w:t>
      </w:r>
      <w:r>
        <w:rPr>
          <w:rFonts w:hint="eastAsia" w:ascii="仿宋" w:hAnsi="仿宋" w:eastAsia="仿宋" w:cs="宋体"/>
          <w:sz w:val="24"/>
          <w:lang w:val="en-US" w:eastAsia="zh-CN"/>
        </w:rPr>
        <w:t>的</w:t>
      </w:r>
      <w:r>
        <w:rPr>
          <w:rFonts w:hint="eastAsia" w:ascii="仿宋" w:hAnsi="仿宋" w:eastAsia="仿宋" w:cs="宋体"/>
          <w:sz w:val="24"/>
        </w:rPr>
        <w:t>接站、接机</w:t>
      </w:r>
      <w:r>
        <w:rPr>
          <w:rFonts w:hint="eastAsia" w:ascii="仿宋" w:hAnsi="仿宋" w:eastAsia="仿宋" w:cs="宋体"/>
          <w:sz w:val="24"/>
          <w:lang w:eastAsia="zh-CN"/>
        </w:rPr>
        <w:t>、</w:t>
      </w:r>
      <w:r>
        <w:rPr>
          <w:rFonts w:hint="eastAsia" w:ascii="仿宋" w:hAnsi="仿宋" w:eastAsia="仿宋" w:cs="宋体"/>
          <w:sz w:val="24"/>
          <w:lang w:val="en-US" w:eastAsia="zh-CN"/>
        </w:rPr>
        <w:t>送站</w:t>
      </w:r>
      <w:r>
        <w:rPr>
          <w:rFonts w:hint="eastAsia" w:ascii="仿宋" w:hAnsi="仿宋" w:eastAsia="仿宋" w:cs="宋体"/>
          <w:sz w:val="24"/>
        </w:rPr>
        <w:t>、</w:t>
      </w:r>
      <w:r>
        <w:rPr>
          <w:rFonts w:hint="eastAsia" w:ascii="仿宋" w:hAnsi="仿宋" w:eastAsia="仿宋" w:cs="宋体"/>
          <w:sz w:val="24"/>
          <w:lang w:val="en-US" w:eastAsia="zh-CN"/>
        </w:rPr>
        <w:t>送机</w:t>
      </w:r>
      <w:r>
        <w:rPr>
          <w:rFonts w:hint="eastAsia" w:ascii="仿宋" w:hAnsi="仿宋" w:eastAsia="仿宋" w:cs="宋体"/>
          <w:sz w:val="24"/>
        </w:rPr>
        <w:t>以及市内接送服务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2.</w:t>
      </w:r>
      <w:r>
        <w:rPr>
          <w:rFonts w:hint="eastAsia" w:ascii="仿宋" w:hAnsi="仿宋" w:eastAsia="仿宋"/>
          <w:sz w:val="24"/>
        </w:rPr>
        <w:t>车辆上给予保证，提供24小时车辆服务，按采购方所需的车型、时间、地点、和路线进行安排。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.保证选派驾驶经验丰富、需具有5年以上驾龄，服务态度良好的驾驶员，提供优质安全服务，将驾驶员的驾驶证复印件交甲方备案。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.车辆服务需至少提供调度人员1人，机场接机同时不少于4人，火车站接站同时不少于4人（以上人员不包含车辆驾驶员）。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.确保行车安全，如因驾驶或车辆发生交通事故，按照《中华人民共和国道路交通安全法》和《机动车交通事故责任强制保险条例》等的规定，处理好交通事故。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6</w:t>
      </w:r>
      <w:r>
        <w:rPr>
          <w:rFonts w:hint="eastAsia" w:ascii="仿宋" w:hAnsi="仿宋" w:eastAsia="仿宋"/>
          <w:sz w:val="24"/>
        </w:rPr>
        <w:t>.采购方有权要求更换采购方认为不合格的驾驶员或车辆，中选企业负责无条件更换。</w:t>
      </w:r>
    </w:p>
    <w:p>
      <w:pPr>
        <w:pStyle w:val="2"/>
        <w:rPr>
          <w:rFonts w:hint="default" w:ascii="仿宋" w:hAnsi="仿宋" w:eastAsia="仿宋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 7.提供11人（不包含司机）为采购方提供人员对接、车辆人员对接、接站等相关服务。</w:t>
      </w:r>
    </w:p>
    <w:p>
      <w:pPr>
        <w:pStyle w:val="2"/>
        <w:rPr>
          <w:rFonts w:hint="eastAsia" w:ascii="仿宋" w:hAnsi="仿宋" w:eastAsia="仿宋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kern w:val="2"/>
          <w:sz w:val="24"/>
          <w:szCs w:val="24"/>
          <w:lang w:val="en-US" w:eastAsia="zh-CN" w:bidi="ar-SA"/>
        </w:rPr>
        <w:t xml:space="preserve"> （三）结算方式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1.活动结束后 20个工作日内向采购方提供车辆使用时间或里程明细（以参会人员实际行程为准），采购方在 20个工作日内核对确认后按清单向中选单位支付，结算遇节假日顺延。</w:t>
      </w:r>
    </w:p>
    <w:p>
      <w:pPr>
        <w:spacing w:after="0" w:line="360" w:lineRule="auto"/>
        <w:ind w:firstLine="240" w:firstLineChars="100"/>
        <w:outlineLvl w:val="1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（四）车辆要求</w:t>
      </w:r>
    </w:p>
    <w:p>
      <w:pPr>
        <w:spacing w:after="0" w:line="360" w:lineRule="auto"/>
        <w:ind w:firstLine="480" w:firstLineChars="200"/>
        <w:outlineLvl w:val="1"/>
        <w:rPr>
          <w:rFonts w:hint="eastAsia" w:ascii="仿宋" w:hAnsi="仿宋" w:eastAsia="仿宋" w:cs="宋体"/>
          <w:sz w:val="24"/>
          <w:lang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1.车辆需</w:t>
      </w:r>
      <w:r>
        <w:rPr>
          <w:rFonts w:hint="eastAsia" w:ascii="仿宋" w:hAnsi="仿宋" w:eastAsia="仿宋" w:cs="宋体"/>
          <w:sz w:val="24"/>
        </w:rPr>
        <w:t>不少于3辆5座轿车（B级以上）和不少于3辆7人商务车</w:t>
      </w:r>
      <w:r>
        <w:rPr>
          <w:rFonts w:hint="eastAsia" w:ascii="仿宋" w:hAnsi="仿宋" w:eastAsia="仿宋" w:cs="宋体"/>
          <w:sz w:val="24"/>
          <w:lang w:eastAsia="zh-CN"/>
        </w:rPr>
        <w:t>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2.车辆需按时足额办理交强险、第三者责任险，保险金额不得低于200万，车辆车上人员保险不能低于1万元/人。</w:t>
      </w:r>
    </w:p>
    <w:p>
      <w:pPr>
        <w:spacing w:after="0" w:line="360" w:lineRule="auto"/>
        <w:ind w:firstLine="480" w:firstLineChars="200"/>
        <w:rPr>
          <w:rFonts w:hint="eastAsia"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3.中选单位保证车辆按时年审、车辆按规定进行定期维护保修、车辆相关手续齐全有效，车辆安全性能满足采购方使用需要、并承担安全责任。</w:t>
      </w:r>
    </w:p>
    <w:p>
      <w:pPr>
        <w:spacing w:after="0" w:line="360" w:lineRule="auto"/>
        <w:ind w:firstLine="480" w:firstLineChars="200"/>
        <w:rPr>
          <w:rFonts w:hint="default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4.保证车辆处于良好状态，保证车辆内处于干净整洁，车内设施良好，能够正常运营，使甲方乘车人员感到温馨舒适。</w:t>
      </w:r>
    </w:p>
    <w:p>
      <w:pPr>
        <w:ind w:firstLine="480" w:firstLineChars="200"/>
        <w:outlineLvl w:val="1"/>
        <w:rPr>
          <w:rFonts w:hint="eastAsia" w:ascii="仿宋" w:hAnsi="仿宋" w:eastAsia="仿宋" w:cs="宋体"/>
          <w:color w:val="auto"/>
          <w:sz w:val="24"/>
        </w:rPr>
      </w:pPr>
      <w:r>
        <w:rPr>
          <w:rFonts w:hint="eastAsia" w:ascii="仿宋" w:hAnsi="仿宋" w:eastAsia="仿宋" w:cs="宋体"/>
          <w:color w:val="auto"/>
          <w:sz w:val="24"/>
        </w:rPr>
        <w:t>（五）车辆租赁限价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84"/>
        <w:gridCol w:w="1185"/>
        <w:gridCol w:w="1185"/>
        <w:gridCol w:w="1185"/>
        <w:gridCol w:w="1185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车型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日租价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超公里单价（日）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超小时单价（日）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半日租价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超公里单价（半日）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超小时单价（半日）</w:t>
            </w:r>
          </w:p>
        </w:tc>
      </w:tr>
      <w:tr>
        <w:trPr>
          <w:trHeight w:val="936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5座车（B级及以上）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600元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4元/公里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50元/小时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400元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6元/公里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60元/小时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7座商务车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700元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4元/公里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50元/小时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500元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 xml:space="preserve"> 6元/公里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60元/小时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日租8小时100公里，半日租：4小时50公里；超过半日租标准，按照日租公式计算：（20点后单独计算超时）高速费和停车费另行计算；周租金按照7天计算，半月租金按照15天计算，月租金按照30天计算；以上报价均包含司机费用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spacing w:after="0" w:line="360" w:lineRule="auto"/>
        <w:ind w:firstLine="240" w:firstLineChars="100"/>
        <w:outlineLvl w:val="1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 w:cs="宋体"/>
          <w:sz w:val="24"/>
          <w:lang w:val="en-US" w:eastAsia="zh-CN"/>
        </w:rPr>
        <w:t>会务对接人员限价</w:t>
      </w:r>
    </w:p>
    <w:tbl>
      <w:tblPr>
        <w:tblStyle w:val="5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30"/>
        <w:gridCol w:w="2847"/>
        <w:gridCol w:w="1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时间(日）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单价（元/日）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6600</w:t>
            </w:r>
          </w:p>
        </w:tc>
      </w:tr>
    </w:tbl>
    <w:p>
      <w:pPr>
        <w:numPr>
          <w:ilvl w:val="0"/>
          <w:numId w:val="0"/>
        </w:numPr>
        <w:spacing w:after="0" w:line="360" w:lineRule="auto"/>
        <w:outlineLvl w:val="1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4"/>
          <w:lang w:val="en-US" w:eastAsia="zh-CN"/>
        </w:rPr>
      </w:pPr>
    </w:p>
    <w:p>
      <w:pPr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4"/>
          <w:lang w:val="en-US" w:eastAsia="zh-CN"/>
        </w:rPr>
      </w:pPr>
    </w:p>
    <w:p>
      <w:pPr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rPr>
          <w:rFonts w:hint="eastAsia" w:ascii="仿宋" w:hAnsi="仿宋" w:eastAsia="仿宋"/>
          <w:sz w:val="24"/>
          <w:lang w:val="en-US" w:eastAsia="zh-CN"/>
        </w:rPr>
      </w:pPr>
    </w:p>
    <w:p>
      <w:pPr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spacing w:after="0" w:line="360" w:lineRule="auto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</w:p>
    <w:p>
      <w:pPr>
        <w:numPr>
          <w:ilvl w:val="0"/>
          <w:numId w:val="2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评审标准</w:t>
      </w:r>
    </w:p>
    <w:tbl>
      <w:tblPr>
        <w:tblStyle w:val="5"/>
        <w:tblpPr w:leftFromText="180" w:rightFromText="180" w:vertAnchor="text" w:horzAnchor="page" w:tblpX="1512" w:tblpY="1308"/>
        <w:tblOverlap w:val="never"/>
        <w:tblW w:w="985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1468"/>
        <w:gridCol w:w="69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3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内容</w:t>
            </w:r>
          </w:p>
        </w:tc>
        <w:tc>
          <w:tcPr>
            <w:tcW w:w="73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468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评分因素</w:t>
            </w:r>
          </w:p>
        </w:tc>
        <w:tc>
          <w:tcPr>
            <w:tcW w:w="691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37" w:type="dxa"/>
            <w:vMerge w:val="restart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价格部分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68" w:type="dxa"/>
            <w:vAlign w:val="top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车辆服务报价）15分</w:t>
            </w:r>
          </w:p>
        </w:tc>
        <w:tc>
          <w:tcPr>
            <w:tcW w:w="6917" w:type="dxa"/>
            <w:vAlign w:val="top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价格分采用低价优先法计算，即满足招标文件要求且报价最低的报价为评标基准价，其价格分为满分，其他报价人的价格分统一按下列公式计算：报价得分=（评标基准价/报价）×价格权值。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注：两车型日租金合计计算基准价格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8" w:type="dxa"/>
            <w:vAlign w:val="top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价格（人员报价）5分</w:t>
            </w:r>
          </w:p>
        </w:tc>
        <w:tc>
          <w:tcPr>
            <w:tcW w:w="6917" w:type="dxa"/>
            <w:vAlign w:val="top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价格分采用低价优先法计算，即满足招标文件要求且报价最低的报价为评标基准价，其价格分为满分，其他报价人的价格分统一按下列公式计算：报价得分=（评标基准价/报价）×价格权值。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3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商务部分</w:t>
            </w:r>
          </w:p>
        </w:tc>
        <w:tc>
          <w:tcPr>
            <w:tcW w:w="73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68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供应商业绩（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分）</w:t>
            </w:r>
          </w:p>
        </w:tc>
        <w:tc>
          <w:tcPr>
            <w:tcW w:w="691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根据供应商在中国境内近三年（202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月至本采购活动遴选公告日期，合同或协议签字日期为准）承担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类车辆服务业绩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进行评价，有一个业绩得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分，最高得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8" w:hRule="atLeast"/>
        </w:trPr>
        <w:tc>
          <w:tcPr>
            <w:tcW w:w="7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技术部分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内部管理制度（10分）</w:t>
            </w:r>
          </w:p>
        </w:tc>
        <w:tc>
          <w:tcPr>
            <w:tcW w:w="691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供应商根据本项目的服务内容，提供本单位的内部管理制度（必须包含但不限于人事管理制度、安全管理制度），要求制度合理，评审人员对提供制度整体评分。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制度齐全能够充分满足本项目实际需求，管理制度能够很好保障车辆服务过程中的包含但不限于安全、服务、时效、卫生等相关保障，得10分。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制度相对齐全能够较好满足本项目实际需求，管理制度能够较好保障车辆服务过程中的包含但不限于安全、服务、时效、卫生等相关保障，得7分。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制度较齐全能够基本满足本项目实际需求，管理制度能够基本保障车辆服务过程中的包含但不限于安全、服务、时效、卫生等相关保障，得4分。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制度不齐全不能满足本项目实际需求，管理制度不能保障会议过程中的相关保障，不得分。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车辆保障（5分）</w:t>
            </w:r>
          </w:p>
        </w:tc>
        <w:tc>
          <w:tcPr>
            <w:tcW w:w="691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配备不少于3辆5座轿车（B级以上）和不少于3辆7座商务车，得5分。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注：须提供车辆行驶证复印件和车辆照片。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人员配备(15分）</w:t>
            </w:r>
          </w:p>
        </w:tc>
        <w:tc>
          <w:tcPr>
            <w:tcW w:w="691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参与遴选人为本项目配备专职对接人员、接机人员等服务人员不少于11人（不包含专职司机），人员配备科学合理、人员经验齐全得10分；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人员配备较科学合理、人员资质基本齐全得5分至9分；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人员配备欠完整、人员资质较差得2分至4分；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无内容或不满足招标文件要求得0分。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注：须提供人员配置及职能设定说明及承诺书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配备不少于6名专职司机，且每人均具有5年以上驾龄，得5分。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注：须提供专职司机驾驶证复印件。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7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服务部分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68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车辆服务方案（15分）</w:t>
            </w:r>
          </w:p>
        </w:tc>
        <w:tc>
          <w:tcPr>
            <w:tcW w:w="691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根据参与遴选人提供的拟配备车辆状况描述、用车保障等方案进行综合评议。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方案具备针对性、可行性得15分；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方案部分具备针对性、可行性一般，基本可以满足需求得10分至14分；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方案针对性不强、可行性较差得4分至9分；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未提供方案或不满足需求文件要求得0分。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应急预案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（10分）</w:t>
            </w:r>
          </w:p>
        </w:tc>
        <w:tc>
          <w:tcPr>
            <w:tcW w:w="691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对用户的响应时间、处理措施、突发事件的应急措施及方案等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突发事件的应急措施、应急方案，措施完整、合理能充分满足本项目的实际需要得 10分: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制定的突发事件的应急措施、应急方案，基本满足本项目的实际需要得 5分至9 分;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制定的突发事件的应急措施、应急方案，能大部分满足本项目的实际需要得1分至5分;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未提供应急方案或方案完全不满足，得0分。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3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3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68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服务保障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（5分）</w:t>
            </w:r>
          </w:p>
        </w:tc>
        <w:tc>
          <w:tcPr>
            <w:tcW w:w="6917" w:type="dxa"/>
            <w:vAlign w:val="center"/>
          </w:tcPr>
          <w:p>
            <w:pPr>
              <w:spacing w:after="0" w:line="360" w:lineRule="auto"/>
              <w:ind w:firstLine="240" w:firstLineChars="100"/>
              <w:outlineLvl w:val="1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提供项目实施质量、效果、进度的保障措施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相关承诺书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以及保密承诺的承诺书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提供且承诺内容合理5分，未承诺或内容不合理不得分</w:t>
            </w:r>
          </w:p>
        </w:tc>
      </w:tr>
    </w:tbl>
    <w:p>
      <w:pPr>
        <w:spacing w:after="0" w:line="360" w:lineRule="auto"/>
        <w:ind w:firstLine="240" w:firstLineChars="100"/>
        <w:outlineLvl w:val="1"/>
        <w:rPr>
          <w:rFonts w:hint="default" w:ascii="仿宋" w:hAnsi="仿宋" w:eastAsia="仿宋" w:cs="宋体"/>
          <w:sz w:val="24"/>
          <w:lang w:val="en-US" w:eastAsia="zh-CN"/>
        </w:rPr>
      </w:pPr>
    </w:p>
    <w:p>
      <w:pPr>
        <w:spacing w:after="0" w:line="360" w:lineRule="auto"/>
        <w:ind w:firstLine="240" w:firstLineChars="100"/>
        <w:outlineLvl w:val="1"/>
        <w:rPr>
          <w:rFonts w:hint="default" w:ascii="仿宋" w:hAnsi="仿宋" w:eastAsia="仿宋" w:cs="宋体"/>
          <w:sz w:val="24"/>
          <w:lang w:val="en-US" w:eastAsia="zh-CN"/>
        </w:rPr>
      </w:pPr>
    </w:p>
    <w:p>
      <w:pPr>
        <w:spacing w:after="0" w:line="360" w:lineRule="auto"/>
        <w:ind w:firstLine="240" w:firstLineChars="100"/>
        <w:outlineLvl w:val="1"/>
        <w:rPr>
          <w:rFonts w:hint="default" w:ascii="仿宋" w:hAnsi="仿宋" w:eastAsia="仿宋" w:cs="宋体"/>
          <w:sz w:val="24"/>
          <w:lang w:val="en-US" w:eastAsia="zh-CN"/>
        </w:rPr>
      </w:pPr>
    </w:p>
    <w:p>
      <w:pPr>
        <w:spacing w:after="0" w:line="360" w:lineRule="auto"/>
        <w:ind w:firstLine="240" w:firstLineChars="100"/>
        <w:outlineLvl w:val="1"/>
        <w:rPr>
          <w:rFonts w:hint="default" w:ascii="仿宋" w:hAnsi="仿宋" w:eastAsia="仿宋" w:cs="宋体"/>
          <w:sz w:val="24"/>
          <w:lang w:val="en-US" w:eastAsia="zh-CN"/>
        </w:rPr>
      </w:pPr>
    </w:p>
    <w:p>
      <w:pPr>
        <w:spacing w:after="0" w:line="360" w:lineRule="auto"/>
        <w:ind w:firstLine="240" w:firstLineChars="100"/>
        <w:outlineLvl w:val="1"/>
        <w:rPr>
          <w:rFonts w:hint="default" w:ascii="仿宋" w:hAnsi="仿宋" w:eastAsia="仿宋" w:cs="宋体"/>
          <w:sz w:val="24"/>
          <w:lang w:val="en-US" w:eastAsia="zh-CN"/>
        </w:rPr>
      </w:pPr>
    </w:p>
    <w:p>
      <w:pPr>
        <w:spacing w:after="0" w:line="360" w:lineRule="auto"/>
        <w:ind w:firstLine="240" w:firstLineChars="100"/>
        <w:outlineLvl w:val="1"/>
        <w:rPr>
          <w:rFonts w:hint="default" w:ascii="仿宋" w:hAnsi="仿宋" w:eastAsia="仿宋" w:cs="宋体"/>
          <w:sz w:val="24"/>
          <w:lang w:val="en-US" w:eastAsia="zh-CN"/>
        </w:rPr>
      </w:pPr>
    </w:p>
    <w:p>
      <w:pPr>
        <w:spacing w:after="0" w:line="360" w:lineRule="auto"/>
        <w:ind w:firstLine="240" w:firstLineChars="100"/>
        <w:outlineLvl w:val="1"/>
        <w:rPr>
          <w:rFonts w:hint="default" w:ascii="仿宋" w:hAnsi="仿宋" w:eastAsia="仿宋" w:cs="宋体"/>
          <w:sz w:val="24"/>
          <w:lang w:val="en-US" w:eastAsia="zh-CN"/>
        </w:rPr>
      </w:pPr>
    </w:p>
    <w:p>
      <w:pPr>
        <w:spacing w:after="0" w:line="360" w:lineRule="auto"/>
        <w:ind w:firstLine="240" w:firstLineChars="100"/>
        <w:outlineLvl w:val="1"/>
        <w:rPr>
          <w:rFonts w:hint="default" w:ascii="仿宋" w:hAnsi="仿宋" w:eastAsia="仿宋" w:cs="宋体"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评审文件格式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资格条款</w:t>
      </w:r>
    </w:p>
    <w:p>
      <w:pPr>
        <w:widowControl w:val="0"/>
        <w:numPr>
          <w:ilvl w:val="0"/>
          <w:numId w:val="4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提供营业执照复印件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提供“信用中国 www.creditchina.gov.cn ）”和“中国政府采购网（ www.ccgp.gov.cn ）”截图。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车辆报价</w:t>
      </w: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704" w:tblpY="259"/>
        <w:tblOverlap w:val="never"/>
        <w:tblW w:w="506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93"/>
        <w:gridCol w:w="1198"/>
        <w:gridCol w:w="1198"/>
        <w:gridCol w:w="1198"/>
        <w:gridCol w:w="1200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车型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日租价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超公里单价（日）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超小时单价（日）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半日租价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超公里单价（半日）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24"/>
                <w:lang w:bidi="ar"/>
              </w:rPr>
              <w:t>超小时单价（半日）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5座车（B级及以上）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元/公里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元/小时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元/公里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元/小时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7座商务车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元/公里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元/小时</w:t>
            </w:r>
          </w:p>
        </w:tc>
        <w:tc>
          <w:tcPr>
            <w:tcW w:w="6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元/公里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元/小时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日租8小时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公里，半日租：4小时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lang w:bidi="ar"/>
              </w:rPr>
              <w:t>公里；超过半日租标准，按照日租公式计算：（20点后单独计算超时）高速费和停车费另行计算；周租金按照7天计算，半月租金按照15天计算，月租金按照30天计算；以上报价均包含司机费用。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人员报价</w:t>
      </w:r>
    </w:p>
    <w:tbl>
      <w:tblPr>
        <w:tblStyle w:val="5"/>
        <w:tblW w:w="83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830"/>
        <w:gridCol w:w="2847"/>
        <w:gridCol w:w="18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人员数量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时间(日）</w:t>
            </w:r>
          </w:p>
        </w:tc>
        <w:tc>
          <w:tcPr>
            <w:tcW w:w="2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单价（元/日）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供应商业绩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提供合同包含首页、报价页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内部管理制度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格式自拟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车辆保障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提供不少于三辆B级以上车辆，三两7座商务车行驶证复印件及照片（加盖公章）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人员配置</w:t>
      </w:r>
    </w:p>
    <w:p>
      <w:pPr>
        <w:widowControl w:val="0"/>
        <w:numPr>
          <w:ilvl w:val="0"/>
          <w:numId w:val="5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提供人员配置及职能设置说明和承诺（格式自拟）</w:t>
      </w:r>
    </w:p>
    <w:p>
      <w:pPr>
        <w:widowControl w:val="0"/>
        <w:numPr>
          <w:ilvl w:val="0"/>
          <w:numId w:val="5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提供不少于6名专职司机驾驶证复印件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车辆服务方案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格式自拟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应急预案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格式自拟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3"/>
        </w:numPr>
        <w:ind w:left="0" w:leftChars="0"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服务及保密承诺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格式自拟</w:t>
      </w:r>
    </w:p>
    <w:p>
      <w:pPr>
        <w:widowControl w:val="0"/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D7C71"/>
    <w:multiLevelType w:val="singleLevel"/>
    <w:tmpl w:val="859D7C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5A8FD1A"/>
    <w:multiLevelType w:val="singleLevel"/>
    <w:tmpl w:val="85A8FD1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6911F25"/>
    <w:multiLevelType w:val="singleLevel"/>
    <w:tmpl w:val="06911F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AE338A"/>
    <w:multiLevelType w:val="singleLevel"/>
    <w:tmpl w:val="22AE338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27A9099"/>
    <w:multiLevelType w:val="singleLevel"/>
    <w:tmpl w:val="427A9099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7D6E8F"/>
    <w:rsid w:val="198C5A58"/>
    <w:rsid w:val="1B3B57AB"/>
    <w:rsid w:val="37824D82"/>
    <w:rsid w:val="3DEB6CBB"/>
    <w:rsid w:val="4634620C"/>
    <w:rsid w:val="5437432D"/>
    <w:rsid w:val="556B1847"/>
    <w:rsid w:val="61D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tabs>
        <w:tab w:val="left" w:pos="8640"/>
      </w:tabs>
      <w:ind w:left="1365"/>
    </w:pPr>
  </w:style>
  <w:style w:type="paragraph" w:styleId="4">
    <w:name w:val="Body Text First Indent 2"/>
    <w:basedOn w:val="3"/>
    <w:qFormat/>
    <w:uiPriority w:val="0"/>
    <w:pPr>
      <w:spacing w:after="120" w:line="480" w:lineRule="exact"/>
      <w:ind w:left="420" w:leftChars="200" w:firstLine="420" w:firstLineChars="200"/>
    </w:pPr>
    <w:rPr>
      <w:rFonts w:asciiTheme="minorHAnsi" w:hAnsiTheme="minorHAnsi" w:cstheme="minorBidi"/>
      <w:sz w:val="24"/>
      <w:szCs w:val="24"/>
    </w:rPr>
  </w:style>
  <w:style w:type="paragraph" w:customStyle="1" w:styleId="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2025-01-08T14:26:00Z</dcterms:created>
  <dc:creator>86138</dc:creator>
  <cp:lastModifiedBy>user</cp:lastModifiedBy>
  <cp:lastPrinted>2025-01-09T06:17:00Z</cp:lastPrinted>
  <dcterms:modified xsi:type="dcterms:W3CDTF">2025-01-26T05:51:42Z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KSOTemplateDocerSaveRecord">
    <vt:lpwstr>eyJoZGlkIjoiZjAxYTBkMThjNDRkZjgwYjNiOGY0OTQzODQzNTczNGUifQ==</vt:lpwstr>
  </property>
  <property fmtid="{D5CDD505-2E9C-101B-9397-08002B2CF9AE}" pid="4" name="ICV">
    <vt:lpwstr>83BFBC985C1343BCA8DAE39C54DE9DE5</vt:lpwstr>
  </property>
</Properties>
</file>