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240" w:lineRule="auto"/>
        <w:jc w:val="center"/>
        <w:rPr>
          <w:rFonts w:hint="eastAsia" w:ascii="仿宋" w:hAnsi="仿宋" w:eastAsia="仿宋" w:cs="仿宋"/>
          <w:b/>
          <w:snapToGrid w:val="0"/>
          <w:kern w:val="21"/>
          <w:sz w:val="28"/>
          <w:szCs w:val="28"/>
          <w:lang w:eastAsia="zh-CN"/>
        </w:rPr>
      </w:pPr>
      <w:r>
        <w:rPr>
          <w:rFonts w:hint="eastAsia" w:ascii="仿宋" w:hAnsi="仿宋" w:eastAsia="仿宋" w:cs="仿宋"/>
          <w:b/>
          <w:snapToGrid w:val="0"/>
          <w:kern w:val="21"/>
          <w:sz w:val="28"/>
          <w:szCs w:val="28"/>
          <w:lang w:eastAsia="zh-CN"/>
        </w:rPr>
        <w:t>技术需求</w:t>
      </w:r>
    </w:p>
    <w:p>
      <w:pPr>
        <w:widowControl/>
        <w:numPr>
          <w:ilvl w:val="0"/>
          <w:numId w:val="2"/>
        </w:numPr>
        <w:autoSpaceDE w:val="0"/>
        <w:autoSpaceDN w:val="0"/>
        <w:spacing w:line="240" w:lineRule="auto"/>
        <w:rPr>
          <w:rFonts w:hint="eastAsia" w:ascii="仿宋" w:hAnsi="仿宋" w:eastAsia="仿宋" w:cs="仿宋"/>
          <w:b/>
          <w:bCs w:val="0"/>
          <w:snapToGrid w:val="0"/>
          <w:kern w:val="21"/>
          <w:sz w:val="24"/>
          <w:szCs w:val="24"/>
          <w:lang w:eastAsia="zh-CN"/>
        </w:rPr>
      </w:pPr>
      <w:r>
        <w:rPr>
          <w:rFonts w:hint="eastAsia" w:ascii="仿宋" w:hAnsi="仿宋" w:eastAsia="仿宋" w:cs="仿宋"/>
          <w:b/>
          <w:bCs w:val="0"/>
          <w:snapToGrid w:val="0"/>
          <w:kern w:val="21"/>
          <w:sz w:val="24"/>
          <w:szCs w:val="24"/>
          <w:lang w:val="en-US" w:eastAsia="zh-CN"/>
        </w:rPr>
        <w:t>*</w:t>
      </w:r>
      <w:r>
        <w:rPr>
          <w:rFonts w:hint="eastAsia" w:ascii="仿宋" w:hAnsi="仿宋" w:eastAsia="仿宋" w:cs="仿宋"/>
          <w:b/>
          <w:bCs w:val="0"/>
          <w:snapToGrid w:val="0"/>
          <w:kern w:val="21"/>
          <w:sz w:val="24"/>
          <w:szCs w:val="24"/>
          <w:lang w:eastAsia="zh-CN"/>
        </w:rPr>
        <w:t>厂商资质（</w:t>
      </w:r>
      <w:r>
        <w:rPr>
          <w:rFonts w:hint="eastAsia" w:ascii="仿宋" w:hAnsi="仿宋" w:eastAsia="仿宋" w:cs="仿宋"/>
          <w:b/>
          <w:bCs w:val="0"/>
          <w:snapToGrid w:val="0"/>
          <w:kern w:val="21"/>
          <w:sz w:val="24"/>
          <w:szCs w:val="24"/>
          <w:lang w:val="en-US" w:eastAsia="zh-CN"/>
        </w:rPr>
        <w:t>4项</w:t>
      </w:r>
      <w:r>
        <w:rPr>
          <w:rFonts w:hint="eastAsia" w:ascii="仿宋" w:hAnsi="仿宋" w:eastAsia="仿宋" w:cs="仿宋"/>
          <w:b/>
          <w:bCs w:val="0"/>
          <w:snapToGrid w:val="0"/>
          <w:kern w:val="21"/>
          <w:sz w:val="24"/>
          <w:szCs w:val="24"/>
          <w:lang w:eastAsia="zh-CN"/>
        </w:rPr>
        <w:t>）</w:t>
      </w:r>
    </w:p>
    <w:p>
      <w:pPr>
        <w:widowControl/>
        <w:numPr>
          <w:ilvl w:val="0"/>
          <w:numId w:val="3"/>
        </w:numPr>
        <w:autoSpaceDE w:val="0"/>
        <w:autoSpaceDN w:val="0"/>
        <w:spacing w:line="240" w:lineRule="auto"/>
        <w:rPr>
          <w:rFonts w:hint="eastAsia" w:ascii="仿宋" w:hAnsi="仿宋" w:eastAsia="仿宋" w:cs="仿宋"/>
          <w:b w:val="0"/>
          <w:bCs/>
          <w:snapToGrid w:val="0"/>
          <w:kern w:val="21"/>
          <w:sz w:val="24"/>
          <w:szCs w:val="24"/>
          <w:lang w:val="en-US" w:eastAsia="zh-CN"/>
        </w:rPr>
      </w:pPr>
      <w:r>
        <w:rPr>
          <w:rFonts w:hint="eastAsia" w:ascii="仿宋" w:hAnsi="仿宋" w:eastAsia="仿宋" w:cs="仿宋"/>
          <w:b w:val="0"/>
          <w:bCs/>
          <w:snapToGrid w:val="0"/>
          <w:kern w:val="21"/>
          <w:sz w:val="24"/>
          <w:szCs w:val="24"/>
          <w:lang w:val="en-US" w:eastAsia="zh-CN"/>
        </w:rPr>
        <w:t>具有有效的企业营业执照；</w:t>
      </w:r>
    </w:p>
    <w:p>
      <w:pPr>
        <w:widowControl/>
        <w:numPr>
          <w:ilvl w:val="0"/>
          <w:numId w:val="3"/>
        </w:numPr>
        <w:autoSpaceDE w:val="0"/>
        <w:autoSpaceDN w:val="0"/>
        <w:spacing w:line="240" w:lineRule="auto"/>
        <w:rPr>
          <w:rFonts w:hint="eastAsia" w:ascii="仿宋" w:hAnsi="仿宋" w:eastAsia="仿宋" w:cs="仿宋"/>
          <w:b w:val="0"/>
          <w:bCs/>
          <w:snapToGrid w:val="0"/>
          <w:kern w:val="21"/>
          <w:sz w:val="24"/>
          <w:szCs w:val="24"/>
          <w:lang w:val="en-US" w:eastAsia="zh-CN"/>
        </w:rPr>
      </w:pPr>
      <w:r>
        <w:rPr>
          <w:rFonts w:hint="eastAsia" w:ascii="仿宋" w:hAnsi="仿宋" w:eastAsia="仿宋" w:cs="仿宋"/>
          <w:b w:val="0"/>
          <w:bCs/>
          <w:snapToGrid w:val="0"/>
          <w:kern w:val="21"/>
          <w:sz w:val="24"/>
          <w:szCs w:val="24"/>
          <w:lang w:val="en-US" w:eastAsia="zh-CN"/>
        </w:rPr>
        <w:t>具有【特种设备安装维修许可证】。</w:t>
      </w:r>
    </w:p>
    <w:p>
      <w:pPr>
        <w:widowControl/>
        <w:numPr>
          <w:ilvl w:val="0"/>
          <w:numId w:val="3"/>
        </w:numPr>
        <w:autoSpaceDE w:val="0"/>
        <w:autoSpaceDN w:val="0"/>
        <w:spacing w:line="240" w:lineRule="auto"/>
        <w:rPr>
          <w:rFonts w:hint="eastAsia" w:ascii="仿宋" w:hAnsi="仿宋" w:eastAsia="仿宋" w:cs="仿宋"/>
          <w:b w:val="0"/>
          <w:bCs/>
          <w:snapToGrid w:val="0"/>
          <w:kern w:val="21"/>
          <w:sz w:val="24"/>
          <w:szCs w:val="24"/>
          <w:lang w:val="en-US" w:eastAsia="zh-CN"/>
        </w:rPr>
      </w:pPr>
      <w:r>
        <w:rPr>
          <w:rFonts w:hint="eastAsia" w:ascii="仿宋" w:hAnsi="仿宋" w:eastAsia="仿宋" w:cs="仿宋"/>
          <w:b w:val="0"/>
          <w:bCs/>
          <w:snapToGrid w:val="0"/>
          <w:kern w:val="21"/>
          <w:sz w:val="24"/>
          <w:szCs w:val="24"/>
          <w:lang w:val="en-US" w:eastAsia="zh-CN"/>
        </w:rPr>
        <w:t>3年内具有电梯维修维护业绩；</w:t>
      </w:r>
    </w:p>
    <w:p>
      <w:pPr>
        <w:widowControl/>
        <w:numPr>
          <w:ilvl w:val="0"/>
          <w:numId w:val="3"/>
        </w:numPr>
        <w:autoSpaceDE w:val="0"/>
        <w:autoSpaceDN w:val="0"/>
        <w:spacing w:line="240" w:lineRule="auto"/>
        <w:rPr>
          <w:rFonts w:hint="eastAsia" w:ascii="仿宋" w:hAnsi="仿宋" w:eastAsia="仿宋" w:cs="仿宋"/>
          <w:b w:val="0"/>
          <w:bCs/>
          <w:snapToGrid w:val="0"/>
          <w:kern w:val="21"/>
          <w:sz w:val="24"/>
          <w:szCs w:val="24"/>
          <w:lang w:val="en-US" w:eastAsia="zh-CN"/>
        </w:rPr>
      </w:pPr>
      <w:r>
        <w:rPr>
          <w:rFonts w:hint="eastAsia" w:ascii="仿宋" w:hAnsi="仿宋" w:eastAsia="仿宋" w:cs="仿宋"/>
          <w:b w:val="0"/>
          <w:bCs/>
          <w:snapToGrid w:val="0"/>
          <w:kern w:val="21"/>
          <w:sz w:val="24"/>
          <w:szCs w:val="24"/>
          <w:lang w:val="en-US" w:eastAsia="zh-CN"/>
        </w:rPr>
        <w:t>在近三年内（2022年01月-2025年01月）没有骗取中标和严重违约及重大工程质量问题；参加本采购活动前三年内，在经营活动中没有重大违法记录。</w:t>
      </w:r>
    </w:p>
    <w:p>
      <w:pPr>
        <w:widowControl/>
        <w:numPr>
          <w:ilvl w:val="0"/>
          <w:numId w:val="0"/>
        </w:numPr>
        <w:autoSpaceDE w:val="0"/>
        <w:autoSpaceDN w:val="0"/>
        <w:spacing w:line="240" w:lineRule="auto"/>
        <w:rPr>
          <w:rFonts w:hint="eastAsia" w:ascii="仿宋" w:hAnsi="仿宋" w:eastAsia="仿宋" w:cs="仿宋"/>
          <w:b/>
          <w:bCs w:val="0"/>
          <w:snapToGrid w:val="0"/>
          <w:kern w:val="21"/>
          <w:sz w:val="24"/>
          <w:szCs w:val="24"/>
          <w:lang w:val="en-US" w:eastAsia="zh-CN"/>
        </w:rPr>
      </w:pPr>
      <w:r>
        <w:rPr>
          <w:rFonts w:hint="eastAsia" w:ascii="仿宋" w:hAnsi="仿宋" w:eastAsia="仿宋" w:cs="仿宋"/>
          <w:b/>
          <w:bCs w:val="0"/>
          <w:snapToGrid w:val="0"/>
          <w:kern w:val="21"/>
          <w:sz w:val="24"/>
          <w:szCs w:val="24"/>
          <w:lang w:val="en-US" w:eastAsia="zh-CN"/>
        </w:rPr>
        <w:t>二、设备参数及维保内容</w:t>
      </w:r>
    </w:p>
    <w:p>
      <w:pPr>
        <w:widowControl/>
        <w:numPr>
          <w:ilvl w:val="0"/>
          <w:numId w:val="4"/>
        </w:numPr>
        <w:autoSpaceDE w:val="0"/>
        <w:autoSpaceDN w:val="0"/>
        <w:spacing w:line="240" w:lineRule="auto"/>
        <w:ind w:leftChars="0"/>
        <w:rPr>
          <w:rFonts w:hint="eastAsia" w:ascii="仿宋" w:hAnsi="仿宋" w:eastAsia="仿宋" w:cs="仿宋"/>
          <w:b w:val="0"/>
          <w:bCs/>
          <w:snapToGrid w:val="0"/>
          <w:kern w:val="21"/>
          <w:sz w:val="24"/>
          <w:szCs w:val="24"/>
          <w:lang w:val="en-US" w:eastAsia="zh-CN"/>
        </w:rPr>
      </w:pPr>
      <w:r>
        <w:rPr>
          <w:rFonts w:hint="eastAsia" w:ascii="仿宋" w:hAnsi="仿宋" w:eastAsia="仿宋" w:cs="仿宋"/>
          <w:b w:val="0"/>
          <w:bCs/>
          <w:snapToGrid w:val="0"/>
          <w:kern w:val="21"/>
          <w:sz w:val="24"/>
          <w:szCs w:val="24"/>
          <w:lang w:val="en-US" w:eastAsia="zh-CN"/>
        </w:rPr>
        <w:t>数量：共计电梯28台。</w:t>
      </w:r>
    </w:p>
    <w:p>
      <w:pPr>
        <w:widowControl/>
        <w:numPr>
          <w:ilvl w:val="0"/>
          <w:numId w:val="4"/>
        </w:numPr>
        <w:autoSpaceDE w:val="0"/>
        <w:autoSpaceDN w:val="0"/>
        <w:spacing w:line="240" w:lineRule="auto"/>
        <w:ind w:leftChars="0"/>
        <w:rPr>
          <w:rFonts w:hint="eastAsia" w:ascii="仿宋" w:hAnsi="仿宋" w:eastAsia="仿宋" w:cs="仿宋"/>
          <w:b w:val="0"/>
          <w:bCs/>
          <w:snapToGrid w:val="0"/>
          <w:kern w:val="21"/>
          <w:sz w:val="24"/>
          <w:szCs w:val="24"/>
          <w:lang w:val="en-US" w:eastAsia="zh-CN"/>
        </w:rPr>
      </w:pPr>
      <w:r>
        <w:rPr>
          <w:rFonts w:hint="eastAsia" w:ascii="仿宋" w:hAnsi="仿宋" w:eastAsia="仿宋" w:cs="仿宋"/>
          <w:b w:val="0"/>
          <w:bCs/>
          <w:snapToGrid w:val="0"/>
          <w:kern w:val="21"/>
          <w:sz w:val="24"/>
          <w:szCs w:val="24"/>
          <w:lang w:val="en-US" w:eastAsia="zh-CN"/>
        </w:rPr>
        <w:t>设备参数：</w:t>
      </w:r>
    </w:p>
    <w:tbl>
      <w:tblPr>
        <w:tblStyle w:val="4"/>
        <w:tblW w:w="95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504"/>
        <w:gridCol w:w="2270"/>
        <w:gridCol w:w="1744"/>
        <w:gridCol w:w="2112"/>
        <w:gridCol w:w="2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序号</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设备类型</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品牌（或制造厂）</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使用地点</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乘客电梯</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上海永大</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1号楼</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速度：2.0（m/s）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载重：1600kg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提升高度：63.38（m）层站数：15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乘客电梯</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上海永大</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1号楼</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速度：1.5（m/s）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载重：1800kg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提升高度：63.38（m）层站数：15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载货电梯</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上海永大</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1号楼</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速度：1.5（m/s）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载重：1800kg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提升高度：63.38（m）层站数：15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乘客电梯</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上海永大</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1号楼</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速度：1.5（m/s）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载重：1800kg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提升高度：63.38（m）层站数：15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乘客电梯</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上海永大</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1号楼</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速度：1.0（m/s）</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载重：1800kg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提升高度：20.1（m）</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层站数：5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乘客电梯</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上海永大</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1号楼</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速度：1.0（m/s）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载重：1800kg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提升高度：24.58（m）层站数：6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乘客电梯</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上海永大</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1号楼</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速度：1.0（m/s）</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载重：1000kg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提升高度：9.9（m）</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层站数：4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载货电梯</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上海永大</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1号楼</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速度：1.0（m/s）</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载重：1800kg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提升高度：14.7（m）</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层站数：4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杂物电梯</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捷特达</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1号楼</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速度：0.4（m/s）</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载重：100kg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提升高度：3.2（m）层站数：2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自动扶梯</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上海永大</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1号楼</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速度：0.5（m/s）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输送能力：6000（p/h） 提升高度：5.1（m）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乘客电梯</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上海永大</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1号楼</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速度：1.0（m/s）</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载重：1150kg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提升高度：14.1（m）</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层站数：4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乘客电梯</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上海永大</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1号楼</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速度：1.5（m/s）</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载重：1000kg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提升高度：51.85（m）层站数：13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乘客电梯</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上海三菱</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发热门诊</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速度：1.0（m/s）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载重：1600kg</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层站：3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kern w:val="2"/>
                <w:sz w:val="24"/>
                <w:szCs w:val="24"/>
                <w:u w:val="none"/>
                <w:lang w:val="en-US" w:eastAsia="zh-CN" w:bidi="ar-SA"/>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乘客电梯</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杭州西奥</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西北侧临建</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速度：1.0（m/s）</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载重：1000kg </w:t>
            </w:r>
          </w:p>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层站：2</w:t>
            </w:r>
          </w:p>
        </w:tc>
      </w:tr>
    </w:tbl>
    <w:p>
      <w:pPr>
        <w:widowControl/>
        <w:numPr>
          <w:ilvl w:val="0"/>
          <w:numId w:val="0"/>
        </w:numPr>
        <w:autoSpaceDE w:val="0"/>
        <w:autoSpaceDN w:val="0"/>
        <w:spacing w:line="240" w:lineRule="auto"/>
        <w:rPr>
          <w:rFonts w:hint="eastAsia" w:ascii="仿宋" w:hAnsi="仿宋" w:eastAsia="仿宋" w:cs="仿宋"/>
          <w:b/>
          <w:snapToGrid w:val="0"/>
          <w:kern w:val="21"/>
          <w:sz w:val="28"/>
          <w:szCs w:val="28"/>
          <w:lang w:val="en-US" w:eastAsia="zh-CN"/>
        </w:rPr>
      </w:pPr>
    </w:p>
    <w:p>
      <w:pPr>
        <w:widowControl/>
        <w:numPr>
          <w:ilvl w:val="0"/>
          <w:numId w:val="0"/>
        </w:numPr>
        <w:autoSpaceDE w:val="0"/>
        <w:autoSpaceDN w:val="0"/>
        <w:spacing w:line="240" w:lineRule="auto"/>
        <w:rPr>
          <w:rFonts w:hint="default" w:ascii="仿宋" w:hAnsi="仿宋" w:eastAsia="仿宋" w:cs="仿宋"/>
          <w:b w:val="0"/>
          <w:bCs w:val="0"/>
          <w:color w:val="000000"/>
          <w:sz w:val="24"/>
          <w:szCs w:val="24"/>
          <w:lang w:val="en-US" w:eastAsia="zh-CN"/>
        </w:rPr>
      </w:pPr>
      <w:r>
        <w:rPr>
          <w:rFonts w:hint="eastAsia" w:ascii="仿宋" w:hAnsi="仿宋" w:eastAsia="仿宋" w:cs="仿宋"/>
          <w:b/>
          <w:snapToGrid w:val="0"/>
          <w:kern w:val="21"/>
          <w:sz w:val="24"/>
          <w:szCs w:val="24"/>
          <w:lang w:val="en-US" w:eastAsia="zh-CN"/>
        </w:rPr>
        <w:t>3、*维保内容(14项）</w:t>
      </w:r>
    </w:p>
    <w:tbl>
      <w:tblPr>
        <w:tblStyle w:val="4"/>
        <w:tblW w:w="8336" w:type="dxa"/>
        <w:tblInd w:w="0" w:type="dxa"/>
        <w:tblLayout w:type="fixed"/>
        <w:tblCellMar>
          <w:top w:w="0" w:type="dxa"/>
          <w:left w:w="0" w:type="dxa"/>
          <w:bottom w:w="0" w:type="dxa"/>
          <w:right w:w="0" w:type="dxa"/>
        </w:tblCellMar>
      </w:tblPr>
      <w:tblGrid>
        <w:gridCol w:w="572"/>
        <w:gridCol w:w="1019"/>
        <w:gridCol w:w="5173"/>
        <w:gridCol w:w="825"/>
        <w:gridCol w:w="747"/>
      </w:tblGrid>
      <w:tr>
        <w:tblPrEx>
          <w:tblCellMar>
            <w:top w:w="0" w:type="dxa"/>
            <w:left w:w="0" w:type="dxa"/>
            <w:bottom w:w="0" w:type="dxa"/>
            <w:right w:w="0" w:type="dxa"/>
          </w:tblCellMar>
        </w:tblPrEx>
        <w:trPr>
          <w:trHeight w:val="568" w:hRule="atLeast"/>
          <w:tblHeader/>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维保设备名称</w:t>
            </w: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维保内容</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单位</w:t>
            </w:r>
          </w:p>
        </w:tc>
      </w:tr>
      <w:tr>
        <w:tblPrEx>
          <w:tblCellMar>
            <w:top w:w="0" w:type="dxa"/>
            <w:left w:w="0" w:type="dxa"/>
            <w:bottom w:w="0" w:type="dxa"/>
            <w:right w:w="0" w:type="dxa"/>
          </w:tblCellMar>
        </w:tblPrEx>
        <w:trPr>
          <w:trHeight w:val="1093"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乘客电梯</w:t>
            </w:r>
            <w:r>
              <w:rPr>
                <w:rFonts w:hint="eastAsia" w:ascii="仿宋" w:hAnsi="仿宋" w:eastAsia="仿宋" w:cs="仿宋"/>
                <w:color w:val="000000"/>
                <w:kern w:val="0"/>
                <w:sz w:val="22"/>
                <w:szCs w:val="22"/>
                <w:lang w:val="en-US" w:eastAsia="zh-CN" w:bidi="ar"/>
              </w:rPr>
              <w:t>25</w:t>
            </w:r>
            <w:r>
              <w:rPr>
                <w:rFonts w:hint="eastAsia" w:ascii="仿宋" w:hAnsi="仿宋" w:eastAsia="仿宋" w:cs="仿宋"/>
                <w:color w:val="000000" w:themeColor="text1"/>
                <w:kern w:val="0"/>
                <w:sz w:val="22"/>
                <w:szCs w:val="22"/>
                <w:lang w:bidi="ar"/>
                <w14:textFill>
                  <w14:solidFill>
                    <w14:schemeClr w14:val="tx1"/>
                  </w14:solidFill>
                </w14:textFill>
              </w:rPr>
              <w:t>部</w:t>
            </w:r>
            <w:r>
              <w:rPr>
                <w:rFonts w:hint="eastAsia" w:ascii="仿宋" w:hAnsi="仿宋" w:eastAsia="仿宋" w:cs="仿宋"/>
                <w:color w:val="000000"/>
                <w:kern w:val="0"/>
                <w:sz w:val="22"/>
                <w:szCs w:val="22"/>
                <w:lang w:bidi="ar"/>
              </w:rPr>
              <w:t>日常设备维修保养及应急紧急故障维修（24小时驻场应急修理）</w:t>
            </w: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ind w:firstLine="540"/>
              <w:rPr>
                <w:rFonts w:hint="eastAsia" w:ascii="仿宋" w:hAnsi="仿宋" w:eastAsia="仿宋" w:cs="仿宋"/>
                <w:color w:val="000000"/>
                <w:sz w:val="22"/>
                <w:szCs w:val="22"/>
              </w:rPr>
            </w:pPr>
            <w:r>
              <w:rPr>
                <w:rFonts w:hint="eastAsia" w:ascii="仿宋" w:hAnsi="仿宋" w:eastAsia="仿宋" w:cs="仿宋"/>
                <w:color w:val="000000"/>
                <w:sz w:val="22"/>
                <w:szCs w:val="22"/>
              </w:rPr>
              <w:t>半月保养：</w:t>
            </w:r>
          </w:p>
          <w:p>
            <w:pPr>
              <w:spacing w:line="240" w:lineRule="auto"/>
              <w:rPr>
                <w:rFonts w:hint="eastAsia" w:ascii="仿宋" w:hAnsi="仿宋" w:eastAsia="仿宋" w:cs="仿宋"/>
                <w:sz w:val="22"/>
                <w:szCs w:val="22"/>
              </w:rPr>
            </w:pPr>
            <w:r>
              <w:rPr>
                <w:rFonts w:hint="eastAsia" w:ascii="仿宋" w:hAnsi="仿宋" w:eastAsia="仿宋" w:cs="仿宋"/>
                <w:color w:val="000000"/>
                <w:sz w:val="22"/>
                <w:szCs w:val="22"/>
              </w:rPr>
              <w:t>1、清洁</w:t>
            </w:r>
            <w:r>
              <w:rPr>
                <w:rFonts w:hint="eastAsia" w:ascii="仿宋" w:hAnsi="仿宋" w:eastAsia="仿宋" w:cs="仿宋"/>
                <w:sz w:val="22"/>
                <w:szCs w:val="22"/>
              </w:rPr>
              <w:t>机房、滑轮间，检查门窗完好，照明正常，测量温度合适应在（5～40℃）</w:t>
            </w:r>
          </w:p>
          <w:p>
            <w:pPr>
              <w:spacing w:line="240" w:lineRule="auto"/>
              <w:rPr>
                <w:rFonts w:hint="eastAsia" w:ascii="仿宋" w:hAnsi="仿宋" w:eastAsia="仿宋" w:cs="仿宋"/>
                <w:sz w:val="22"/>
                <w:szCs w:val="22"/>
              </w:rPr>
            </w:pPr>
            <w:r>
              <w:rPr>
                <w:rFonts w:hint="eastAsia" w:ascii="仿宋" w:hAnsi="仿宋" w:eastAsia="仿宋" w:cs="仿宋"/>
                <w:sz w:val="22"/>
                <w:szCs w:val="22"/>
              </w:rPr>
              <w:t>2、手动紧急操作装置齐全，安放在制定位置。</w:t>
            </w:r>
          </w:p>
          <w:p>
            <w:pPr>
              <w:spacing w:line="240" w:lineRule="auto"/>
              <w:rPr>
                <w:rFonts w:hint="eastAsia" w:ascii="仿宋" w:hAnsi="仿宋" w:eastAsia="仿宋" w:cs="仿宋"/>
                <w:sz w:val="22"/>
                <w:szCs w:val="22"/>
              </w:rPr>
            </w:pPr>
            <w:r>
              <w:rPr>
                <w:rFonts w:hint="eastAsia" w:ascii="仿宋" w:hAnsi="仿宋" w:eastAsia="仿宋" w:cs="仿宋"/>
                <w:sz w:val="22"/>
                <w:szCs w:val="22"/>
              </w:rPr>
              <w:t>3、检查、倾听驱动主机运行时不得有杂音，冲击和振动</w:t>
            </w:r>
          </w:p>
          <w:p>
            <w:pPr>
              <w:spacing w:line="240" w:lineRule="auto"/>
              <w:rPr>
                <w:rFonts w:hint="eastAsia" w:ascii="仿宋" w:hAnsi="仿宋" w:eastAsia="仿宋" w:cs="仿宋"/>
                <w:sz w:val="22"/>
                <w:szCs w:val="22"/>
              </w:rPr>
            </w:pPr>
            <w:r>
              <w:rPr>
                <w:rFonts w:hint="eastAsia" w:ascii="仿宋" w:hAnsi="仿宋" w:eastAsia="仿宋" w:cs="仿宋"/>
                <w:sz w:val="22"/>
                <w:szCs w:val="22"/>
              </w:rPr>
              <w:t>4、检查编码器清洁安装牢固，紧固</w:t>
            </w:r>
          </w:p>
          <w:p>
            <w:pPr>
              <w:spacing w:line="240" w:lineRule="auto"/>
              <w:rPr>
                <w:rFonts w:hint="eastAsia" w:ascii="仿宋" w:hAnsi="仿宋" w:eastAsia="仿宋" w:cs="仿宋"/>
                <w:sz w:val="22"/>
                <w:szCs w:val="22"/>
              </w:rPr>
            </w:pPr>
            <w:r>
              <w:rPr>
                <w:rFonts w:hint="eastAsia" w:ascii="仿宋" w:hAnsi="仿宋" w:eastAsia="仿宋" w:cs="仿宋"/>
                <w:sz w:val="22"/>
                <w:szCs w:val="22"/>
              </w:rPr>
              <w:t>5、检查限速器各销轴部位转动灵活、润滑轴销。</w:t>
            </w:r>
          </w:p>
          <w:p>
            <w:pPr>
              <w:spacing w:line="240" w:lineRule="auto"/>
              <w:rPr>
                <w:rFonts w:hint="eastAsia" w:ascii="仿宋" w:hAnsi="仿宋" w:eastAsia="仿宋" w:cs="仿宋"/>
                <w:sz w:val="22"/>
                <w:szCs w:val="22"/>
              </w:rPr>
            </w:pPr>
            <w:r>
              <w:rPr>
                <w:rFonts w:hint="eastAsia" w:ascii="仿宋" w:hAnsi="仿宋" w:eastAsia="仿宋" w:cs="仿宋"/>
                <w:sz w:val="22"/>
                <w:szCs w:val="22"/>
              </w:rPr>
              <w:t>6、检查制动器动作应可靠，确保弹簧力能有效制停。</w:t>
            </w:r>
          </w:p>
          <w:p>
            <w:pPr>
              <w:spacing w:line="240" w:lineRule="auto"/>
              <w:rPr>
                <w:rFonts w:hint="eastAsia" w:ascii="仿宋" w:hAnsi="仿宋" w:eastAsia="仿宋" w:cs="仿宋"/>
                <w:sz w:val="22"/>
                <w:szCs w:val="22"/>
              </w:rPr>
            </w:pPr>
            <w:r>
              <w:rPr>
                <w:rFonts w:hint="eastAsia" w:ascii="仿宋" w:hAnsi="仿宋" w:eastAsia="仿宋" w:cs="仿宋"/>
                <w:sz w:val="22"/>
                <w:szCs w:val="22"/>
              </w:rPr>
              <w:t>7、制动器各销轴部位应润滑，旋转轴销确保动作灵活</w:t>
            </w:r>
          </w:p>
          <w:p>
            <w:pPr>
              <w:spacing w:line="240" w:lineRule="auto"/>
              <w:rPr>
                <w:rFonts w:hint="eastAsia" w:ascii="仿宋" w:hAnsi="仿宋" w:eastAsia="仿宋" w:cs="仿宋"/>
                <w:sz w:val="22"/>
                <w:szCs w:val="22"/>
              </w:rPr>
            </w:pPr>
            <w:r>
              <w:rPr>
                <w:rFonts w:hint="eastAsia" w:ascii="仿宋" w:hAnsi="仿宋" w:eastAsia="仿宋" w:cs="仿宋"/>
                <w:sz w:val="22"/>
                <w:szCs w:val="22"/>
              </w:rPr>
              <w:t>8、制动衬清洁，不能粘油污，磨损严重就更换</w:t>
            </w:r>
          </w:p>
          <w:p>
            <w:pPr>
              <w:spacing w:line="240" w:lineRule="auto"/>
              <w:rPr>
                <w:rFonts w:hint="eastAsia" w:ascii="仿宋" w:hAnsi="仿宋" w:eastAsia="仿宋" w:cs="仿宋"/>
                <w:sz w:val="22"/>
                <w:szCs w:val="22"/>
              </w:rPr>
            </w:pPr>
            <w:r>
              <w:rPr>
                <w:rFonts w:hint="eastAsia" w:ascii="仿宋" w:hAnsi="仿宋" w:eastAsia="仿宋" w:cs="仿宋"/>
                <w:sz w:val="22"/>
                <w:szCs w:val="22"/>
              </w:rPr>
              <w:t>9、制动器打开时，闸瓦与制动轮不应发生摩擦，保证间隙不大于0.7mm</w:t>
            </w:r>
          </w:p>
          <w:p>
            <w:pPr>
              <w:spacing w:line="240" w:lineRule="auto"/>
              <w:rPr>
                <w:rFonts w:hint="eastAsia" w:ascii="仿宋" w:hAnsi="仿宋" w:eastAsia="仿宋" w:cs="仿宋"/>
                <w:sz w:val="22"/>
                <w:szCs w:val="22"/>
              </w:rPr>
            </w:pPr>
            <w:r>
              <w:rPr>
                <w:rFonts w:hint="eastAsia" w:ascii="仿宋" w:hAnsi="仿宋" w:eastAsia="仿宋" w:cs="仿宋"/>
                <w:sz w:val="22"/>
                <w:szCs w:val="22"/>
              </w:rPr>
              <w:t>10、检查控制柜内各元器件应整洁，各仪表指示（显示）正确，紧固接线端子、插件无松动。</w:t>
            </w:r>
          </w:p>
          <w:p>
            <w:pPr>
              <w:spacing w:line="240" w:lineRule="auto"/>
              <w:rPr>
                <w:rFonts w:hint="eastAsia" w:ascii="仿宋" w:hAnsi="仿宋" w:eastAsia="仿宋" w:cs="仿宋"/>
                <w:sz w:val="22"/>
                <w:szCs w:val="22"/>
              </w:rPr>
            </w:pPr>
            <w:r>
              <w:rPr>
                <w:rFonts w:hint="eastAsia" w:ascii="仿宋" w:hAnsi="仿宋" w:eastAsia="仿宋" w:cs="仿宋"/>
                <w:sz w:val="22"/>
                <w:szCs w:val="22"/>
              </w:rPr>
              <w:t>11、试验紧急电动运行工作正常</w:t>
            </w:r>
          </w:p>
          <w:p>
            <w:pPr>
              <w:spacing w:line="240" w:lineRule="auto"/>
              <w:rPr>
                <w:rFonts w:hint="eastAsia" w:ascii="仿宋" w:hAnsi="仿宋" w:eastAsia="仿宋" w:cs="仿宋"/>
                <w:sz w:val="22"/>
                <w:szCs w:val="22"/>
              </w:rPr>
            </w:pPr>
            <w:r>
              <w:rPr>
                <w:rFonts w:hint="eastAsia" w:ascii="仿宋" w:hAnsi="仿宋" w:eastAsia="仿宋" w:cs="仿宋"/>
                <w:sz w:val="22"/>
                <w:szCs w:val="22"/>
              </w:rPr>
              <w:t>12、检查层门和轿门工作正常</w:t>
            </w:r>
          </w:p>
          <w:p>
            <w:pPr>
              <w:spacing w:line="240" w:lineRule="auto"/>
              <w:rPr>
                <w:rFonts w:hint="eastAsia" w:ascii="仿宋" w:hAnsi="仿宋" w:eastAsia="仿宋" w:cs="仿宋"/>
                <w:sz w:val="22"/>
                <w:szCs w:val="22"/>
              </w:rPr>
            </w:pPr>
            <w:r>
              <w:rPr>
                <w:rFonts w:hint="eastAsia" w:ascii="仿宋" w:hAnsi="仿宋" w:eastAsia="仿宋" w:cs="仿宋"/>
                <w:sz w:val="22"/>
                <w:szCs w:val="22"/>
              </w:rPr>
              <w:t>13、检查轿厢照明，风扇，应急照明应能正常工作、如损坏立刻更换。</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14、试验轿内报警装置、对讲系统工作正常，如不正常立刻解决，保证装置可靠。</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15、检查、验证轿厢内按钮、开关应齐全有效，显示正确，IC卡系统完整有效</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16逐层检查平层精度应达到标准要求，清洁地坎无杂物</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17、轿门运行开启和关闭工作正常无异响，发现异常，立刻检查原因</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18、清洁轿门门锁触点，保持接触良好，接线可靠</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19、检测轿门防撞击保护装置（安全触板、光幕、光电等）功能有效</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20、验证层门自闭功能正常，用厅门钥匙开锁释放后能自动复位</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21、检查验证层站召唤、楼层显示齐全、有效</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22、检查验证轿顶及轿厢检修开关、停止装置工作正常</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23、清洁轿顶，紧固防护栏确保安全可靠</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24、清洁层门门锁触点，验证接触良好，接线可靠</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25、调整层门锁紧元件啮合长度不小于7mm</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26、检查对重/平衡重块无松动，紧固压板</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27、导靴油杯吸油毛毡齐全，油量适宜，保证油质，油杯无泄漏，验证可靠润滑轨道</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28、清洁底坑，无渗水、无积水、井道及底坑照明应齐全、正常</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29、验证底坑急停装置，附加操作装置工作正常。</w:t>
            </w:r>
          </w:p>
        </w:tc>
        <w:tc>
          <w:tcPr>
            <w:tcW w:w="8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themeColor="text1"/>
                <w:sz w:val="22"/>
                <w:szCs w:val="22"/>
                <w:lang w:val="en-US" w:eastAsia="zh-CN"/>
                <w14:textFill>
                  <w14:solidFill>
                    <w14:schemeClr w14:val="tx1"/>
                  </w14:solidFill>
                </w14:textFill>
              </w:rPr>
              <w:t>25</w:t>
            </w:r>
          </w:p>
        </w:tc>
        <w:tc>
          <w:tcPr>
            <w:tcW w:w="7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月保养含半月保养内容外还包括：</w:t>
            </w:r>
          </w:p>
          <w:p>
            <w:pPr>
              <w:numPr>
                <w:ilvl w:val="0"/>
                <w:numId w:val="5"/>
              </w:numPr>
              <w:spacing w:line="240" w:lineRule="auto"/>
              <w:jc w:val="left"/>
              <w:rPr>
                <w:rFonts w:hint="eastAsia" w:ascii="仿宋" w:hAnsi="仿宋" w:eastAsia="仿宋" w:cs="仿宋"/>
                <w:sz w:val="22"/>
                <w:szCs w:val="22"/>
              </w:rPr>
            </w:pPr>
            <w:r>
              <w:rPr>
                <w:rFonts w:hint="eastAsia" w:ascii="仿宋" w:hAnsi="仿宋" w:eastAsia="仿宋" w:cs="仿宋"/>
                <w:color w:val="000000"/>
                <w:sz w:val="22"/>
                <w:szCs w:val="22"/>
              </w:rPr>
              <w:t>检查验证</w:t>
            </w:r>
            <w:r>
              <w:rPr>
                <w:rFonts w:hint="eastAsia" w:ascii="仿宋" w:hAnsi="仿宋" w:eastAsia="仿宋" w:cs="仿宋"/>
                <w:sz w:val="22"/>
                <w:szCs w:val="22"/>
              </w:rPr>
              <w:t>轿厢内按钮应齐全有效</w:t>
            </w:r>
          </w:p>
          <w:p>
            <w:pPr>
              <w:numPr>
                <w:ilvl w:val="0"/>
                <w:numId w:val="5"/>
              </w:numPr>
              <w:spacing w:line="240" w:lineRule="auto"/>
              <w:jc w:val="left"/>
              <w:rPr>
                <w:rFonts w:hint="eastAsia" w:ascii="仿宋" w:hAnsi="仿宋" w:eastAsia="仿宋" w:cs="仿宋"/>
                <w:sz w:val="22"/>
                <w:szCs w:val="22"/>
              </w:rPr>
            </w:pPr>
            <w:r>
              <w:rPr>
                <w:rFonts w:hint="eastAsia" w:ascii="仿宋" w:hAnsi="仿宋" w:eastAsia="仿宋" w:cs="仿宋"/>
                <w:color w:val="000000"/>
                <w:sz w:val="22"/>
                <w:szCs w:val="22"/>
              </w:rPr>
              <w:t>检查验证</w:t>
            </w:r>
            <w:r>
              <w:rPr>
                <w:rFonts w:hint="eastAsia" w:ascii="仿宋" w:hAnsi="仿宋" w:eastAsia="仿宋" w:cs="仿宋"/>
                <w:sz w:val="22"/>
                <w:szCs w:val="22"/>
              </w:rPr>
              <w:t>轿厢检修开关、停止装置工作正常</w:t>
            </w:r>
          </w:p>
          <w:p>
            <w:pPr>
              <w:numPr>
                <w:ilvl w:val="0"/>
                <w:numId w:val="5"/>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检查轿厢内显示应正确</w:t>
            </w:r>
          </w:p>
          <w:p>
            <w:pPr>
              <w:numPr>
                <w:ilvl w:val="0"/>
                <w:numId w:val="5"/>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检查验证侯梯厅按钮应齐全有效</w:t>
            </w:r>
          </w:p>
          <w:p>
            <w:pPr>
              <w:numPr>
                <w:ilvl w:val="0"/>
                <w:numId w:val="5"/>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检查侯梯厅显示应齐全有效</w:t>
            </w:r>
          </w:p>
          <w:p>
            <w:pPr>
              <w:numPr>
                <w:ilvl w:val="0"/>
                <w:numId w:val="5"/>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层、轿门润滑调整</w:t>
            </w:r>
          </w:p>
          <w:p>
            <w:pPr>
              <w:numPr>
                <w:ilvl w:val="0"/>
                <w:numId w:val="5"/>
              </w:numPr>
              <w:spacing w:line="240" w:lineRule="auto"/>
              <w:jc w:val="left"/>
              <w:rPr>
                <w:rFonts w:hint="eastAsia" w:ascii="仿宋" w:hAnsi="仿宋" w:eastAsia="仿宋" w:cs="仿宋"/>
                <w:sz w:val="22"/>
                <w:szCs w:val="22"/>
              </w:rPr>
            </w:pPr>
            <w:r>
              <w:rPr>
                <w:rFonts w:hint="eastAsia" w:ascii="仿宋" w:hAnsi="仿宋" w:eastAsia="仿宋" w:cs="仿宋"/>
                <w:sz w:val="22"/>
                <w:szCs w:val="22"/>
              </w:rPr>
              <w:t>紧固层、轿门固定部位，保证工作间隙</w:t>
            </w:r>
          </w:p>
          <w:p>
            <w:pPr>
              <w:numPr>
                <w:ilvl w:val="0"/>
                <w:numId w:val="5"/>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检查轿门开关门终端位置开关工作正常，验证轿门关闭的电气安全装置工作正常</w:t>
            </w:r>
          </w:p>
          <w:p>
            <w:pPr>
              <w:numPr>
                <w:ilvl w:val="0"/>
                <w:numId w:val="5"/>
              </w:numPr>
              <w:spacing w:line="240" w:lineRule="auto"/>
              <w:jc w:val="left"/>
              <w:rPr>
                <w:rFonts w:hint="eastAsia" w:ascii="仿宋" w:hAnsi="仿宋" w:eastAsia="仿宋" w:cs="仿宋"/>
                <w:sz w:val="22"/>
                <w:szCs w:val="22"/>
              </w:rPr>
            </w:pPr>
            <w:r>
              <w:rPr>
                <w:rFonts w:hint="eastAsia" w:ascii="仿宋" w:hAnsi="仿宋" w:eastAsia="仿宋" w:cs="仿宋"/>
                <w:sz w:val="22"/>
                <w:szCs w:val="22"/>
              </w:rPr>
              <w:t>严查验证安全钳传动机构应灵活</w:t>
            </w:r>
          </w:p>
          <w:p>
            <w:pPr>
              <w:numPr>
                <w:ilvl w:val="0"/>
                <w:numId w:val="5"/>
              </w:numPr>
              <w:spacing w:line="240" w:lineRule="auto"/>
              <w:jc w:val="left"/>
              <w:rPr>
                <w:rFonts w:hint="eastAsia" w:ascii="仿宋" w:hAnsi="仿宋" w:eastAsia="仿宋" w:cs="仿宋"/>
                <w:sz w:val="22"/>
                <w:szCs w:val="22"/>
              </w:rPr>
            </w:pPr>
            <w:r>
              <w:rPr>
                <w:rFonts w:hint="eastAsia" w:ascii="仿宋" w:hAnsi="仿宋" w:eastAsia="仿宋" w:cs="仿宋"/>
                <w:sz w:val="22"/>
                <w:szCs w:val="22"/>
              </w:rPr>
              <w:t>紧固安全钳座无松动</w:t>
            </w:r>
          </w:p>
          <w:p>
            <w:pPr>
              <w:numPr>
                <w:ilvl w:val="0"/>
                <w:numId w:val="5"/>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检查验证安全钳楔块与导轨间隙均匀，动作一致</w:t>
            </w:r>
          </w:p>
          <w:p>
            <w:pPr>
              <w:numPr>
                <w:ilvl w:val="0"/>
                <w:numId w:val="5"/>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检查缓冲器固定无松动</w:t>
            </w:r>
          </w:p>
          <w:p>
            <w:pPr>
              <w:numPr>
                <w:ilvl w:val="0"/>
                <w:numId w:val="5"/>
              </w:numPr>
              <w:spacing w:line="240" w:lineRule="auto"/>
              <w:jc w:val="left"/>
              <w:rPr>
                <w:rFonts w:hint="eastAsia" w:ascii="仿宋" w:hAnsi="仿宋" w:eastAsia="仿宋" w:cs="仿宋"/>
                <w:sz w:val="22"/>
                <w:szCs w:val="22"/>
              </w:rPr>
            </w:pPr>
            <w:r>
              <w:rPr>
                <w:rFonts w:hint="eastAsia" w:ascii="仿宋" w:hAnsi="仿宋" w:eastAsia="仿宋" w:cs="仿宋"/>
                <w:sz w:val="22"/>
                <w:szCs w:val="22"/>
              </w:rPr>
              <w:t>耗能缓冲器内油量适宜，清洁柱塞无锈蚀</w:t>
            </w:r>
          </w:p>
          <w:p>
            <w:pPr>
              <w:numPr>
                <w:ilvl w:val="0"/>
                <w:numId w:val="5"/>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检查验证轿厢称重装置有效、准确</w:t>
            </w:r>
          </w:p>
        </w:tc>
        <w:tc>
          <w:tcPr>
            <w:tcW w:w="8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p>
          <w:p>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25</w:t>
            </w:r>
          </w:p>
        </w:tc>
        <w:tc>
          <w:tcPr>
            <w:tcW w:w="7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3</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季度保养含月保养外还包含：</w:t>
            </w:r>
          </w:p>
          <w:p>
            <w:pPr>
              <w:numPr>
                <w:ilvl w:val="0"/>
                <w:numId w:val="6"/>
              </w:numPr>
              <w:spacing w:line="240" w:lineRule="auto"/>
              <w:jc w:val="left"/>
              <w:rPr>
                <w:rFonts w:hint="eastAsia" w:ascii="仿宋" w:hAnsi="仿宋" w:eastAsia="仿宋" w:cs="仿宋"/>
                <w:sz w:val="22"/>
                <w:szCs w:val="22"/>
              </w:rPr>
            </w:pPr>
            <w:r>
              <w:rPr>
                <w:rFonts w:hint="eastAsia" w:ascii="仿宋" w:hAnsi="仿宋" w:eastAsia="仿宋" w:cs="仿宋"/>
                <w:color w:val="000000"/>
                <w:sz w:val="22"/>
                <w:szCs w:val="22"/>
              </w:rPr>
              <w:t>紧固</w:t>
            </w:r>
            <w:r>
              <w:rPr>
                <w:rFonts w:hint="eastAsia" w:ascii="仿宋" w:hAnsi="仿宋" w:eastAsia="仿宋" w:cs="仿宋"/>
                <w:sz w:val="22"/>
                <w:szCs w:val="22"/>
              </w:rPr>
              <w:t>电动机与曳引机联轴器螺栓，检查弹性元件外观良好，无老化现象</w:t>
            </w:r>
          </w:p>
          <w:p>
            <w:pPr>
              <w:numPr>
                <w:ilvl w:val="0"/>
                <w:numId w:val="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检查减速箱内油量适宜，除蜗杆伸出端外均无渗漏，测量箱体内油温不应高于85℃</w:t>
            </w:r>
          </w:p>
          <w:p>
            <w:pPr>
              <w:numPr>
                <w:ilvl w:val="0"/>
                <w:numId w:val="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清洁限速器轮槽、限速绳无油腻</w:t>
            </w:r>
          </w:p>
          <w:p>
            <w:pPr>
              <w:numPr>
                <w:ilvl w:val="0"/>
                <w:numId w:val="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检查限速器夹绳钳口无磨损，保持有足够夹持力</w:t>
            </w:r>
          </w:p>
          <w:p>
            <w:pPr>
              <w:numPr>
                <w:ilvl w:val="0"/>
                <w:numId w:val="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检查曳引轮槽、清洁悬挂装置，曳引绳无严重油腻，张力均匀。测量涨力差不大于5%</w:t>
            </w:r>
          </w:p>
          <w:p>
            <w:pPr>
              <w:numPr>
                <w:ilvl w:val="0"/>
                <w:numId w:val="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验证厅外消防开关正常，功能有效</w:t>
            </w:r>
          </w:p>
          <w:p>
            <w:pPr>
              <w:numPr>
                <w:ilvl w:val="0"/>
                <w:numId w:val="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层、轿门门头、地坎无松动、变形，更换严重磨损层门导靴</w:t>
            </w:r>
          </w:p>
          <w:p>
            <w:pPr>
              <w:numPr>
                <w:ilvl w:val="0"/>
                <w:numId w:val="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调整、润滑层、轿门，传动钢丝绳、链条、传动带</w:t>
            </w:r>
          </w:p>
          <w:p>
            <w:pPr>
              <w:numPr>
                <w:ilvl w:val="0"/>
                <w:numId w:val="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靴衬、滚轮清洁无变形、脱落，更换磨损严重靴衬。</w:t>
            </w:r>
          </w:p>
          <w:p>
            <w:pPr>
              <w:numPr>
                <w:ilvl w:val="0"/>
                <w:numId w:val="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紧固曳引绳绳头组合螺母</w:t>
            </w:r>
          </w:p>
          <w:p>
            <w:pPr>
              <w:numPr>
                <w:ilvl w:val="0"/>
                <w:numId w:val="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检查紧固补偿链（绳）与轿厢、对重连接</w:t>
            </w:r>
          </w:p>
          <w:p>
            <w:pPr>
              <w:numPr>
                <w:ilvl w:val="0"/>
                <w:numId w:val="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检查验证上下极限开关、限位开关、强迫换速开关工作正常有效</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p>
          <w:p>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25</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台</w:t>
            </w:r>
          </w:p>
        </w:tc>
      </w:tr>
      <w:tr>
        <w:tblPrEx>
          <w:tblCellMar>
            <w:top w:w="0" w:type="dxa"/>
            <w:left w:w="0" w:type="dxa"/>
            <w:bottom w:w="0" w:type="dxa"/>
            <w:right w:w="0" w:type="dxa"/>
          </w:tblCellMar>
        </w:tblPrEx>
        <w:trPr>
          <w:trHeight w:val="621"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4</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半年保养含季度保养内容还包括：</w:t>
            </w:r>
          </w:p>
          <w:p>
            <w:pPr>
              <w:numPr>
                <w:ilvl w:val="0"/>
                <w:numId w:val="7"/>
              </w:numPr>
              <w:spacing w:line="240" w:lineRule="auto"/>
              <w:jc w:val="left"/>
              <w:rPr>
                <w:rFonts w:hint="eastAsia" w:ascii="仿宋" w:hAnsi="仿宋" w:eastAsia="仿宋" w:cs="仿宋"/>
                <w:sz w:val="22"/>
                <w:szCs w:val="22"/>
              </w:rPr>
            </w:pPr>
            <w:r>
              <w:rPr>
                <w:rFonts w:hint="eastAsia" w:ascii="仿宋" w:hAnsi="仿宋" w:eastAsia="仿宋" w:cs="仿宋"/>
                <w:sz w:val="22"/>
                <w:szCs w:val="22"/>
              </w:rPr>
              <w:t>上行超速保护装置的接触器触点应清洁，无烧蚀</w:t>
            </w:r>
          </w:p>
          <w:p>
            <w:pPr>
              <w:numPr>
                <w:ilvl w:val="0"/>
                <w:numId w:val="7"/>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检查曳引绳磨损、断丝未超标</w:t>
            </w:r>
          </w:p>
          <w:p>
            <w:pPr>
              <w:numPr>
                <w:ilvl w:val="0"/>
                <w:numId w:val="7"/>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检查限速器绳磨损未超标，无断丝</w:t>
            </w:r>
          </w:p>
          <w:p>
            <w:pPr>
              <w:numPr>
                <w:ilvl w:val="0"/>
                <w:numId w:val="7"/>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检查补偿绳磨损、断丝未超标</w:t>
            </w:r>
          </w:p>
          <w:p>
            <w:pPr>
              <w:numPr>
                <w:ilvl w:val="0"/>
                <w:numId w:val="7"/>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检查轿厢和对重/平衡重的导轨支架固定无松动</w:t>
            </w:r>
          </w:p>
          <w:p>
            <w:pPr>
              <w:numPr>
                <w:ilvl w:val="0"/>
                <w:numId w:val="7"/>
              </w:numPr>
              <w:spacing w:line="240" w:lineRule="auto"/>
              <w:jc w:val="left"/>
              <w:rPr>
                <w:rFonts w:hint="eastAsia" w:ascii="仿宋" w:hAnsi="仿宋" w:eastAsia="仿宋" w:cs="仿宋"/>
                <w:sz w:val="22"/>
                <w:szCs w:val="22"/>
              </w:rPr>
            </w:pPr>
            <w:r>
              <w:rPr>
                <w:rFonts w:hint="eastAsia" w:ascii="仿宋" w:hAnsi="仿宋" w:eastAsia="仿宋" w:cs="仿宋"/>
                <w:sz w:val="22"/>
                <w:szCs w:val="22"/>
              </w:rPr>
              <w:t>紧固轿底各安装螺栓</w:t>
            </w:r>
          </w:p>
          <w:p>
            <w:pPr>
              <w:numPr>
                <w:ilvl w:val="0"/>
                <w:numId w:val="7"/>
              </w:numPr>
              <w:spacing w:line="240" w:lineRule="auto"/>
              <w:jc w:val="left"/>
              <w:rPr>
                <w:rFonts w:hint="eastAsia" w:ascii="仿宋" w:hAnsi="仿宋" w:eastAsia="仿宋" w:cs="仿宋"/>
                <w:sz w:val="22"/>
                <w:szCs w:val="22"/>
              </w:rPr>
            </w:pPr>
            <w:r>
              <w:rPr>
                <w:rFonts w:hint="eastAsia" w:ascii="仿宋" w:hAnsi="仿宋" w:eastAsia="仿宋" w:cs="仿宋"/>
                <w:sz w:val="22"/>
                <w:szCs w:val="22"/>
              </w:rPr>
              <w:t>以检修速度下行，安全钳功能试验</w:t>
            </w:r>
          </w:p>
          <w:p>
            <w:pPr>
              <w:numPr>
                <w:ilvl w:val="0"/>
                <w:numId w:val="7"/>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检查测量对重距缓冲器距离</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25</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5</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年保养含半年保养内容还包括：</w:t>
            </w:r>
          </w:p>
          <w:p>
            <w:pPr>
              <w:numPr>
                <w:ilvl w:val="0"/>
                <w:numId w:val="8"/>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制动铁芯拆解清理、打磨、润滑、检查</w:t>
            </w:r>
          </w:p>
          <w:p>
            <w:pPr>
              <w:numPr>
                <w:ilvl w:val="0"/>
                <w:numId w:val="8"/>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制动器动作应可靠，必要时做制动器制动能力实验制动器制动能力符合制造单位要求，保持足够的制动力，必要时进行轿厢装载125%额定载重量的制动试验</w:t>
            </w:r>
          </w:p>
          <w:p>
            <w:pPr>
              <w:numPr>
                <w:ilvl w:val="0"/>
                <w:numId w:val="8"/>
              </w:numPr>
              <w:spacing w:line="240" w:lineRule="auto"/>
              <w:jc w:val="left"/>
              <w:rPr>
                <w:rFonts w:hint="eastAsia" w:ascii="仿宋" w:hAnsi="仿宋" w:eastAsia="仿宋" w:cs="仿宋"/>
                <w:sz w:val="22"/>
                <w:szCs w:val="22"/>
              </w:rPr>
            </w:pPr>
            <w:r>
              <w:rPr>
                <w:rFonts w:hint="eastAsia" w:ascii="仿宋" w:hAnsi="仿宋" w:eastAsia="仿宋" w:cs="仿宋"/>
                <w:sz w:val="22"/>
                <w:szCs w:val="22"/>
              </w:rPr>
              <w:t>限速器安全钳联动实验工作正常</w:t>
            </w:r>
          </w:p>
          <w:p>
            <w:pPr>
              <w:numPr>
                <w:ilvl w:val="0"/>
                <w:numId w:val="8"/>
              </w:numPr>
              <w:spacing w:line="240" w:lineRule="auto"/>
              <w:jc w:val="left"/>
              <w:rPr>
                <w:rFonts w:hint="eastAsia" w:ascii="仿宋" w:hAnsi="仿宋" w:eastAsia="仿宋" w:cs="仿宋"/>
                <w:sz w:val="22"/>
                <w:szCs w:val="22"/>
              </w:rPr>
            </w:pPr>
            <w:r>
              <w:rPr>
                <w:rFonts w:hint="eastAsia" w:ascii="仿宋" w:hAnsi="仿宋" w:eastAsia="仿宋" w:cs="仿宋"/>
                <w:sz w:val="22"/>
                <w:szCs w:val="22"/>
              </w:rPr>
              <w:t>随性电缆检查，应无损伤、破皮</w:t>
            </w:r>
          </w:p>
          <w:p>
            <w:pPr>
              <w:numPr>
                <w:ilvl w:val="0"/>
                <w:numId w:val="8"/>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消防联动功能试验</w:t>
            </w:r>
          </w:p>
          <w:p>
            <w:pPr>
              <w:numPr>
                <w:ilvl w:val="0"/>
                <w:numId w:val="8"/>
              </w:numPr>
              <w:spacing w:line="240" w:lineRule="auto"/>
              <w:jc w:val="left"/>
              <w:rPr>
                <w:rFonts w:hint="eastAsia" w:ascii="仿宋" w:hAnsi="仿宋" w:eastAsia="仿宋" w:cs="仿宋"/>
                <w:color w:val="000000"/>
                <w:sz w:val="22"/>
                <w:szCs w:val="22"/>
              </w:rPr>
            </w:pPr>
            <w:r>
              <w:rPr>
                <w:rFonts w:hint="eastAsia" w:ascii="仿宋" w:hAnsi="仿宋" w:eastAsia="仿宋" w:cs="仿宋"/>
                <w:sz w:val="22"/>
                <w:szCs w:val="22"/>
              </w:rPr>
              <w:t>电梯困人应急演练</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25</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6</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自动扶梯</w:t>
            </w:r>
            <w:r>
              <w:rPr>
                <w:rFonts w:hint="eastAsia" w:ascii="仿宋" w:hAnsi="仿宋" w:eastAsia="仿宋" w:cs="仿宋"/>
                <w:color w:val="000000"/>
                <w:kern w:val="0"/>
                <w:sz w:val="22"/>
                <w:szCs w:val="22"/>
                <w:lang w:val="en-US" w:eastAsia="zh-CN" w:bidi="ar"/>
              </w:rPr>
              <w:t>2</w:t>
            </w:r>
            <w:r>
              <w:rPr>
                <w:rFonts w:hint="eastAsia" w:ascii="仿宋" w:hAnsi="仿宋" w:eastAsia="仿宋" w:cs="仿宋"/>
                <w:color w:val="000000"/>
                <w:kern w:val="0"/>
                <w:sz w:val="22"/>
                <w:szCs w:val="22"/>
                <w:lang w:bidi="ar"/>
              </w:rPr>
              <w:t>部日常设备维修保养及应急紧急故障维修（24小时驻场应急修理)</w:t>
            </w: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半月保养内容：</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电器部件清洁，接线有效</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 电子板信号功能正常 </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杂物和垃圾清扫，清洁 </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设备运行状况正常，没有异响和抖动 </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主驱动链运转正常 </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制动器机械装置清洁，动作正常 </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制动检测开关</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制动触点工作正常</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减速机润滑油油量适宜，无渗油</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电机通风口清洁</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检修控制装置工作正常</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自动润滑油罐油位油位正常，润滑系统工作正常</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梳齿板开关工作正常</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 xml:space="preserve"> 梳齿板照明照明正常 </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 xml:space="preserve"> 梳齿板梳齿与踏板面齿槽、导向胶带梳齿板完好无损，梳齿板梳齿与踏板面齿槽、导向胶带啮合正常</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 梯级或者踏板下陷开关工作正常 </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梯级链张紧开关位置正确，动作正常</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梯身上部三角档板有效，无破损</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梯级滚轮和梯级导轨工作正常</w:t>
            </w:r>
          </w:p>
          <w:p>
            <w:pPr>
              <w:numPr>
                <w:ilvl w:val="0"/>
                <w:numId w:val="9"/>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梯级、踏板与围裙板任一侧水平间隙符合标准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2</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台</w:t>
            </w:r>
          </w:p>
        </w:tc>
      </w:tr>
      <w:tr>
        <w:tblPrEx>
          <w:tblCellMar>
            <w:top w:w="0" w:type="dxa"/>
            <w:left w:w="0" w:type="dxa"/>
            <w:bottom w:w="0" w:type="dxa"/>
            <w:right w:w="0" w:type="dxa"/>
          </w:tblCellMar>
        </w:tblPrEx>
        <w:trPr>
          <w:trHeight w:val="203"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7</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季保养含半月保养内容还包括：</w:t>
            </w:r>
          </w:p>
          <w:p>
            <w:pPr>
              <w:numPr>
                <w:ilvl w:val="0"/>
                <w:numId w:val="10"/>
              </w:numPr>
              <w:spacing w:line="240" w:lineRule="auto"/>
              <w:jc w:val="left"/>
              <w:rPr>
                <w:rFonts w:hint="eastAsia" w:ascii="仿宋" w:hAnsi="仿宋" w:eastAsia="仿宋" w:cs="仿宋"/>
                <w:sz w:val="22"/>
                <w:szCs w:val="22"/>
              </w:rPr>
            </w:pPr>
            <w:r>
              <w:rPr>
                <w:rFonts w:hint="eastAsia" w:ascii="仿宋" w:hAnsi="仿宋" w:eastAsia="仿宋" w:cs="仿宋"/>
                <w:sz w:val="22"/>
                <w:szCs w:val="22"/>
              </w:rPr>
              <w:t>运行方向显示工作正常</w:t>
            </w:r>
          </w:p>
          <w:p>
            <w:pPr>
              <w:numPr>
                <w:ilvl w:val="0"/>
                <w:numId w:val="10"/>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扶手带入口处保护开关动作灵活可靠，清除入口处垃圾</w:t>
            </w:r>
          </w:p>
          <w:p>
            <w:pPr>
              <w:numPr>
                <w:ilvl w:val="0"/>
                <w:numId w:val="10"/>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扶手带表面无毛刺，无机械损伤，出入口处居中，运行无摩擦</w:t>
            </w:r>
          </w:p>
          <w:p>
            <w:pPr>
              <w:numPr>
                <w:ilvl w:val="0"/>
                <w:numId w:val="10"/>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扶手带运行速度正常</w:t>
            </w:r>
          </w:p>
          <w:p>
            <w:pPr>
              <w:numPr>
                <w:ilvl w:val="0"/>
                <w:numId w:val="10"/>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扶手护壁板牢固可靠</w:t>
            </w:r>
          </w:p>
          <w:p>
            <w:pPr>
              <w:numPr>
                <w:ilvl w:val="0"/>
                <w:numId w:val="10"/>
              </w:numPr>
              <w:spacing w:line="240" w:lineRule="auto"/>
              <w:jc w:val="left"/>
              <w:rPr>
                <w:rFonts w:hint="eastAsia" w:ascii="仿宋" w:hAnsi="仿宋" w:eastAsia="仿宋" w:cs="仿宋"/>
                <w:sz w:val="22"/>
                <w:szCs w:val="22"/>
              </w:rPr>
            </w:pPr>
            <w:r>
              <w:rPr>
                <w:rFonts w:hint="eastAsia" w:ascii="仿宋" w:hAnsi="仿宋" w:eastAsia="仿宋" w:cs="仿宋"/>
                <w:sz w:val="22"/>
                <w:szCs w:val="22"/>
              </w:rPr>
              <w:t>上下出入口处的照明工作正常 </w:t>
            </w:r>
          </w:p>
          <w:p>
            <w:pPr>
              <w:numPr>
                <w:ilvl w:val="0"/>
                <w:numId w:val="10"/>
              </w:numPr>
              <w:spacing w:line="240" w:lineRule="auto"/>
              <w:jc w:val="left"/>
              <w:rPr>
                <w:rFonts w:hint="eastAsia" w:ascii="仿宋" w:hAnsi="仿宋" w:eastAsia="仿宋" w:cs="仿宋"/>
                <w:sz w:val="22"/>
                <w:szCs w:val="22"/>
              </w:rPr>
            </w:pPr>
            <w:r>
              <w:rPr>
                <w:rFonts w:hint="eastAsia" w:ascii="仿宋" w:hAnsi="仿宋" w:eastAsia="仿宋" w:cs="仿宋"/>
                <w:sz w:val="22"/>
                <w:szCs w:val="22"/>
              </w:rPr>
              <w:t>上下出入口和扶梯之间保护栏杆牢固可靠 </w:t>
            </w:r>
          </w:p>
          <w:p>
            <w:pPr>
              <w:numPr>
                <w:ilvl w:val="0"/>
                <w:numId w:val="10"/>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出入口安全警示标志齐全，醒目</w:t>
            </w:r>
          </w:p>
          <w:p>
            <w:pPr>
              <w:numPr>
                <w:ilvl w:val="0"/>
                <w:numId w:val="10"/>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分离机房、各驱动和转向站清洁，无杂物</w:t>
            </w:r>
          </w:p>
          <w:p>
            <w:pPr>
              <w:numPr>
                <w:ilvl w:val="0"/>
                <w:numId w:val="10"/>
              </w:numPr>
              <w:spacing w:line="240" w:lineRule="auto"/>
              <w:jc w:val="left"/>
              <w:rPr>
                <w:rFonts w:hint="eastAsia" w:ascii="仿宋" w:hAnsi="仿宋" w:eastAsia="仿宋" w:cs="仿宋"/>
                <w:sz w:val="22"/>
                <w:szCs w:val="22"/>
              </w:rPr>
            </w:pPr>
            <w:r>
              <w:rPr>
                <w:rFonts w:hint="eastAsia" w:ascii="仿宋" w:hAnsi="仿宋" w:eastAsia="仿宋" w:cs="仿宋"/>
                <w:sz w:val="22"/>
                <w:szCs w:val="22"/>
              </w:rPr>
              <w:t>自动运行功能工作正常</w:t>
            </w:r>
          </w:p>
          <w:p>
            <w:pPr>
              <w:numPr>
                <w:ilvl w:val="0"/>
                <w:numId w:val="10"/>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急停开关工作正常</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2</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8</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半年保养含季保养内容还包括：</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扶手带的运行速度相对于梯级、踏板或者胶带的速度允差为0～＋2％</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梯级链张紧装置工作正常</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梯级轴衬润滑有效</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梯级链润滑运行工况正常</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防灌水保护装置动作可靠</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制动衬厚度不小于制造单位要求</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主驱动链清理表面油污，润滑</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 主驱动链链条滑块清洁</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空载向下运行制动距离符合标准</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制动器机械装置润滑，工作有效</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 附加制动器清洁和润滑，功能可靠 </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减速机润滑油更换，符合制造单位的要求</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调整梳齿板梳齿与踏板面齿槽啮合深度和间隙符合标准</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扶手带张紧度张紧弹簧负荷长度符合标准</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扶手带速度监控器系统工作正常</w:t>
            </w:r>
          </w:p>
          <w:p>
            <w:pPr>
              <w:numPr>
                <w:ilvl w:val="0"/>
                <w:numId w:val="11"/>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梯级踏板加热装置功能正常，温度感应器接线牢固</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2</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台</w:t>
            </w:r>
          </w:p>
        </w:tc>
      </w:tr>
      <w:tr>
        <w:tblPrEx>
          <w:tblCellMar>
            <w:top w:w="0" w:type="dxa"/>
            <w:left w:w="0" w:type="dxa"/>
            <w:bottom w:w="0" w:type="dxa"/>
            <w:right w:w="0" w:type="dxa"/>
          </w:tblCellMar>
        </w:tblPrEx>
        <w:trPr>
          <w:trHeight w:val="461"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9</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left"/>
              <w:rPr>
                <w:rFonts w:hint="eastAsia" w:ascii="仿宋" w:hAnsi="仿宋" w:eastAsia="仿宋" w:cs="仿宋"/>
                <w:color w:val="000000"/>
                <w:sz w:val="22"/>
                <w:szCs w:val="22"/>
              </w:rPr>
            </w:pPr>
            <w:r>
              <w:rPr>
                <w:rFonts w:hint="eastAsia" w:ascii="仿宋" w:hAnsi="仿宋" w:eastAsia="仿宋" w:cs="仿宋"/>
                <w:color w:val="000000"/>
                <w:sz w:val="22"/>
                <w:szCs w:val="22"/>
              </w:rPr>
              <w:t>年保养含半年保养内容还包括：</w:t>
            </w:r>
          </w:p>
          <w:p>
            <w:pPr>
              <w:numPr>
                <w:ilvl w:val="0"/>
                <w:numId w:val="12"/>
              </w:numPr>
              <w:spacing w:line="240" w:lineRule="auto"/>
              <w:jc w:val="left"/>
              <w:rPr>
                <w:rFonts w:hint="eastAsia" w:ascii="仿宋" w:hAnsi="仿宋" w:eastAsia="仿宋" w:cs="仿宋"/>
                <w:sz w:val="22"/>
                <w:szCs w:val="22"/>
              </w:rPr>
            </w:pPr>
            <w:r>
              <w:rPr>
                <w:rFonts w:hint="eastAsia" w:ascii="仿宋" w:hAnsi="仿宋" w:eastAsia="仿宋" w:cs="仿宋"/>
                <w:sz w:val="22"/>
                <w:szCs w:val="22"/>
              </w:rPr>
              <w:t>主接触器工作可靠</w:t>
            </w:r>
          </w:p>
          <w:p>
            <w:pPr>
              <w:numPr>
                <w:ilvl w:val="0"/>
                <w:numId w:val="12"/>
              </w:numPr>
              <w:spacing w:line="240" w:lineRule="auto"/>
              <w:jc w:val="left"/>
              <w:rPr>
                <w:rFonts w:hint="eastAsia" w:ascii="仿宋" w:hAnsi="仿宋" w:eastAsia="仿宋" w:cs="仿宋"/>
                <w:sz w:val="22"/>
                <w:szCs w:val="22"/>
              </w:rPr>
            </w:pPr>
            <w:r>
              <w:rPr>
                <w:rFonts w:hint="eastAsia" w:ascii="仿宋" w:hAnsi="仿宋" w:eastAsia="仿宋" w:cs="仿宋"/>
                <w:sz w:val="22"/>
                <w:szCs w:val="22"/>
              </w:rPr>
              <w:t>主机速度检测功能功能可靠，清洁感应面，感应间隙符合制造单位要求</w:t>
            </w:r>
          </w:p>
          <w:p>
            <w:pPr>
              <w:numPr>
                <w:ilvl w:val="0"/>
                <w:numId w:val="12"/>
              </w:numPr>
              <w:spacing w:line="240" w:lineRule="auto"/>
              <w:jc w:val="left"/>
              <w:rPr>
                <w:rFonts w:hint="eastAsia" w:ascii="仿宋" w:hAnsi="仿宋" w:eastAsia="仿宋" w:cs="仿宋"/>
                <w:sz w:val="22"/>
                <w:szCs w:val="22"/>
              </w:rPr>
            </w:pPr>
            <w:r>
              <w:rPr>
                <w:rFonts w:hint="eastAsia" w:ascii="仿宋" w:hAnsi="仿宋" w:eastAsia="仿宋" w:cs="仿宋"/>
                <w:sz w:val="22"/>
                <w:szCs w:val="22"/>
              </w:rPr>
              <w:t>电缆无破损，固定牢固 </w:t>
            </w:r>
          </w:p>
          <w:p>
            <w:pPr>
              <w:numPr>
                <w:ilvl w:val="0"/>
                <w:numId w:val="12"/>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扶手带托轮、滑轮群、防静电轮清洁，无损伤，托轮转动平滑 </w:t>
            </w:r>
          </w:p>
          <w:p>
            <w:pPr>
              <w:numPr>
                <w:ilvl w:val="0"/>
                <w:numId w:val="12"/>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扶手带内侧凸缘处无损伤，清洁扶手导轨滑动面</w:t>
            </w:r>
          </w:p>
          <w:p>
            <w:pPr>
              <w:numPr>
                <w:ilvl w:val="0"/>
                <w:numId w:val="12"/>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扶手带断带保护开关功能正常</w:t>
            </w:r>
          </w:p>
          <w:p>
            <w:pPr>
              <w:numPr>
                <w:ilvl w:val="0"/>
                <w:numId w:val="12"/>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扶手带导向块和导向轮清洁，工作正常</w:t>
            </w:r>
          </w:p>
          <w:p>
            <w:pPr>
              <w:numPr>
                <w:ilvl w:val="0"/>
                <w:numId w:val="12"/>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在进入梳齿板处的梯级与导轮的轴向窜动量符合标准 </w:t>
            </w:r>
          </w:p>
          <w:p>
            <w:pPr>
              <w:numPr>
                <w:ilvl w:val="0"/>
                <w:numId w:val="12"/>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内外盖板连接紧密牢固，连接处的凸台、缝隙符合标准</w:t>
            </w:r>
          </w:p>
          <w:p>
            <w:pPr>
              <w:numPr>
                <w:ilvl w:val="0"/>
                <w:numId w:val="12"/>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围裙板安全开关测试有效</w:t>
            </w:r>
          </w:p>
          <w:p>
            <w:pPr>
              <w:numPr>
                <w:ilvl w:val="0"/>
                <w:numId w:val="12"/>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围裙板对接处紧密平滑</w:t>
            </w:r>
          </w:p>
          <w:p>
            <w:pPr>
              <w:numPr>
                <w:ilvl w:val="0"/>
                <w:numId w:val="12"/>
              </w:numPr>
              <w:spacing w:line="240" w:lineRule="auto"/>
              <w:jc w:val="left"/>
              <w:rPr>
                <w:rFonts w:hint="eastAsia" w:ascii="仿宋" w:hAnsi="仿宋" w:eastAsia="仿宋" w:cs="仿宋"/>
                <w:sz w:val="22"/>
                <w:szCs w:val="22"/>
              </w:rPr>
            </w:pPr>
            <w:r>
              <w:rPr>
                <w:rFonts w:hint="eastAsia" w:ascii="仿宋" w:hAnsi="仿宋" w:eastAsia="仿宋" w:cs="仿宋"/>
                <w:sz w:val="22"/>
                <w:szCs w:val="22"/>
              </w:rPr>
              <w:t>电气安全装置动作可靠 </w:t>
            </w:r>
          </w:p>
          <w:p>
            <w:pPr>
              <w:numPr>
                <w:ilvl w:val="0"/>
                <w:numId w:val="12"/>
              </w:numPr>
              <w:spacing w:line="240" w:lineRule="auto"/>
              <w:jc w:val="left"/>
              <w:rPr>
                <w:rFonts w:hint="eastAsia" w:ascii="仿宋" w:hAnsi="仿宋" w:eastAsia="仿宋" w:cs="仿宋"/>
                <w:sz w:val="22"/>
                <w:szCs w:val="22"/>
              </w:rPr>
            </w:pPr>
            <w:r>
              <w:rPr>
                <w:rFonts w:hint="eastAsia" w:ascii="仿宋" w:hAnsi="仿宋" w:eastAsia="仿宋" w:cs="仿宋"/>
                <w:sz w:val="22"/>
                <w:szCs w:val="22"/>
              </w:rPr>
              <w:t>设备运行状况正常，梯级运行平稳，无异常抖动，无异响 </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2</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10</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杂物电梯1部日常设备维修保养及应急紧急故障维修（24小时驻场应急修理)</w:t>
            </w: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杂物梯月保养内容：</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手动紧急操作装置齐全，在指定位置</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驱动主机运行时无异常震动和异常声响</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制动器和各销轴部位润滑，动作灵活</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制动器间隙打开时制动衬与制动轮不发生摩擦</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限速器各销轴部位润滑，转到灵活，电气开关正常</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轿顶清洁</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轿顶停止装置工作正常</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导靴上油杯吸油毛毡齐全，油量适宜，油杯无泄漏</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对重/平衡重块及压板对重/平衡重块无松动，压板紧固</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井道照明齐全，正常</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轿门门锁触点清洁，触点接触良好，接线可靠</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层站召唤、层楼显示层站召唤、层楼显示</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层门地坎清洁</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层门门锁能自动复位用层门钥匙打开手动开锁装置释放后，门锁复位，电路接通</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层门门锁电气触点清洁，触点接触良好，接线可靠</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层门锁紧元件啮合长度不小于5mm</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层门门导靴无卡阻，滑动顺畅</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底坑环境清洁，无渗水，积水，照明正常</w:t>
            </w:r>
          </w:p>
          <w:p>
            <w:pPr>
              <w:numPr>
                <w:ilvl w:val="0"/>
                <w:numId w:val="13"/>
              </w:numPr>
              <w:spacing w:line="240" w:lineRule="auto"/>
              <w:rPr>
                <w:rFonts w:hint="eastAsia" w:ascii="仿宋" w:hAnsi="仿宋" w:eastAsia="仿宋" w:cs="仿宋"/>
                <w:sz w:val="22"/>
                <w:szCs w:val="22"/>
              </w:rPr>
            </w:pPr>
            <w:r>
              <w:rPr>
                <w:rFonts w:hint="eastAsia" w:ascii="仿宋" w:hAnsi="仿宋" w:eastAsia="仿宋" w:cs="仿宋"/>
                <w:sz w:val="22"/>
                <w:szCs w:val="22"/>
              </w:rPr>
              <w:t>底坑停止装置工作正常</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p>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1</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台</w:t>
            </w:r>
          </w:p>
        </w:tc>
      </w:tr>
      <w:tr>
        <w:tblPrEx>
          <w:tblCellMar>
            <w:top w:w="0" w:type="dxa"/>
            <w:left w:w="0" w:type="dxa"/>
            <w:bottom w:w="0" w:type="dxa"/>
            <w:right w:w="0" w:type="dxa"/>
          </w:tblCellMar>
        </w:tblPrEx>
        <w:trPr>
          <w:trHeight w:val="1564"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11</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 w:hAnsi="仿宋" w:eastAsia="仿宋" w:cs="仿宋"/>
                <w:color w:val="000000"/>
                <w:sz w:val="22"/>
                <w:szCs w:val="22"/>
              </w:rPr>
            </w:pPr>
            <w:r>
              <w:rPr>
                <w:rFonts w:hint="eastAsia" w:ascii="仿宋" w:hAnsi="仿宋" w:eastAsia="仿宋" w:cs="仿宋"/>
                <w:color w:val="000000"/>
                <w:sz w:val="22"/>
                <w:szCs w:val="22"/>
              </w:rPr>
              <w:t>杂物梯季保养含月保养还包括：</w:t>
            </w:r>
          </w:p>
          <w:p>
            <w:pPr>
              <w:numPr>
                <w:ilvl w:val="0"/>
                <w:numId w:val="14"/>
              </w:numPr>
              <w:spacing w:line="240" w:lineRule="auto"/>
              <w:rPr>
                <w:rFonts w:hint="eastAsia" w:ascii="仿宋" w:hAnsi="仿宋" w:eastAsia="仿宋" w:cs="仿宋"/>
                <w:sz w:val="22"/>
                <w:szCs w:val="22"/>
              </w:rPr>
            </w:pPr>
            <w:r>
              <w:rPr>
                <w:rFonts w:hint="eastAsia" w:ascii="仿宋" w:hAnsi="仿宋" w:eastAsia="仿宋" w:cs="仿宋"/>
                <w:sz w:val="22"/>
                <w:szCs w:val="22"/>
              </w:rPr>
              <w:t>减速机润滑油油量适宜，除蜗杆伸出端外均无渗漏</w:t>
            </w:r>
          </w:p>
          <w:p>
            <w:pPr>
              <w:numPr>
                <w:ilvl w:val="0"/>
                <w:numId w:val="14"/>
              </w:numPr>
              <w:spacing w:line="240" w:lineRule="auto"/>
              <w:rPr>
                <w:rFonts w:hint="eastAsia" w:ascii="仿宋" w:hAnsi="仿宋" w:eastAsia="仿宋" w:cs="仿宋"/>
                <w:sz w:val="22"/>
                <w:szCs w:val="22"/>
              </w:rPr>
            </w:pPr>
            <w:r>
              <w:rPr>
                <w:rFonts w:hint="eastAsia" w:ascii="仿宋" w:hAnsi="仿宋" w:eastAsia="仿宋" w:cs="仿宋"/>
                <w:sz w:val="22"/>
                <w:szCs w:val="22"/>
              </w:rPr>
              <w:t>制动衬清洁，磨损量不超制造单位要求</w:t>
            </w:r>
          </w:p>
          <w:p>
            <w:pPr>
              <w:numPr>
                <w:ilvl w:val="0"/>
                <w:numId w:val="14"/>
              </w:numPr>
              <w:spacing w:line="240" w:lineRule="auto"/>
              <w:rPr>
                <w:rFonts w:hint="eastAsia" w:ascii="仿宋" w:hAnsi="仿宋" w:eastAsia="仿宋" w:cs="仿宋"/>
                <w:sz w:val="22"/>
                <w:szCs w:val="22"/>
              </w:rPr>
            </w:pPr>
            <w:r>
              <w:rPr>
                <w:rFonts w:hint="eastAsia" w:ascii="仿宋" w:hAnsi="仿宋" w:eastAsia="仿宋" w:cs="仿宋"/>
                <w:sz w:val="22"/>
                <w:szCs w:val="22"/>
              </w:rPr>
              <w:t>曳引轮槽、悬挂装置清洁，无严重油腻，张力均匀</w:t>
            </w:r>
          </w:p>
          <w:p>
            <w:pPr>
              <w:numPr>
                <w:ilvl w:val="0"/>
                <w:numId w:val="14"/>
              </w:numPr>
              <w:spacing w:line="240" w:lineRule="auto"/>
              <w:rPr>
                <w:rFonts w:hint="eastAsia" w:ascii="仿宋" w:hAnsi="仿宋" w:eastAsia="仿宋" w:cs="仿宋"/>
                <w:sz w:val="22"/>
                <w:szCs w:val="22"/>
              </w:rPr>
            </w:pPr>
            <w:r>
              <w:rPr>
                <w:rFonts w:hint="eastAsia" w:ascii="仿宋" w:hAnsi="仿宋" w:eastAsia="仿宋" w:cs="仿宋"/>
                <w:sz w:val="22"/>
                <w:szCs w:val="22"/>
              </w:rPr>
              <w:t>限速器轮槽、限速器钢丝绳清洁，无严重油腻</w:t>
            </w:r>
          </w:p>
          <w:p>
            <w:pPr>
              <w:numPr>
                <w:ilvl w:val="0"/>
                <w:numId w:val="14"/>
              </w:numPr>
              <w:spacing w:line="240" w:lineRule="auto"/>
              <w:rPr>
                <w:rFonts w:hint="eastAsia" w:ascii="仿宋" w:hAnsi="仿宋" w:eastAsia="仿宋" w:cs="仿宋"/>
                <w:sz w:val="22"/>
                <w:szCs w:val="22"/>
              </w:rPr>
            </w:pPr>
            <w:r>
              <w:rPr>
                <w:rFonts w:hint="eastAsia" w:ascii="仿宋" w:hAnsi="仿宋" w:eastAsia="仿宋" w:cs="仿宋"/>
                <w:sz w:val="22"/>
                <w:szCs w:val="22"/>
              </w:rPr>
              <w:t>靴衬清洁，磨损量不超过制造单位要求</w:t>
            </w:r>
          </w:p>
          <w:p>
            <w:pPr>
              <w:spacing w:line="240" w:lineRule="auto"/>
              <w:jc w:val="left"/>
              <w:rPr>
                <w:rFonts w:hint="eastAsia" w:ascii="仿宋" w:hAnsi="仿宋" w:eastAsia="仿宋" w:cs="仿宋"/>
                <w:sz w:val="22"/>
                <w:szCs w:val="22"/>
              </w:rPr>
            </w:pPr>
            <w:r>
              <w:rPr>
                <w:rFonts w:hint="eastAsia" w:ascii="仿宋" w:hAnsi="仿宋" w:eastAsia="仿宋" w:cs="仿宋"/>
                <w:sz w:val="22"/>
                <w:szCs w:val="22"/>
              </w:rPr>
              <w:t>6、链条、传动带层门、轿门系统中传动钢丝绳、</w:t>
            </w:r>
          </w:p>
          <w:p>
            <w:pPr>
              <w:spacing w:line="240" w:lineRule="auto"/>
              <w:rPr>
                <w:rFonts w:hint="eastAsia" w:ascii="仿宋" w:hAnsi="仿宋" w:eastAsia="仿宋" w:cs="仿宋"/>
                <w:sz w:val="22"/>
                <w:szCs w:val="22"/>
              </w:rPr>
            </w:pPr>
            <w:r>
              <w:rPr>
                <w:rFonts w:hint="eastAsia" w:ascii="仿宋" w:hAnsi="仿宋" w:eastAsia="仿宋" w:cs="仿宋"/>
                <w:sz w:val="22"/>
                <w:szCs w:val="22"/>
              </w:rPr>
              <w:t>7限速器张紧轮装置和电气安全装置工作正常</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1</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台</w:t>
            </w:r>
          </w:p>
        </w:tc>
      </w:tr>
      <w:tr>
        <w:tblPrEx>
          <w:tblCellMar>
            <w:top w:w="0" w:type="dxa"/>
            <w:left w:w="0" w:type="dxa"/>
            <w:bottom w:w="0" w:type="dxa"/>
            <w:right w:w="0" w:type="dxa"/>
          </w:tblCellMar>
        </w:tblPrEx>
        <w:trPr>
          <w:trHeight w:val="760"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12</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 w:hAnsi="仿宋" w:eastAsia="仿宋" w:cs="仿宋"/>
                <w:color w:val="000000"/>
                <w:sz w:val="22"/>
                <w:szCs w:val="22"/>
              </w:rPr>
            </w:pPr>
            <w:r>
              <w:rPr>
                <w:rFonts w:hint="eastAsia" w:ascii="仿宋" w:hAnsi="仿宋" w:eastAsia="仿宋" w:cs="仿宋"/>
                <w:color w:val="000000"/>
                <w:sz w:val="22"/>
                <w:szCs w:val="22"/>
              </w:rPr>
              <w:t>杂物梯半年保养含季保养还包括：</w:t>
            </w:r>
          </w:p>
          <w:p>
            <w:pPr>
              <w:numPr>
                <w:ilvl w:val="0"/>
                <w:numId w:val="15"/>
              </w:numPr>
              <w:spacing w:line="240" w:lineRule="auto"/>
              <w:rPr>
                <w:rFonts w:hint="eastAsia" w:ascii="仿宋" w:hAnsi="仿宋" w:eastAsia="仿宋" w:cs="仿宋"/>
                <w:sz w:val="22"/>
                <w:szCs w:val="22"/>
              </w:rPr>
            </w:pPr>
            <w:r>
              <w:rPr>
                <w:rFonts w:hint="eastAsia" w:ascii="仿宋" w:hAnsi="仿宋" w:eastAsia="仿宋" w:cs="仿宋"/>
                <w:sz w:val="22"/>
                <w:szCs w:val="22"/>
              </w:rPr>
              <w:t>电动机与减速机联轴器链接无松动，弹性元件外观良好无老化等现象</w:t>
            </w:r>
          </w:p>
          <w:p>
            <w:pPr>
              <w:numPr>
                <w:ilvl w:val="0"/>
                <w:numId w:val="15"/>
              </w:numPr>
              <w:spacing w:line="240" w:lineRule="auto"/>
              <w:rPr>
                <w:rFonts w:hint="eastAsia" w:ascii="仿宋" w:hAnsi="仿宋" w:eastAsia="仿宋" w:cs="仿宋"/>
                <w:sz w:val="22"/>
                <w:szCs w:val="22"/>
              </w:rPr>
            </w:pPr>
            <w:r>
              <w:rPr>
                <w:rFonts w:hint="eastAsia" w:ascii="仿宋" w:hAnsi="仿宋" w:eastAsia="仿宋" w:cs="仿宋"/>
                <w:sz w:val="22"/>
                <w:szCs w:val="22"/>
              </w:rPr>
              <w:t>驱动轮、导向轮轴承部无异常声响，无振动，润滑良好</w:t>
            </w:r>
          </w:p>
          <w:p>
            <w:pPr>
              <w:numPr>
                <w:ilvl w:val="0"/>
                <w:numId w:val="15"/>
              </w:numPr>
              <w:spacing w:line="240" w:lineRule="auto"/>
              <w:rPr>
                <w:rFonts w:hint="eastAsia" w:ascii="仿宋" w:hAnsi="仿宋" w:eastAsia="仿宋" w:cs="仿宋"/>
                <w:sz w:val="22"/>
                <w:szCs w:val="22"/>
              </w:rPr>
            </w:pPr>
            <w:r>
              <w:rPr>
                <w:rFonts w:hint="eastAsia" w:ascii="仿宋" w:hAnsi="仿宋" w:eastAsia="仿宋" w:cs="仿宋"/>
                <w:sz w:val="22"/>
                <w:szCs w:val="22"/>
              </w:rPr>
              <w:t>制动器上检测开关工作正常，制动器动作可靠</w:t>
            </w:r>
          </w:p>
          <w:p>
            <w:pPr>
              <w:numPr>
                <w:ilvl w:val="0"/>
                <w:numId w:val="15"/>
              </w:numPr>
              <w:spacing w:line="240" w:lineRule="auto"/>
              <w:rPr>
                <w:rFonts w:hint="eastAsia" w:ascii="仿宋" w:hAnsi="仿宋" w:eastAsia="仿宋" w:cs="仿宋"/>
                <w:sz w:val="22"/>
                <w:szCs w:val="22"/>
              </w:rPr>
            </w:pPr>
            <w:r>
              <w:rPr>
                <w:rFonts w:hint="eastAsia" w:ascii="仿宋" w:hAnsi="仿宋" w:eastAsia="仿宋" w:cs="仿宋"/>
                <w:sz w:val="22"/>
                <w:szCs w:val="22"/>
              </w:rPr>
              <w:t>控制柜内各接线端子各接线紧固、整齐，线号齐全清晰</w:t>
            </w:r>
          </w:p>
          <w:p>
            <w:pPr>
              <w:numPr>
                <w:ilvl w:val="0"/>
                <w:numId w:val="15"/>
              </w:numPr>
              <w:spacing w:line="240" w:lineRule="auto"/>
              <w:rPr>
                <w:rFonts w:hint="eastAsia" w:ascii="仿宋" w:hAnsi="仿宋" w:eastAsia="仿宋" w:cs="仿宋"/>
                <w:sz w:val="22"/>
                <w:szCs w:val="22"/>
              </w:rPr>
            </w:pPr>
            <w:r>
              <w:rPr>
                <w:rFonts w:hint="eastAsia" w:ascii="仿宋" w:hAnsi="仿宋" w:eastAsia="仿宋" w:cs="仿宋"/>
                <w:sz w:val="22"/>
                <w:szCs w:val="22"/>
              </w:rPr>
              <w:t>控制柜各仪表显示正确</w:t>
            </w:r>
          </w:p>
          <w:p>
            <w:pPr>
              <w:numPr>
                <w:ilvl w:val="0"/>
                <w:numId w:val="15"/>
              </w:numPr>
              <w:spacing w:line="240" w:lineRule="auto"/>
              <w:rPr>
                <w:rFonts w:hint="eastAsia" w:ascii="仿宋" w:hAnsi="仿宋" w:eastAsia="仿宋" w:cs="仿宋"/>
                <w:sz w:val="22"/>
                <w:szCs w:val="22"/>
              </w:rPr>
            </w:pPr>
            <w:r>
              <w:rPr>
                <w:rFonts w:hint="eastAsia" w:ascii="仿宋" w:hAnsi="仿宋" w:eastAsia="仿宋" w:cs="仿宋"/>
                <w:sz w:val="22"/>
                <w:szCs w:val="22"/>
              </w:rPr>
              <w:t>悬挂装置磨损量、断丝数未超过要求</w:t>
            </w:r>
          </w:p>
          <w:p>
            <w:pPr>
              <w:numPr>
                <w:ilvl w:val="0"/>
                <w:numId w:val="15"/>
              </w:numPr>
              <w:spacing w:line="240" w:lineRule="auto"/>
              <w:rPr>
                <w:rFonts w:hint="eastAsia" w:ascii="仿宋" w:hAnsi="仿宋" w:eastAsia="仿宋" w:cs="仿宋"/>
                <w:sz w:val="22"/>
                <w:szCs w:val="22"/>
              </w:rPr>
            </w:pPr>
            <w:r>
              <w:rPr>
                <w:rFonts w:hint="eastAsia" w:ascii="仿宋" w:hAnsi="仿宋" w:eastAsia="仿宋" w:cs="仿宋"/>
                <w:sz w:val="22"/>
                <w:szCs w:val="22"/>
              </w:rPr>
              <w:t>绳头组合螺母无松动</w:t>
            </w:r>
          </w:p>
          <w:p>
            <w:pPr>
              <w:numPr>
                <w:ilvl w:val="0"/>
                <w:numId w:val="15"/>
              </w:numPr>
              <w:spacing w:line="240" w:lineRule="auto"/>
              <w:rPr>
                <w:rFonts w:hint="eastAsia" w:ascii="仿宋" w:hAnsi="仿宋" w:eastAsia="仿宋" w:cs="仿宋"/>
                <w:sz w:val="22"/>
                <w:szCs w:val="22"/>
              </w:rPr>
            </w:pPr>
            <w:r>
              <w:rPr>
                <w:rFonts w:hint="eastAsia" w:ascii="仿宋" w:hAnsi="仿宋" w:eastAsia="仿宋" w:cs="仿宋"/>
                <w:sz w:val="22"/>
                <w:szCs w:val="22"/>
              </w:rPr>
              <w:t>对重缓冲距离符合标准值</w:t>
            </w:r>
          </w:p>
          <w:p>
            <w:pPr>
              <w:numPr>
                <w:ilvl w:val="0"/>
                <w:numId w:val="15"/>
              </w:numPr>
              <w:spacing w:line="240" w:lineRule="auto"/>
              <w:rPr>
                <w:rFonts w:hint="eastAsia" w:ascii="仿宋" w:hAnsi="仿宋" w:eastAsia="仿宋" w:cs="仿宋"/>
                <w:sz w:val="22"/>
                <w:szCs w:val="22"/>
              </w:rPr>
            </w:pPr>
            <w:r>
              <w:rPr>
                <w:rFonts w:hint="eastAsia" w:ascii="仿宋" w:hAnsi="仿宋" w:eastAsia="仿宋" w:cs="仿宋"/>
                <w:sz w:val="22"/>
                <w:szCs w:val="22"/>
              </w:rPr>
              <w:t>上、下极限开关工作正常</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1</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台</w:t>
            </w:r>
          </w:p>
        </w:tc>
      </w:tr>
      <w:tr>
        <w:tblPrEx>
          <w:tblCellMar>
            <w:top w:w="0" w:type="dxa"/>
            <w:left w:w="0" w:type="dxa"/>
            <w:bottom w:w="0" w:type="dxa"/>
            <w:right w:w="0" w:type="dxa"/>
          </w:tblCellMar>
        </w:tblPrEx>
        <w:trPr>
          <w:trHeight w:val="5385"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13</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kern w:val="0"/>
                <w:sz w:val="22"/>
                <w:szCs w:val="22"/>
                <w:lang w:bidi="ar"/>
              </w:rPr>
            </w:pP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 w:hAnsi="仿宋" w:eastAsia="仿宋" w:cs="仿宋"/>
                <w:color w:val="000000"/>
                <w:sz w:val="22"/>
                <w:szCs w:val="22"/>
              </w:rPr>
            </w:pPr>
            <w:r>
              <w:rPr>
                <w:rFonts w:hint="eastAsia" w:ascii="仿宋" w:hAnsi="仿宋" w:eastAsia="仿宋" w:cs="仿宋"/>
                <w:color w:val="000000"/>
                <w:sz w:val="22"/>
                <w:szCs w:val="22"/>
              </w:rPr>
              <w:t>杂物梯年保养含半年保养还包括：</w:t>
            </w:r>
          </w:p>
          <w:p>
            <w:pPr>
              <w:numPr>
                <w:ilvl w:val="0"/>
                <w:numId w:val="16"/>
              </w:numPr>
              <w:spacing w:line="240" w:lineRule="auto"/>
              <w:rPr>
                <w:rFonts w:hint="eastAsia" w:ascii="仿宋" w:hAnsi="仿宋" w:eastAsia="仿宋" w:cs="仿宋"/>
                <w:sz w:val="22"/>
                <w:szCs w:val="22"/>
              </w:rPr>
            </w:pPr>
            <w:r>
              <w:rPr>
                <w:rFonts w:hint="eastAsia" w:ascii="仿宋" w:hAnsi="仿宋" w:eastAsia="仿宋" w:cs="仿宋"/>
                <w:sz w:val="22"/>
                <w:szCs w:val="22"/>
              </w:rPr>
              <w:t>减速机润滑油按照制造单位要求适时更换，油质符合要求</w:t>
            </w:r>
          </w:p>
          <w:p>
            <w:pPr>
              <w:numPr>
                <w:ilvl w:val="0"/>
                <w:numId w:val="16"/>
              </w:numPr>
              <w:spacing w:line="240" w:lineRule="auto"/>
              <w:rPr>
                <w:rFonts w:hint="eastAsia" w:ascii="仿宋" w:hAnsi="仿宋" w:eastAsia="仿宋" w:cs="仿宋"/>
                <w:sz w:val="22"/>
                <w:szCs w:val="22"/>
              </w:rPr>
            </w:pPr>
            <w:r>
              <w:rPr>
                <w:rFonts w:hint="eastAsia" w:ascii="仿宋" w:hAnsi="仿宋" w:eastAsia="仿宋" w:cs="仿宋"/>
                <w:sz w:val="22"/>
                <w:szCs w:val="22"/>
              </w:rPr>
              <w:t>控制柜接触器、继电器触点接触良好</w:t>
            </w:r>
          </w:p>
          <w:p>
            <w:pPr>
              <w:numPr>
                <w:ilvl w:val="0"/>
                <w:numId w:val="1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制动器铁芯（柱塞）分解进行清洁、润滑、检查，磨损量不超过制造单位要求</w:t>
            </w:r>
          </w:p>
          <w:p>
            <w:pPr>
              <w:numPr>
                <w:ilvl w:val="0"/>
                <w:numId w:val="1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制动器制动弹簧压缩量保持有足够的制动力</w:t>
            </w:r>
          </w:p>
          <w:p>
            <w:pPr>
              <w:numPr>
                <w:ilvl w:val="0"/>
                <w:numId w:val="1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导电回路绝缘性能测试</w:t>
            </w:r>
          </w:p>
          <w:p>
            <w:pPr>
              <w:numPr>
                <w:ilvl w:val="0"/>
                <w:numId w:val="1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限速器安全钳联动试验</w:t>
            </w:r>
          </w:p>
          <w:p>
            <w:pPr>
              <w:numPr>
                <w:ilvl w:val="0"/>
                <w:numId w:val="1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紧固轿顶、轿厢架、轿门及附件安装螺栓</w:t>
            </w:r>
          </w:p>
          <w:p>
            <w:pPr>
              <w:numPr>
                <w:ilvl w:val="0"/>
                <w:numId w:val="1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固定轿厢及对重/平衡重导轨支架</w:t>
            </w:r>
          </w:p>
          <w:p>
            <w:pPr>
              <w:numPr>
                <w:ilvl w:val="0"/>
                <w:numId w:val="1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清洁牢固轿厢及对重/平衡重导轨</w:t>
            </w:r>
          </w:p>
          <w:p>
            <w:pPr>
              <w:numPr>
                <w:ilvl w:val="0"/>
                <w:numId w:val="1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随行电缆无损伤</w:t>
            </w:r>
          </w:p>
          <w:p>
            <w:pPr>
              <w:numPr>
                <w:ilvl w:val="0"/>
                <w:numId w:val="1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检查层门装置和地坎无变形</w:t>
            </w:r>
          </w:p>
          <w:p>
            <w:pPr>
              <w:numPr>
                <w:ilvl w:val="0"/>
                <w:numId w:val="1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安全钳钳座不松动</w:t>
            </w:r>
          </w:p>
          <w:p>
            <w:pPr>
              <w:numPr>
                <w:ilvl w:val="0"/>
                <w:numId w:val="1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轿底各安装螺栓紧固</w:t>
            </w:r>
          </w:p>
          <w:p>
            <w:pPr>
              <w:numPr>
                <w:ilvl w:val="0"/>
                <w:numId w:val="16"/>
              </w:numPr>
              <w:spacing w:line="240" w:lineRule="auto"/>
              <w:jc w:val="left"/>
              <w:rPr>
                <w:rFonts w:hint="eastAsia" w:ascii="仿宋" w:hAnsi="仿宋" w:eastAsia="仿宋" w:cs="仿宋"/>
                <w:sz w:val="22"/>
                <w:szCs w:val="22"/>
              </w:rPr>
            </w:pPr>
            <w:r>
              <w:rPr>
                <w:rFonts w:hint="eastAsia" w:ascii="仿宋" w:hAnsi="仿宋" w:eastAsia="仿宋" w:cs="仿宋"/>
                <w:sz w:val="22"/>
                <w:szCs w:val="22"/>
              </w:rPr>
              <w:t>固定缓冲器</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1</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台</w:t>
            </w:r>
          </w:p>
        </w:tc>
      </w:tr>
      <w:tr>
        <w:tblPrEx>
          <w:tblCellMar>
            <w:top w:w="0" w:type="dxa"/>
            <w:left w:w="0" w:type="dxa"/>
            <w:bottom w:w="0" w:type="dxa"/>
            <w:right w:w="0" w:type="dxa"/>
          </w:tblCellMar>
        </w:tblPrEx>
        <w:trPr>
          <w:trHeight w:val="90" w:hRule="atLeast"/>
        </w:trPr>
        <w:tc>
          <w:tcPr>
            <w:tcW w:w="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1</w:t>
            </w:r>
            <w:r>
              <w:rPr>
                <w:rFonts w:hint="eastAsia" w:ascii="仿宋" w:hAnsi="仿宋" w:eastAsia="仿宋" w:cs="仿宋"/>
                <w:color w:val="000000"/>
                <w:sz w:val="22"/>
                <w:szCs w:val="22"/>
              </w:rPr>
              <w:t>4</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28部电梯</w:t>
            </w:r>
          </w:p>
        </w:tc>
        <w:tc>
          <w:tcPr>
            <w:tcW w:w="5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17"/>
              </w:numPr>
              <w:spacing w:line="24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机房5S作业。</w:t>
            </w:r>
          </w:p>
          <w:p>
            <w:pPr>
              <w:numPr>
                <w:ilvl w:val="0"/>
                <w:numId w:val="17"/>
              </w:numPr>
              <w:spacing w:line="24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保证电梯24小时安全运行。</w:t>
            </w:r>
          </w:p>
          <w:p>
            <w:pPr>
              <w:numPr>
                <w:ilvl w:val="0"/>
                <w:numId w:val="17"/>
              </w:numPr>
              <w:spacing w:line="24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院方要求的其他配合事项。</w:t>
            </w:r>
          </w:p>
          <w:p>
            <w:pPr>
              <w:numPr>
                <w:ilvl w:val="0"/>
                <w:numId w:val="17"/>
              </w:numPr>
              <w:spacing w:line="24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每月提供月度保养报告及维修记录。</w:t>
            </w:r>
          </w:p>
          <w:p>
            <w:pPr>
              <w:numPr>
                <w:ilvl w:val="0"/>
                <w:numId w:val="17"/>
              </w:numPr>
              <w:spacing w:line="240" w:lineRule="auto"/>
              <w:rPr>
                <w:rFonts w:hint="eastAsia" w:ascii="仿宋" w:hAnsi="仿宋" w:eastAsia="仿宋" w:cs="仿宋"/>
                <w:sz w:val="22"/>
                <w:szCs w:val="22"/>
                <w:lang w:val="en-US" w:eastAsia="zh-CN"/>
              </w:rPr>
            </w:pPr>
            <w:r>
              <w:rPr>
                <w:rFonts w:hint="eastAsia" w:ascii="仿宋" w:hAnsi="仿宋" w:eastAsia="仿宋" w:cs="仿宋"/>
                <w:sz w:val="22"/>
                <w:szCs w:val="22"/>
                <w:highlight w:val="none"/>
                <w:lang w:val="en-US" w:eastAsia="zh-CN"/>
              </w:rPr>
              <w:t>维修驻场人员一名，维保作业时要求至少二人进行。</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28</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台</w:t>
            </w:r>
          </w:p>
        </w:tc>
      </w:tr>
    </w:tbl>
    <w:p>
      <w:pPr>
        <w:widowControl/>
        <w:numPr>
          <w:ilvl w:val="0"/>
          <w:numId w:val="0"/>
        </w:numPr>
        <w:autoSpaceDE w:val="0"/>
        <w:autoSpaceDN w:val="0"/>
        <w:spacing w:line="240" w:lineRule="auto"/>
        <w:ind w:leftChars="0"/>
        <w:rPr>
          <w:rFonts w:hint="eastAsia" w:ascii="仿宋" w:hAnsi="仿宋" w:eastAsia="仿宋" w:cs="仿宋"/>
          <w:b/>
          <w:bCs w:val="0"/>
          <w:snapToGrid w:val="0"/>
          <w:kern w:val="21"/>
          <w:sz w:val="24"/>
          <w:szCs w:val="24"/>
          <w:lang w:val="en-US" w:eastAsia="zh-CN"/>
        </w:rPr>
      </w:pPr>
      <w:r>
        <w:rPr>
          <w:rFonts w:hint="eastAsia" w:ascii="仿宋" w:hAnsi="仿宋" w:eastAsia="仿宋" w:cs="仿宋"/>
          <w:b/>
          <w:bCs w:val="0"/>
          <w:snapToGrid w:val="0"/>
          <w:kern w:val="21"/>
          <w:sz w:val="24"/>
          <w:szCs w:val="24"/>
          <w:lang w:val="en-US" w:eastAsia="zh-CN"/>
        </w:rPr>
        <w:t>三、*维保安全、监督及处罚（3项）</w:t>
      </w:r>
    </w:p>
    <w:p>
      <w:pPr>
        <w:widowControl/>
        <w:numPr>
          <w:ilvl w:val="0"/>
          <w:numId w:val="0"/>
        </w:numPr>
        <w:autoSpaceDE w:val="0"/>
        <w:autoSpaceDN w:val="0"/>
        <w:spacing w:line="240" w:lineRule="auto"/>
        <w:ind w:leftChars="0"/>
        <w:rPr>
          <w:rFonts w:hint="eastAsia" w:ascii="仿宋" w:hAnsi="仿宋" w:eastAsia="仿宋" w:cs="仿宋"/>
          <w:b/>
          <w:bCs w:val="0"/>
          <w:snapToGrid w:val="0"/>
          <w:kern w:val="21"/>
          <w:sz w:val="24"/>
          <w:szCs w:val="24"/>
          <w:lang w:val="en-US" w:eastAsia="zh-CN"/>
        </w:rPr>
      </w:pPr>
      <w:r>
        <w:rPr>
          <w:rFonts w:hint="eastAsia" w:ascii="仿宋" w:hAnsi="仿宋" w:eastAsia="仿宋" w:cs="仿宋"/>
          <w:b/>
          <w:bCs w:val="0"/>
          <w:snapToGrid w:val="0"/>
          <w:kern w:val="21"/>
          <w:sz w:val="24"/>
          <w:szCs w:val="24"/>
          <w:lang w:val="en-US" w:eastAsia="zh-CN"/>
        </w:rPr>
        <w:t>1、维保安全要求：</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电梯的维护保养单位应当在维护保养中严格执行安全技术规范的要求，保证其维护保养的电梯的安全性能，</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并</w:t>
      </w:r>
      <w:r>
        <w:rPr>
          <w:rFonts w:hint="eastAsia" w:ascii="仿宋" w:hAnsi="仿宋" w:eastAsia="仿宋" w:cs="仿宋"/>
          <w:b w:val="0"/>
          <w:bCs w:val="0"/>
          <w:color w:val="000000" w:themeColor="text1"/>
          <w:sz w:val="24"/>
          <w:szCs w:val="24"/>
          <w:highlight w:val="none"/>
          <w14:textFill>
            <w14:solidFill>
              <w14:schemeClr w14:val="tx1"/>
            </w14:solidFill>
          </w14:textFill>
        </w:rPr>
        <w:t>负责落实现场安全防护措施，保证施工安全。</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只要在乙方在甲方服务期内，乙方有责任和义务配合政府部门对设备实施年检、负责电梯年检的一切费用及限速器调试检验费等，对因保养不当而产生的整改项目进行免费整改，直到符合政府部门的要求并拿到检验报告。</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爱护电梯及附属设施</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遵守甲方的规章制度。</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乙方按《北京市电梯安全监督管理方法》要求，提供电梯的日常维修保养、紧急故障处理、值班服务。坚持服务质量第一。保养内容乙方按照北京市地方标准DB11/418—2007《电梯日常维护保养规则》中保养记录执行，完成半月、月、季度、半年、年保养项目，并做好维护保养记录。维修质量执行《电梯维修规范》（GB/T18775--2002）。</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乙方在维修保养前应事先通知甲方，在服务结束后，填写为序保养记录并由甲方代表签字认可，将更换</w:t>
      </w:r>
      <w:r>
        <w:rPr>
          <w:rFonts w:hint="eastAsia" w:ascii="仿宋" w:hAnsi="仿宋" w:eastAsia="仿宋" w:cs="仿宋"/>
          <w:color w:val="000000" w:themeColor="text1"/>
          <w:sz w:val="24"/>
          <w:szCs w:val="24"/>
          <w:highlight w:val="none"/>
          <w:lang w:eastAsia="zh-CN"/>
          <w14:textFill>
            <w14:solidFill>
              <w14:schemeClr w14:val="tx1"/>
            </w14:solidFill>
          </w14:textFill>
        </w:rPr>
        <w:t>下</w:t>
      </w:r>
      <w:r>
        <w:rPr>
          <w:rFonts w:hint="eastAsia" w:ascii="仿宋" w:hAnsi="仿宋" w:eastAsia="仿宋" w:cs="仿宋"/>
          <w:color w:val="000000" w:themeColor="text1"/>
          <w:sz w:val="24"/>
          <w:szCs w:val="24"/>
          <w:highlight w:val="none"/>
          <w14:textFill>
            <w14:solidFill>
              <w14:schemeClr w14:val="tx1"/>
            </w14:solidFill>
          </w14:textFill>
        </w:rPr>
        <w:t>得废旧零件、电路板等配件交给甲方，如果没有甲方代表签字认可，甲方有权视本次维修保养服务无效。</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乙方维修保养人员均应持有特种设备质量技术监督管理局核发的操作证方可上岗，如不符合要求条件，甲方有权提出更换。</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乙方必须顶起对保养以及维修人员进行技术培训并加强劳动服务态度和责任心得教育，严防责任事故的发生，定期对机房所有设备等进行全面的检查维护，保证电梯的24小时正常运行和设备全好，发生故障及时处理维修。</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乙方维修保养人员应保证工作质量，不得发生擅自停梯现象，做到文明、安全、热情服务。</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保养作业人员必须对每台承包电梯每15天进行保养一次。</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lang w:eastAsia="zh-CN"/>
          <w14:textFill>
            <w14:solidFill>
              <w14:schemeClr w14:val="tx1"/>
            </w14:solidFill>
          </w14:textFill>
        </w:rPr>
        <w:t>）配合甲方做好电梯日巡检、周排查、月调度工作。</w:t>
      </w:r>
    </w:p>
    <w:p>
      <w:pPr>
        <w:widowControl/>
        <w:numPr>
          <w:ilvl w:val="0"/>
          <w:numId w:val="0"/>
        </w:numPr>
        <w:autoSpaceDE w:val="0"/>
        <w:autoSpaceDN w:val="0"/>
        <w:spacing w:line="240" w:lineRule="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2、维保监督：</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）乙方</w:t>
      </w:r>
      <w:r>
        <w:rPr>
          <w:rFonts w:hint="eastAsia" w:ascii="仿宋" w:hAnsi="仿宋" w:eastAsia="仿宋" w:cs="仿宋"/>
          <w:color w:val="000000" w:themeColor="text1"/>
          <w:sz w:val="24"/>
          <w:szCs w:val="24"/>
          <w:highlight w:val="none"/>
          <w14:textFill>
            <w14:solidFill>
              <w14:schemeClr w14:val="tx1"/>
            </w14:solidFill>
          </w14:textFill>
        </w:rPr>
        <w:t>负责</w:t>
      </w:r>
      <w:r>
        <w:rPr>
          <w:rFonts w:hint="eastAsia" w:ascii="仿宋" w:hAnsi="仿宋" w:eastAsia="仿宋" w:cs="仿宋"/>
          <w:color w:val="000000" w:themeColor="text1"/>
          <w:sz w:val="24"/>
          <w:szCs w:val="24"/>
          <w:highlight w:val="none"/>
          <w:shd w:val="pct10" w:color="auto" w:fill="FFFFFF"/>
          <w:lang w:val="en-US" w:eastAsia="zh-CN"/>
          <w14:textFill>
            <w14:solidFill>
              <w14:schemeClr w14:val="tx1"/>
            </w14:solidFill>
          </w14:textFill>
        </w:rPr>
        <w:t>1000</w:t>
      </w:r>
      <w:r>
        <w:rPr>
          <w:rFonts w:hint="eastAsia" w:ascii="仿宋" w:hAnsi="仿宋" w:eastAsia="仿宋" w:cs="仿宋"/>
          <w:color w:val="000000" w:themeColor="text1"/>
          <w:sz w:val="24"/>
          <w:szCs w:val="24"/>
          <w:highlight w:val="none"/>
          <w14:textFill>
            <w14:solidFill>
              <w14:schemeClr w14:val="tx1"/>
            </w14:solidFill>
          </w14:textFill>
        </w:rPr>
        <w:t>元及其以下的元器件、配件</w:t>
      </w:r>
      <w:r>
        <w:rPr>
          <w:rFonts w:hint="eastAsia" w:ascii="仿宋" w:hAnsi="仿宋" w:eastAsia="仿宋" w:cs="仿宋"/>
          <w:color w:val="000000" w:themeColor="text1"/>
          <w:sz w:val="24"/>
          <w:szCs w:val="24"/>
          <w:highlight w:val="none"/>
          <w:lang w:eastAsia="zh-CN"/>
          <w14:textFill>
            <w14:solidFill>
              <w14:schemeClr w14:val="tx1"/>
            </w14:solidFill>
          </w14:textFill>
        </w:rPr>
        <w:t>更换</w:t>
      </w:r>
      <w:r>
        <w:rPr>
          <w:rFonts w:hint="eastAsia" w:ascii="仿宋" w:hAnsi="仿宋" w:eastAsia="仿宋" w:cs="仿宋"/>
          <w:color w:val="000000" w:themeColor="text1"/>
          <w:sz w:val="24"/>
          <w:szCs w:val="24"/>
          <w:highlight w:val="none"/>
          <w14:textFill>
            <w14:solidFill>
              <w14:schemeClr w14:val="tx1"/>
            </w14:solidFill>
          </w14:textFill>
        </w:rPr>
        <w:t>费用。</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配合政府部门对服务期内的设备实施年检，对保养不当而产生的整改项目进行免费整改。</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）乙方接到甲方电梯报修后，驻场人员应</w:t>
      </w:r>
      <w:r>
        <w:rPr>
          <w:rFonts w:hint="eastAsia" w:ascii="仿宋" w:hAnsi="仿宋" w:eastAsia="仿宋" w:cs="仿宋"/>
          <w:color w:val="000000" w:themeColor="text1"/>
          <w:sz w:val="24"/>
          <w:szCs w:val="24"/>
          <w:highlight w:val="none"/>
          <w:lang w:val="en-US" w:eastAsia="zh-CN"/>
          <w14:textFill>
            <w14:solidFill>
              <w14:schemeClr w14:val="tx1"/>
            </w14:solidFill>
          </w14:textFill>
        </w:rPr>
        <w:t>10分钟内到达现场进行处置。一般故障30分钟内维修完成；重大故障4小时内维修完成；如需更换重要配件，12小时内维修完成。</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（4）电梯出现困人事件，驻场维修人员应20分钟内处置完成，并对故障电梯进行彻底系统检查，出具故障报告。</w:t>
      </w:r>
    </w:p>
    <w:p>
      <w:pPr>
        <w:widowControl/>
        <w:numPr>
          <w:ilvl w:val="0"/>
          <w:numId w:val="0"/>
        </w:numPr>
        <w:autoSpaceDE w:val="0"/>
        <w:autoSpaceDN w:val="0"/>
        <w:spacing w:line="24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（5）对于甲方提出的电梯安全隐患，一般隐患应与当日整改，重大隐患一周内进行整改完成。</w:t>
      </w:r>
    </w:p>
    <w:p>
      <w:pPr>
        <w:widowControl/>
        <w:numPr>
          <w:ilvl w:val="0"/>
          <w:numId w:val="0"/>
        </w:numPr>
        <w:autoSpaceDE w:val="0"/>
        <w:autoSpaceDN w:val="0"/>
        <w:spacing w:line="240" w:lineRule="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3、处罚：</w:t>
      </w:r>
    </w:p>
    <w:p>
      <w:pPr>
        <w:widowControl/>
        <w:numPr>
          <w:ilvl w:val="0"/>
          <w:numId w:val="0"/>
        </w:numPr>
        <w:autoSpaceDE w:val="0"/>
        <w:autoSpaceDN w:val="0"/>
        <w:spacing w:line="240" w:lineRule="auto"/>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kern w:val="2"/>
          <w:sz w:val="24"/>
          <w:szCs w:val="24"/>
          <w:lang w:val="en-US" w:eastAsia="zh-CN" w:bidi="ar"/>
        </w:rPr>
        <w:t>甲方对乙方监督、检查、指导的过程中，甲方有权下发整改通知单，要求乙方对检查出的各类安全隐患问题进行整改，乙方应在整改期限内完成，未按时完成整改的，甲方有权视隐患严重程度对乙方酌定处罚，每项安全隐患处罚500--1000元，总罚款金额以实际隐患数为准，不设上限。多次（三次及以上）出现安全隐患未及时整改的问题，处罚加倍。甲方有权对检查中发现的严重安全隐患（甲方享有解释权）对乙方进行直接处罚，视隐患严重程度每项罚金额1000—10000元。</w:t>
      </w:r>
    </w:p>
    <w:p>
      <w:pPr>
        <w:keepNext w:val="0"/>
        <w:keepLines w:val="0"/>
        <w:widowControl w:val="0"/>
        <w:suppressLineNumbers w:val="0"/>
        <w:spacing w:before="0" w:beforeAutospacing="0" w:after="0" w:afterAutospacing="0" w:line="240" w:lineRule="auto"/>
        <w:ind w:right="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kern w:val="2"/>
          <w:sz w:val="24"/>
          <w:szCs w:val="24"/>
          <w:lang w:val="en-US" w:eastAsia="zh-CN" w:bidi="ar"/>
        </w:rPr>
        <w:t>（2）乙方因维护保养或电梯故障而因此被投诉的，每次投诉罚扣500元。</w:t>
      </w:r>
      <w:r>
        <w:rPr>
          <w:rFonts w:hint="eastAsia" w:ascii="仿宋" w:hAnsi="仿宋" w:eastAsia="仿宋" w:cs="仿宋"/>
          <w:color w:val="000000" w:themeColor="text1"/>
          <w:sz w:val="24"/>
          <w:szCs w:val="24"/>
          <w:highlight w:val="none"/>
          <w:lang w:val="en-US" w:eastAsia="zh-CN"/>
          <w14:textFill>
            <w14:solidFill>
              <w14:schemeClr w14:val="tx1"/>
            </w14:solidFill>
          </w14:textFill>
        </w:rPr>
        <w:t>电梯因故障或维保人员从操作不当引起的人员伤害，乙方应付全部责任。</w:t>
      </w:r>
    </w:p>
    <w:p>
      <w:pPr>
        <w:keepNext w:val="0"/>
        <w:keepLines w:val="0"/>
        <w:widowControl w:val="0"/>
        <w:suppressLineNumbers w:val="0"/>
        <w:spacing w:before="0" w:beforeAutospacing="0" w:after="0" w:afterAutospacing="0" w:line="240" w:lineRule="auto"/>
        <w:ind w:right="0"/>
        <w:jc w:val="both"/>
        <w:rPr>
          <w:rFonts w:hint="eastAsia" w:ascii="仿宋" w:hAnsi="仿宋" w:eastAsia="仿宋" w:cs="仿宋"/>
          <w:b w:val="0"/>
          <w:bCs w:val="0"/>
          <w:color w:val="000000"/>
          <w:kern w:val="2"/>
          <w:sz w:val="24"/>
          <w:szCs w:val="24"/>
          <w:lang w:val="en-US" w:eastAsia="zh-CN" w:bidi="ar"/>
        </w:rPr>
      </w:pPr>
      <w:r>
        <w:rPr>
          <w:rFonts w:hint="eastAsia" w:ascii="仿宋" w:hAnsi="仿宋" w:eastAsia="仿宋" w:cs="仿宋"/>
          <w:b w:val="0"/>
          <w:bCs w:val="0"/>
          <w:color w:val="000000"/>
          <w:kern w:val="2"/>
          <w:sz w:val="24"/>
          <w:szCs w:val="24"/>
          <w:lang w:val="en-US" w:eastAsia="zh-CN" w:bidi="ar"/>
        </w:rPr>
        <w:t>（3）因乙方原因造成的各类安全生产事故或事件，给甲方造成人员、财产、名誉损失的，应由乙方承担所有后果和责任，并赔偿甲方及第三方所有损失，如涉嫌违法犯罪的，甲方有权移送司法机关处理。乙方上述行为严重、屡教不改或涉嫌违法犯罪的，甲方可将乙方列入安全管理黑名单及有权无责终止与乙方的合作。</w:t>
      </w:r>
    </w:p>
    <w:p>
      <w:pPr>
        <w:spacing w:line="24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（4）甲方有权依据上述一项或多项条款对乙方进行处罚，如甲方依据多项条款对乙方进行处罚的，罚款金额累计叠加计算。</w:t>
      </w:r>
    </w:p>
    <w:p>
      <w:pPr>
        <w:pStyle w:val="2"/>
        <w:spacing w:line="240" w:lineRule="auto"/>
        <w:rPr>
          <w:rFonts w:hint="eastAsia" w:ascii="仿宋" w:hAnsi="仿宋" w:eastAsia="仿宋" w:cs="仿宋"/>
          <w:lang w:val="en-US" w:eastAsia="zh-CN"/>
        </w:rPr>
      </w:pPr>
    </w:p>
    <w:p>
      <w:pPr>
        <w:widowControl/>
        <w:numPr>
          <w:ilvl w:val="0"/>
          <w:numId w:val="0"/>
        </w:numPr>
        <w:autoSpaceDE w:val="0"/>
        <w:autoSpaceDN w:val="0"/>
        <w:spacing w:line="240" w:lineRule="auto"/>
        <w:ind w:leftChars="0"/>
        <w:rPr>
          <w:rFonts w:hint="eastAsia" w:ascii="仿宋" w:hAnsi="仿宋" w:eastAsia="仿宋" w:cs="仿宋"/>
          <w:b/>
          <w:bCs w:val="0"/>
          <w:snapToGrid w:val="0"/>
          <w:kern w:val="21"/>
          <w:sz w:val="24"/>
          <w:szCs w:val="24"/>
          <w:lang w:val="en-US" w:eastAsia="zh-CN"/>
        </w:rPr>
      </w:pPr>
    </w:p>
    <w:p>
      <w:pPr>
        <w:widowControl/>
        <w:numPr>
          <w:ilvl w:val="0"/>
          <w:numId w:val="0"/>
        </w:numPr>
        <w:autoSpaceDE w:val="0"/>
        <w:autoSpaceDN w:val="0"/>
        <w:spacing w:line="240" w:lineRule="auto"/>
        <w:ind w:leftChars="0"/>
        <w:rPr>
          <w:rFonts w:hint="eastAsia" w:ascii="仿宋" w:hAnsi="仿宋" w:eastAsia="仿宋" w:cs="仿宋"/>
          <w:b/>
          <w:bCs w:val="0"/>
          <w:snapToGrid w:val="0"/>
          <w:kern w:val="21"/>
          <w:sz w:val="24"/>
          <w:szCs w:val="24"/>
          <w:lang w:val="en-US" w:eastAsia="zh-CN"/>
        </w:rPr>
      </w:pPr>
    </w:p>
    <w:p>
      <w:pPr>
        <w:widowControl/>
        <w:numPr>
          <w:ilvl w:val="0"/>
          <w:numId w:val="0"/>
        </w:numPr>
        <w:autoSpaceDE w:val="0"/>
        <w:autoSpaceDN w:val="0"/>
        <w:spacing w:line="240" w:lineRule="auto"/>
        <w:ind w:leftChars="0"/>
        <w:rPr>
          <w:rFonts w:hint="eastAsia" w:ascii="仿宋" w:hAnsi="仿宋" w:eastAsia="仿宋" w:cs="仿宋"/>
          <w:b/>
          <w:bCs w:val="0"/>
          <w:snapToGrid w:val="0"/>
          <w:kern w:val="21"/>
          <w:sz w:val="24"/>
          <w:szCs w:val="24"/>
          <w:lang w:val="en-US" w:eastAsia="zh-CN"/>
        </w:rPr>
      </w:pPr>
      <w:r>
        <w:rPr>
          <w:rFonts w:hint="eastAsia" w:ascii="仿宋" w:hAnsi="仿宋" w:eastAsia="仿宋" w:cs="仿宋"/>
          <w:b/>
          <w:bCs w:val="0"/>
          <w:snapToGrid w:val="0"/>
          <w:kern w:val="21"/>
          <w:sz w:val="24"/>
          <w:szCs w:val="24"/>
          <w:lang w:val="en-US" w:eastAsia="zh-CN"/>
        </w:rPr>
        <w:t>四、评分标准</w:t>
      </w:r>
    </w:p>
    <w:p>
      <w:pPr>
        <w:shd w:val="clear"/>
        <w:spacing w:line="240" w:lineRule="auto"/>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综合评分法，</w:t>
      </w:r>
      <w:r>
        <w:rPr>
          <w:rFonts w:hint="eastAsia" w:ascii="仿宋" w:hAnsi="仿宋" w:eastAsia="仿宋" w:cs="仿宋"/>
          <w:color w:val="auto"/>
          <w:sz w:val="24"/>
          <w:szCs w:val="24"/>
          <w:highlight w:val="none"/>
        </w:rPr>
        <w:t>采用百分制，满分为100分。</w:t>
      </w:r>
    </w:p>
    <w:tbl>
      <w:tblPr>
        <w:tblStyle w:val="4"/>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341"/>
        <w:gridCol w:w="1420"/>
        <w:gridCol w:w="5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34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14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560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141"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shd w:val="clear" w:fill="8EAADB" w:themeFill="accent5" w:themeFillTint="99"/>
              </w:rPr>
              <w:t>投标报价：</w:t>
            </w:r>
            <w:r>
              <w:rPr>
                <w:rFonts w:hint="eastAsia" w:ascii="仿宋" w:hAnsi="仿宋" w:eastAsia="仿宋" w:cs="仿宋"/>
                <w:b/>
                <w:color w:val="auto"/>
                <w:sz w:val="24"/>
                <w:szCs w:val="24"/>
                <w:highlight w:val="none"/>
                <w:shd w:val="clear" w:fill="8EAADB" w:themeFill="accent5" w:themeFillTint="99"/>
                <w:lang w:val="en-US" w:eastAsia="zh-CN"/>
              </w:rPr>
              <w:t>30</w:t>
            </w:r>
            <w:r>
              <w:rPr>
                <w:rFonts w:hint="eastAsia" w:ascii="仿宋" w:hAnsi="仿宋" w:eastAsia="仿宋" w:cs="仿宋"/>
                <w:b/>
                <w:color w:val="auto"/>
                <w:sz w:val="24"/>
                <w:szCs w:val="24"/>
                <w:highlight w:val="none"/>
                <w:shd w:val="clear" w:fill="8EAADB" w:themeFill="accent5" w:themeFillTint="99"/>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4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w:t>
            </w:r>
          </w:p>
        </w:tc>
        <w:tc>
          <w:tcPr>
            <w:tcW w:w="14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560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满足招标文件要求且投标价格最低的投标报价为评标基准价，其价格分为满分。其他投标人的价格分统一按照下列公式计算：投标报价得分=(评标基准价／投标报价)×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141"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bottom"/>
          </w:tcPr>
          <w:p>
            <w:pPr>
              <w:shd w:val="clear"/>
              <w:spacing w:line="24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shd w:val="clear" w:fill="8EAADB" w:themeFill="accent5" w:themeFillTint="99"/>
              </w:rPr>
              <w:t>商务：</w:t>
            </w:r>
            <w:r>
              <w:rPr>
                <w:rFonts w:hint="eastAsia" w:ascii="仿宋" w:hAnsi="仿宋" w:eastAsia="仿宋" w:cs="仿宋"/>
                <w:b/>
                <w:color w:val="auto"/>
                <w:sz w:val="24"/>
                <w:szCs w:val="24"/>
                <w:highlight w:val="none"/>
                <w:shd w:val="clear" w:fill="8EAADB" w:themeFill="accent5" w:themeFillTint="99"/>
                <w:lang w:val="en-US" w:eastAsia="zh-CN"/>
              </w:rPr>
              <w:t>15</w:t>
            </w:r>
            <w:r>
              <w:rPr>
                <w:rFonts w:hint="eastAsia" w:ascii="仿宋" w:hAnsi="仿宋" w:eastAsia="仿宋" w:cs="仿宋"/>
                <w:b/>
                <w:color w:val="auto"/>
                <w:sz w:val="24"/>
                <w:szCs w:val="24"/>
                <w:highlight w:val="none"/>
                <w:shd w:val="clear" w:fill="8EAADB" w:themeFill="accent5" w:themeFillTint="99"/>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4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w:t>
            </w:r>
          </w:p>
        </w:tc>
        <w:tc>
          <w:tcPr>
            <w:tcW w:w="14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p>
        </w:tc>
        <w:tc>
          <w:tcPr>
            <w:tcW w:w="560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具有质量管理、环境管理、职业健康安全管理认证，每个得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jc w:val="center"/>
              <w:rPr>
                <w:rFonts w:hint="eastAsia" w:ascii="仿宋" w:hAnsi="仿宋" w:eastAsia="仿宋" w:cs="仿宋"/>
                <w:color w:val="auto"/>
                <w:sz w:val="24"/>
                <w:szCs w:val="24"/>
                <w:highlight w:val="none"/>
              </w:rPr>
            </w:pPr>
          </w:p>
        </w:tc>
        <w:tc>
          <w:tcPr>
            <w:tcW w:w="134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p>
        </w:tc>
        <w:tc>
          <w:tcPr>
            <w:tcW w:w="14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jc w:val="center"/>
              <w:rPr>
                <w:rFonts w:hint="eastAsia" w:ascii="仿宋" w:hAnsi="仿宋" w:eastAsia="仿宋" w:cs="仿宋"/>
                <w:color w:val="auto"/>
                <w:sz w:val="24"/>
                <w:szCs w:val="24"/>
                <w:highlight w:val="none"/>
              </w:rPr>
            </w:pPr>
          </w:p>
        </w:tc>
        <w:tc>
          <w:tcPr>
            <w:tcW w:w="560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具有企业信用等级证书，有得3分，没有不得分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4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同类项目业绩</w:t>
            </w:r>
          </w:p>
        </w:tc>
        <w:tc>
          <w:tcPr>
            <w:tcW w:w="14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6分</w:t>
            </w:r>
          </w:p>
        </w:tc>
        <w:tc>
          <w:tcPr>
            <w:tcW w:w="560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年1月1日至投标截止日期，投标人具有</w:t>
            </w:r>
            <w:r>
              <w:rPr>
                <w:rFonts w:hint="eastAsia" w:ascii="仿宋" w:hAnsi="仿宋" w:eastAsia="仿宋" w:cs="仿宋"/>
                <w:color w:val="auto"/>
                <w:sz w:val="24"/>
                <w:szCs w:val="24"/>
                <w:highlight w:val="none"/>
                <w:lang w:eastAsia="zh-CN"/>
              </w:rPr>
              <w:t>同</w:t>
            </w:r>
            <w:r>
              <w:rPr>
                <w:rFonts w:hint="eastAsia" w:ascii="仿宋" w:hAnsi="仿宋" w:eastAsia="仿宋" w:cs="仿宋"/>
                <w:color w:val="auto"/>
                <w:sz w:val="24"/>
                <w:szCs w:val="24"/>
                <w:highlight w:val="none"/>
              </w:rPr>
              <w:t>类</w:t>
            </w:r>
            <w:r>
              <w:rPr>
                <w:rFonts w:hint="eastAsia" w:ascii="仿宋" w:hAnsi="仿宋" w:eastAsia="仿宋" w:cs="仿宋"/>
                <w:color w:val="auto"/>
                <w:sz w:val="24"/>
                <w:szCs w:val="24"/>
                <w:highlight w:val="none"/>
                <w:lang w:eastAsia="zh-CN"/>
              </w:rPr>
              <w:t>医院维修维保</w:t>
            </w:r>
            <w:r>
              <w:rPr>
                <w:rFonts w:hint="eastAsia" w:ascii="仿宋" w:hAnsi="仿宋" w:eastAsia="仿宋" w:cs="仿宋"/>
                <w:color w:val="auto"/>
                <w:sz w:val="24"/>
                <w:szCs w:val="24"/>
                <w:highlight w:val="none"/>
              </w:rPr>
              <w:t>业绩：每例得2分，最多不超过6分。</w:t>
            </w:r>
          </w:p>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业绩以提供的合同为准，要求必须提供与最终用户签订的合同首页、合同金额所在页、签字盖章页及相关合同内容证明页复印件作为证明。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141"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bottom"/>
          </w:tcPr>
          <w:p>
            <w:pPr>
              <w:shd w:val="clea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shd w:val="clear" w:fill="8EAADB" w:themeFill="accent5" w:themeFillTint="99"/>
                <w:lang w:val="en-US" w:eastAsia="zh-CN"/>
              </w:rPr>
              <w:t>服务部分</w:t>
            </w:r>
            <w:r>
              <w:rPr>
                <w:rFonts w:hint="eastAsia" w:ascii="仿宋" w:hAnsi="仿宋" w:eastAsia="仿宋" w:cs="仿宋"/>
                <w:b/>
                <w:color w:val="auto"/>
                <w:sz w:val="24"/>
                <w:szCs w:val="24"/>
                <w:highlight w:val="none"/>
                <w:shd w:val="clear" w:fill="8EAADB" w:themeFill="accent5" w:themeFillTint="99"/>
              </w:rPr>
              <w:t>：</w:t>
            </w:r>
            <w:r>
              <w:rPr>
                <w:rFonts w:hint="eastAsia" w:ascii="仿宋" w:hAnsi="仿宋" w:eastAsia="仿宋" w:cs="仿宋"/>
                <w:b/>
                <w:color w:val="auto"/>
                <w:sz w:val="24"/>
                <w:szCs w:val="24"/>
                <w:highlight w:val="none"/>
                <w:shd w:val="clear" w:fill="8EAADB" w:themeFill="accent5" w:themeFillTint="99"/>
                <w:lang w:val="en-US" w:eastAsia="zh-CN"/>
              </w:rPr>
              <w:t>29.8</w:t>
            </w:r>
            <w:r>
              <w:rPr>
                <w:rFonts w:hint="eastAsia" w:ascii="仿宋" w:hAnsi="仿宋" w:eastAsia="仿宋" w:cs="仿宋"/>
                <w:b/>
                <w:color w:val="auto"/>
                <w:sz w:val="24"/>
                <w:szCs w:val="24"/>
                <w:highlight w:val="none"/>
                <w:shd w:val="clear" w:fill="8EAADB" w:themeFill="accent5" w:themeFillTint="99"/>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4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服务部分</w:t>
            </w:r>
          </w:p>
        </w:tc>
        <w:tc>
          <w:tcPr>
            <w:tcW w:w="14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维保服务方案（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560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提供的服务方案、服务计划、项目维护方案（维修响应时间、技术支持等）</w:t>
            </w:r>
          </w:p>
          <w:p>
            <w:pPr>
              <w:numPr>
                <w:ilvl w:val="0"/>
                <w:numId w:val="18"/>
              </w:num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服务方案合理，服务计划可行，维护方案完备、实用、全面得</w:t>
            </w:r>
            <w:r>
              <w:rPr>
                <w:rFonts w:hint="eastAsia" w:ascii="仿宋" w:hAnsi="仿宋" w:eastAsia="仿宋" w:cs="仿宋"/>
                <w:color w:val="auto"/>
                <w:sz w:val="24"/>
                <w:szCs w:val="24"/>
                <w:highlight w:val="none"/>
                <w:lang w:val="en-US" w:eastAsia="zh-CN"/>
              </w:rPr>
              <w:t>8-10</w:t>
            </w:r>
            <w:r>
              <w:rPr>
                <w:rFonts w:hint="eastAsia" w:ascii="仿宋" w:hAnsi="仿宋" w:eastAsia="仿宋" w:cs="仿宋"/>
                <w:color w:val="auto"/>
                <w:sz w:val="24"/>
                <w:szCs w:val="24"/>
                <w:highlight w:val="none"/>
              </w:rPr>
              <w:t>分；</w:t>
            </w:r>
          </w:p>
          <w:p>
            <w:pPr>
              <w:numPr>
                <w:ilvl w:val="0"/>
                <w:numId w:val="18"/>
              </w:num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服务方案比较合理，服务计划比较可行，维护方案比较完备、实用、全面得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p>
            <w:pPr>
              <w:numPr>
                <w:ilvl w:val="0"/>
                <w:numId w:val="18"/>
              </w:num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服务方案基本合理，服务计划基本可行，维护方案基本完备、实用、全面得1-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4、服务方案不合理、服务计划不可行，维护方案混乱的不得分。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p>
        </w:tc>
        <w:tc>
          <w:tcPr>
            <w:tcW w:w="134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p>
        </w:tc>
        <w:tc>
          <w:tcPr>
            <w:tcW w:w="14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人员配备</w:t>
            </w:r>
          </w:p>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560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项目团队能力（人员分配、人员的专业技术能力）</w:t>
            </w:r>
          </w:p>
          <w:p>
            <w:pPr>
              <w:numPr>
                <w:ilvl w:val="0"/>
                <w:numId w:val="19"/>
              </w:num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人数充足，分配合理、实力强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具有五年及以上电梯维保相关管理工作经验、拟投入本项目的项目负责人具有机电或电气或机械相关专业高级职称</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4-5</w:t>
            </w:r>
            <w:r>
              <w:rPr>
                <w:rFonts w:hint="eastAsia" w:ascii="仿宋" w:hAnsi="仿宋" w:eastAsia="仿宋" w:cs="仿宋"/>
                <w:color w:val="auto"/>
                <w:sz w:val="24"/>
                <w:szCs w:val="24"/>
                <w:highlight w:val="none"/>
              </w:rPr>
              <w:t>分</w:t>
            </w:r>
          </w:p>
          <w:p>
            <w:pPr>
              <w:numPr>
                <w:ilvl w:val="0"/>
                <w:numId w:val="19"/>
              </w:num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人员基本满足，专业技术能力强、</w:t>
            </w:r>
            <w:r>
              <w:rPr>
                <w:rFonts w:hint="eastAsia" w:ascii="仿宋" w:hAnsi="仿宋" w:eastAsia="仿宋" w:cs="仿宋"/>
                <w:color w:val="auto"/>
                <w:sz w:val="24"/>
                <w:szCs w:val="24"/>
                <w:highlight w:val="none"/>
                <w:lang w:val="en-US" w:eastAsia="zh-CN"/>
              </w:rPr>
              <w:t>具有五年及以上电梯维保相关管理工作经验</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2-3分</w:t>
            </w:r>
          </w:p>
          <w:p>
            <w:pPr>
              <w:numPr>
                <w:ilvl w:val="0"/>
                <w:numId w:val="19"/>
              </w:num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人数不足，水平欠缺0-</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7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p>
        </w:tc>
        <w:tc>
          <w:tcPr>
            <w:tcW w:w="134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p>
        </w:tc>
        <w:tc>
          <w:tcPr>
            <w:tcW w:w="14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备品备件（5分）</w:t>
            </w:r>
          </w:p>
        </w:tc>
        <w:tc>
          <w:tcPr>
            <w:tcW w:w="560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提供产品的备品备件（附清单）完全满足得5分、三分之二以上满足得3分、半数以下满足得1分，其他不得分。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p>
        </w:tc>
        <w:tc>
          <w:tcPr>
            <w:tcW w:w="134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p>
        </w:tc>
        <w:tc>
          <w:tcPr>
            <w:tcW w:w="14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应急预案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5分</w:t>
            </w:r>
            <w:r>
              <w:rPr>
                <w:rFonts w:hint="eastAsia" w:ascii="仿宋" w:hAnsi="仿宋" w:eastAsia="仿宋" w:cs="仿宋"/>
                <w:sz w:val="24"/>
                <w:szCs w:val="24"/>
                <w:lang w:eastAsia="zh-CN"/>
              </w:rPr>
              <w:t>）</w:t>
            </w:r>
          </w:p>
        </w:tc>
        <w:tc>
          <w:tcPr>
            <w:tcW w:w="560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line="240" w:lineRule="auto"/>
              <w:rPr>
                <w:rFonts w:hint="eastAsia" w:ascii="仿宋" w:hAnsi="仿宋" w:eastAsia="仿宋" w:cs="仿宋"/>
                <w:sz w:val="24"/>
                <w:szCs w:val="24"/>
              </w:rPr>
            </w:pPr>
            <w:r>
              <w:rPr>
                <w:rFonts w:hint="eastAsia" w:ascii="仿宋" w:hAnsi="仿宋" w:eastAsia="仿宋" w:cs="仿宋"/>
                <w:sz w:val="24"/>
                <w:szCs w:val="24"/>
              </w:rPr>
              <w:t>包括但不限于1.抢修、急修的服务和设备方案；2.接到报修故障后迅速到达维护方案；3.提供维保作业流程</w:t>
            </w:r>
            <w:r>
              <w:rPr>
                <w:rFonts w:hint="eastAsia" w:ascii="仿宋" w:hAnsi="仿宋" w:eastAsia="仿宋" w:cs="仿宋"/>
                <w:sz w:val="24"/>
                <w:szCs w:val="24"/>
                <w:lang w:eastAsia="zh-CN"/>
              </w:rPr>
              <w:t>，</w:t>
            </w:r>
            <w:r>
              <w:rPr>
                <w:rFonts w:hint="eastAsia" w:ascii="仿宋" w:hAnsi="仿宋" w:eastAsia="仿宋" w:cs="仿宋"/>
                <w:sz w:val="24"/>
                <w:szCs w:val="24"/>
              </w:rPr>
              <w:t>针对以上</w:t>
            </w:r>
            <w:r>
              <w:rPr>
                <w:rFonts w:hint="eastAsia" w:ascii="仿宋" w:hAnsi="仿宋" w:eastAsia="仿宋" w:cs="仿宋"/>
                <w:sz w:val="24"/>
                <w:szCs w:val="24"/>
                <w:lang w:val="en-US" w:eastAsia="zh-CN"/>
              </w:rPr>
              <w:t>3</w:t>
            </w:r>
            <w:r>
              <w:rPr>
                <w:rFonts w:hint="eastAsia" w:ascii="仿宋" w:hAnsi="仿宋" w:eastAsia="仿宋" w:cs="仿宋"/>
                <w:sz w:val="24"/>
                <w:szCs w:val="24"/>
              </w:rPr>
              <w:t>项内容的每一项方案进行评审：</w:t>
            </w:r>
          </w:p>
          <w:p>
            <w:pPr>
              <w:spacing w:line="240" w:lineRule="auto"/>
              <w:rPr>
                <w:rFonts w:hint="eastAsia" w:ascii="仿宋" w:hAnsi="仿宋" w:eastAsia="仿宋" w:cs="仿宋"/>
                <w:sz w:val="24"/>
                <w:szCs w:val="24"/>
              </w:rPr>
            </w:pPr>
            <w:r>
              <w:rPr>
                <w:rFonts w:hint="eastAsia" w:ascii="仿宋" w:hAnsi="仿宋" w:eastAsia="仿宋" w:cs="仿宋"/>
                <w:sz w:val="24"/>
                <w:szCs w:val="24"/>
              </w:rPr>
              <w:t>1）提供方案内容均进行详细阐述且满足采购需求，得</w:t>
            </w:r>
            <w:r>
              <w:rPr>
                <w:rFonts w:hint="eastAsia" w:ascii="仿宋" w:hAnsi="仿宋" w:eastAsia="仿宋" w:cs="仿宋"/>
                <w:sz w:val="24"/>
                <w:szCs w:val="24"/>
                <w:lang w:val="en-US" w:eastAsia="zh-CN"/>
              </w:rPr>
              <w:t>4-5</w:t>
            </w:r>
            <w:r>
              <w:rPr>
                <w:rFonts w:hint="eastAsia" w:ascii="仿宋" w:hAnsi="仿宋" w:eastAsia="仿宋" w:cs="仿宋"/>
                <w:sz w:val="24"/>
                <w:szCs w:val="24"/>
              </w:rPr>
              <w:t xml:space="preserve">分； </w:t>
            </w:r>
          </w:p>
          <w:p>
            <w:pPr>
              <w:spacing w:line="240" w:lineRule="auto"/>
              <w:rPr>
                <w:rFonts w:hint="eastAsia" w:ascii="仿宋" w:hAnsi="仿宋" w:eastAsia="仿宋" w:cs="仿宋"/>
                <w:sz w:val="24"/>
                <w:szCs w:val="24"/>
              </w:rPr>
            </w:pPr>
            <w:r>
              <w:rPr>
                <w:rFonts w:hint="eastAsia" w:ascii="仿宋" w:hAnsi="仿宋" w:eastAsia="仿宋" w:cs="仿宋"/>
                <w:sz w:val="24"/>
                <w:szCs w:val="24"/>
              </w:rPr>
              <w:t>2）提供相关方案但未贴合项目实际情况进行论述，或内容中未包括具体实施细节及措施，得</w:t>
            </w:r>
            <w:r>
              <w:rPr>
                <w:rFonts w:hint="eastAsia" w:ascii="仿宋" w:hAnsi="仿宋" w:eastAsia="仿宋" w:cs="仿宋"/>
                <w:sz w:val="24"/>
                <w:szCs w:val="24"/>
                <w:lang w:val="en-US" w:eastAsia="zh-CN"/>
              </w:rPr>
              <w:t>2-3</w:t>
            </w:r>
            <w:r>
              <w:rPr>
                <w:rFonts w:hint="eastAsia" w:ascii="仿宋" w:hAnsi="仿宋" w:eastAsia="仿宋" w:cs="仿宋"/>
                <w:sz w:val="24"/>
                <w:szCs w:val="24"/>
              </w:rPr>
              <w:t xml:space="preserve">分； </w:t>
            </w:r>
          </w:p>
          <w:p>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3）方案内容不符合项目实际情况且未提供具体实施细节及措施，得</w:t>
            </w:r>
            <w:r>
              <w:rPr>
                <w:rFonts w:hint="eastAsia" w:ascii="仿宋" w:hAnsi="仿宋" w:eastAsia="仿宋" w:cs="仿宋"/>
                <w:sz w:val="24"/>
                <w:szCs w:val="24"/>
                <w:lang w:val="en-US" w:eastAsia="zh-CN"/>
              </w:rPr>
              <w:t>0-1</w:t>
            </w:r>
            <w:r>
              <w:rPr>
                <w:rFonts w:hint="eastAsia" w:ascii="仿宋" w:hAnsi="仿宋" w:eastAsia="仿宋" w:cs="仿宋"/>
                <w:sz w:val="24"/>
                <w:szCs w:val="24"/>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p>
        </w:tc>
        <w:tc>
          <w:tcPr>
            <w:tcW w:w="134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p>
        </w:tc>
        <w:tc>
          <w:tcPr>
            <w:tcW w:w="14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p>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相关承诺（</w:t>
            </w: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分）</w:t>
            </w:r>
          </w:p>
        </w:tc>
        <w:tc>
          <w:tcPr>
            <w:tcW w:w="560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根据投标人的服务方案是否以招标人的利益出发，在保障安全稳定运行的基础上完善服务理念、提高服务质量、规范服务流程和操作以及给予其他</w:t>
            </w:r>
            <w:r>
              <w:rPr>
                <w:rFonts w:hint="eastAsia" w:ascii="仿宋" w:hAnsi="仿宋" w:eastAsia="仿宋" w:cs="仿宋"/>
                <w:color w:val="auto"/>
                <w:sz w:val="24"/>
                <w:szCs w:val="24"/>
                <w:highlight w:val="none"/>
                <w:lang w:eastAsia="zh-CN"/>
              </w:rPr>
              <w:t>增值服务</w:t>
            </w:r>
            <w:r>
              <w:rPr>
                <w:rFonts w:hint="eastAsia" w:ascii="仿宋" w:hAnsi="仿宋" w:eastAsia="仿宋" w:cs="仿宋"/>
                <w:color w:val="auto"/>
                <w:sz w:val="24"/>
                <w:szCs w:val="24"/>
                <w:highlight w:val="none"/>
              </w:rPr>
              <w:t>，较好得</w:t>
            </w:r>
            <w:r>
              <w:rPr>
                <w:rFonts w:hint="eastAsia" w:ascii="仿宋" w:hAnsi="仿宋" w:eastAsia="仿宋" w:cs="仿宋"/>
                <w:color w:val="auto"/>
                <w:sz w:val="24"/>
                <w:szCs w:val="24"/>
                <w:highlight w:val="none"/>
                <w:lang w:val="en-US" w:eastAsia="zh-CN"/>
              </w:rPr>
              <w:t>3.3-4.8</w:t>
            </w:r>
            <w:r>
              <w:rPr>
                <w:rFonts w:hint="eastAsia" w:ascii="仿宋" w:hAnsi="仿宋" w:eastAsia="仿宋" w:cs="仿宋"/>
                <w:color w:val="auto"/>
                <w:sz w:val="24"/>
                <w:szCs w:val="24"/>
                <w:highlight w:val="none"/>
              </w:rPr>
              <w:t>分，一般得</w:t>
            </w:r>
            <w:r>
              <w:rPr>
                <w:rFonts w:hint="eastAsia" w:ascii="仿宋" w:hAnsi="仿宋" w:eastAsia="仿宋" w:cs="仿宋"/>
                <w:color w:val="auto"/>
                <w:sz w:val="24"/>
                <w:szCs w:val="24"/>
                <w:highlight w:val="none"/>
                <w:lang w:val="en-US" w:eastAsia="zh-CN"/>
              </w:rPr>
              <w:t>1.7-3.2</w:t>
            </w:r>
            <w:r>
              <w:rPr>
                <w:rFonts w:hint="eastAsia" w:ascii="仿宋" w:hAnsi="仿宋" w:eastAsia="仿宋" w:cs="仿宋"/>
                <w:color w:val="auto"/>
                <w:sz w:val="24"/>
                <w:szCs w:val="24"/>
                <w:highlight w:val="none"/>
              </w:rPr>
              <w:t>分，较差得</w:t>
            </w:r>
            <w:r>
              <w:rPr>
                <w:rFonts w:hint="eastAsia" w:ascii="仿宋" w:hAnsi="仿宋" w:eastAsia="仿宋" w:cs="仿宋"/>
                <w:color w:val="auto"/>
                <w:sz w:val="24"/>
                <w:szCs w:val="24"/>
                <w:highlight w:val="none"/>
                <w:lang w:val="en-US" w:eastAsia="zh-CN"/>
              </w:rPr>
              <w:t>0-1.6</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141"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shd w:val="clear" w:fill="8EAADB" w:themeFill="accent5" w:themeFillTint="99"/>
                <w:lang w:val="en-US" w:eastAsia="zh-CN"/>
              </w:rPr>
              <w:t>技术部分：25.2分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对技术文件的响应程度</w:t>
            </w:r>
          </w:p>
        </w:tc>
        <w:tc>
          <w:tcPr>
            <w:tcW w:w="702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hd w:val="clea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投标文件的技术规格完全满足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技术需求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中“*”项（21项）</w:t>
            </w:r>
            <w:r>
              <w:rPr>
                <w:rFonts w:hint="eastAsia" w:ascii="仿宋" w:hAnsi="仿宋" w:eastAsia="仿宋" w:cs="仿宋"/>
                <w:color w:val="auto"/>
                <w:sz w:val="24"/>
                <w:szCs w:val="24"/>
                <w:highlight w:val="none"/>
              </w:rPr>
              <w:t>要求得</w:t>
            </w:r>
            <w:r>
              <w:rPr>
                <w:rFonts w:hint="eastAsia" w:ascii="仿宋" w:hAnsi="仿宋" w:eastAsia="仿宋" w:cs="仿宋"/>
                <w:color w:val="auto"/>
                <w:sz w:val="24"/>
                <w:szCs w:val="24"/>
                <w:highlight w:val="none"/>
                <w:lang w:val="en-US" w:eastAsia="zh-CN"/>
              </w:rPr>
              <w:t>25.2</w:t>
            </w:r>
            <w:r>
              <w:rPr>
                <w:rFonts w:hint="eastAsia" w:ascii="仿宋" w:hAnsi="仿宋" w:eastAsia="仿宋" w:cs="仿宋"/>
                <w:color w:val="auto"/>
                <w:sz w:val="24"/>
                <w:szCs w:val="24"/>
                <w:highlight w:val="none"/>
              </w:rPr>
              <w:t>分，每有一项技术指标不满足扣</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9" w:type="dxa"/>
            <w:gridSpan w:val="2"/>
            <w:tcBorders>
              <w:top w:val="single" w:color="auto" w:sz="4" w:space="0"/>
              <w:left w:val="single" w:color="auto" w:sz="4" w:space="0"/>
              <w:bottom w:val="single" w:color="auto" w:sz="4" w:space="0"/>
              <w:right w:val="single" w:color="auto" w:sz="4" w:space="0"/>
              <w:tl2br w:val="nil"/>
              <w:tr2bl w:val="nil"/>
            </w:tcBorders>
            <w:shd w:val="solid" w:color="C0C0C0" w:fill="auto"/>
            <w:noWrap w:val="0"/>
            <w:vAlign w:val="center"/>
          </w:tcPr>
          <w:p>
            <w:pPr>
              <w:shd w:val="clea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合计：</w:t>
            </w:r>
          </w:p>
        </w:tc>
        <w:tc>
          <w:tcPr>
            <w:tcW w:w="7022" w:type="dxa"/>
            <w:gridSpan w:val="2"/>
            <w:tcBorders>
              <w:top w:val="single" w:color="auto" w:sz="4" w:space="0"/>
              <w:left w:val="single" w:color="auto" w:sz="4" w:space="0"/>
              <w:bottom w:val="single" w:color="auto" w:sz="4" w:space="0"/>
              <w:right w:val="single" w:color="auto" w:sz="4" w:space="0"/>
              <w:tl2br w:val="nil"/>
              <w:tr2bl w:val="nil"/>
            </w:tcBorders>
            <w:shd w:val="solid" w:color="C0C0C0" w:fill="auto"/>
            <w:noWrap w:val="0"/>
            <w:vAlign w:val="center"/>
          </w:tcPr>
          <w:p>
            <w:pPr>
              <w:shd w:val="clea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100</w:t>
            </w:r>
          </w:p>
        </w:tc>
      </w:tr>
    </w:tbl>
    <w:p>
      <w:pPr>
        <w:pStyle w:val="3"/>
        <w:numPr>
          <w:ilvl w:val="0"/>
          <w:numId w:val="0"/>
        </w:numPr>
        <w:spacing w:line="240" w:lineRule="auto"/>
        <w:ind w:leftChars="0"/>
        <w:rPr>
          <w:rFonts w:hint="eastAsia" w:ascii="仿宋" w:hAnsi="仿宋" w:eastAsia="仿宋" w:cs="仿宋"/>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CBDC1"/>
    <w:multiLevelType w:val="singleLevel"/>
    <w:tmpl w:val="940CBDC1"/>
    <w:lvl w:ilvl="0" w:tentative="0">
      <w:start w:val="1"/>
      <w:numFmt w:val="decimal"/>
      <w:suff w:val="nothing"/>
      <w:lvlText w:val="%1、"/>
      <w:lvlJc w:val="left"/>
    </w:lvl>
  </w:abstractNum>
  <w:abstractNum w:abstractNumId="1">
    <w:nsid w:val="972A9877"/>
    <w:multiLevelType w:val="singleLevel"/>
    <w:tmpl w:val="972A9877"/>
    <w:lvl w:ilvl="0" w:tentative="0">
      <w:start w:val="1"/>
      <w:numFmt w:val="decimal"/>
      <w:suff w:val="nothing"/>
      <w:lvlText w:val="%1、"/>
      <w:lvlJc w:val="left"/>
    </w:lvl>
  </w:abstractNum>
  <w:abstractNum w:abstractNumId="2">
    <w:nsid w:val="9E3C51A0"/>
    <w:multiLevelType w:val="singleLevel"/>
    <w:tmpl w:val="9E3C51A0"/>
    <w:lvl w:ilvl="0" w:tentative="0">
      <w:start w:val="1"/>
      <w:numFmt w:val="decimal"/>
      <w:suff w:val="nothing"/>
      <w:lvlText w:val="%1、"/>
      <w:lvlJc w:val="left"/>
    </w:lvl>
  </w:abstractNum>
  <w:abstractNum w:abstractNumId="3">
    <w:nsid w:val="9E8B1D0B"/>
    <w:multiLevelType w:val="singleLevel"/>
    <w:tmpl w:val="9E8B1D0B"/>
    <w:lvl w:ilvl="0" w:tentative="0">
      <w:start w:val="1"/>
      <w:numFmt w:val="decimal"/>
      <w:suff w:val="nothing"/>
      <w:lvlText w:val="%1、"/>
      <w:lvlJc w:val="left"/>
    </w:lvl>
  </w:abstractNum>
  <w:abstractNum w:abstractNumId="4">
    <w:nsid w:val="B3357486"/>
    <w:multiLevelType w:val="singleLevel"/>
    <w:tmpl w:val="B3357486"/>
    <w:lvl w:ilvl="0" w:tentative="0">
      <w:start w:val="1"/>
      <w:numFmt w:val="decimal"/>
      <w:suff w:val="nothing"/>
      <w:lvlText w:val="%1、"/>
      <w:lvlJc w:val="left"/>
    </w:lvl>
  </w:abstractNum>
  <w:abstractNum w:abstractNumId="5">
    <w:nsid w:val="013F4953"/>
    <w:multiLevelType w:val="singleLevel"/>
    <w:tmpl w:val="013F4953"/>
    <w:lvl w:ilvl="0" w:tentative="0">
      <w:start w:val="1"/>
      <w:numFmt w:val="chineseCounting"/>
      <w:suff w:val="nothing"/>
      <w:lvlText w:val="%1、"/>
      <w:lvlJc w:val="left"/>
      <w:rPr>
        <w:rFonts w:hint="eastAsia"/>
      </w:rPr>
    </w:lvl>
  </w:abstractNum>
  <w:abstractNum w:abstractNumId="6">
    <w:nsid w:val="0AE6D669"/>
    <w:multiLevelType w:val="singleLevel"/>
    <w:tmpl w:val="0AE6D669"/>
    <w:lvl w:ilvl="0" w:tentative="0">
      <w:start w:val="1"/>
      <w:numFmt w:val="decimal"/>
      <w:suff w:val="nothing"/>
      <w:lvlText w:val="%1、"/>
      <w:lvlJc w:val="left"/>
    </w:lvl>
  </w:abstractNum>
  <w:abstractNum w:abstractNumId="7">
    <w:nsid w:val="1728B5CF"/>
    <w:multiLevelType w:val="singleLevel"/>
    <w:tmpl w:val="1728B5CF"/>
    <w:lvl w:ilvl="0" w:tentative="0">
      <w:start w:val="1"/>
      <w:numFmt w:val="decimal"/>
      <w:suff w:val="nothing"/>
      <w:lvlText w:val="%1、"/>
      <w:lvlJc w:val="left"/>
      <w:rPr>
        <w:rFonts w:hint="default"/>
        <w:b w:val="0"/>
        <w:bCs w:val="0"/>
      </w:rPr>
    </w:lvl>
  </w:abstractNum>
  <w:abstractNum w:abstractNumId="8">
    <w:nsid w:val="1AB1337F"/>
    <w:multiLevelType w:val="multilevel"/>
    <w:tmpl w:val="1AB1337F"/>
    <w:lvl w:ilvl="0" w:tentative="0">
      <w:start w:val="1"/>
      <w:numFmt w:val="decimal"/>
      <w:lvlText w:val="%1、"/>
      <w:lvlJc w:val="left"/>
      <w:pPr>
        <w:ind w:left="360" w:hanging="36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9">
    <w:nsid w:val="1DA216F0"/>
    <w:multiLevelType w:val="multilevel"/>
    <w:tmpl w:val="1DA216F0"/>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290B1C9E"/>
    <w:multiLevelType w:val="singleLevel"/>
    <w:tmpl w:val="290B1C9E"/>
    <w:lvl w:ilvl="0" w:tentative="0">
      <w:start w:val="1"/>
      <w:numFmt w:val="decimal"/>
      <w:suff w:val="nothing"/>
      <w:lvlText w:val="%1、"/>
      <w:lvlJc w:val="left"/>
    </w:lvl>
  </w:abstractNum>
  <w:abstractNum w:abstractNumId="11">
    <w:nsid w:val="2D82EF02"/>
    <w:multiLevelType w:val="singleLevel"/>
    <w:tmpl w:val="2D82EF02"/>
    <w:lvl w:ilvl="0" w:tentative="0">
      <w:start w:val="1"/>
      <w:numFmt w:val="decimal"/>
      <w:suff w:val="nothing"/>
      <w:lvlText w:val="%1、"/>
      <w:lvlJc w:val="left"/>
    </w:lvl>
  </w:abstractNum>
  <w:abstractNum w:abstractNumId="12">
    <w:nsid w:val="2E32751A"/>
    <w:multiLevelType w:val="singleLevel"/>
    <w:tmpl w:val="2E32751A"/>
    <w:lvl w:ilvl="0" w:tentative="0">
      <w:start w:val="1"/>
      <w:numFmt w:val="decimal"/>
      <w:suff w:val="nothing"/>
      <w:lvlText w:val="%1、"/>
      <w:lvlJc w:val="left"/>
    </w:lvl>
  </w:abstractNum>
  <w:abstractNum w:abstractNumId="13">
    <w:nsid w:val="2F210C90"/>
    <w:multiLevelType w:val="singleLevel"/>
    <w:tmpl w:val="2F210C90"/>
    <w:lvl w:ilvl="0" w:tentative="0">
      <w:start w:val="1"/>
      <w:numFmt w:val="decimal"/>
      <w:suff w:val="nothing"/>
      <w:lvlText w:val="%1、"/>
      <w:lvlJc w:val="left"/>
    </w:lvl>
  </w:abstractNum>
  <w:abstractNum w:abstractNumId="14">
    <w:nsid w:val="46FF8F76"/>
    <w:multiLevelType w:val="singleLevel"/>
    <w:tmpl w:val="46FF8F76"/>
    <w:lvl w:ilvl="0" w:tentative="0">
      <w:start w:val="1"/>
      <w:numFmt w:val="decimal"/>
      <w:suff w:val="nothing"/>
      <w:lvlText w:val="%1、"/>
      <w:lvlJc w:val="left"/>
    </w:lvl>
  </w:abstractNum>
  <w:abstractNum w:abstractNumId="15">
    <w:nsid w:val="4DD2449E"/>
    <w:multiLevelType w:val="multilevel"/>
    <w:tmpl w:val="4DD2449E"/>
    <w:lvl w:ilvl="0" w:tentative="0">
      <w:start w:val="1"/>
      <w:numFmt w:val="decimal"/>
      <w:lvlText w:val="%1、"/>
      <w:lvlJc w:val="left"/>
      <w:pPr>
        <w:ind w:left="360" w:hanging="36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16">
    <w:nsid w:val="5B16C4B0"/>
    <w:multiLevelType w:val="singleLevel"/>
    <w:tmpl w:val="5B16C4B0"/>
    <w:lvl w:ilvl="0" w:tentative="0">
      <w:start w:val="1"/>
      <w:numFmt w:val="decimal"/>
      <w:suff w:val="nothing"/>
      <w:lvlText w:val="%1、"/>
      <w:lvlJc w:val="left"/>
    </w:lvl>
  </w:abstractNum>
  <w:abstractNum w:abstractNumId="17">
    <w:nsid w:val="5B611C90"/>
    <w:multiLevelType w:val="singleLevel"/>
    <w:tmpl w:val="5B611C90"/>
    <w:lvl w:ilvl="0" w:tentative="0">
      <w:start w:val="1"/>
      <w:numFmt w:val="decimal"/>
      <w:suff w:val="nothing"/>
      <w:lvlText w:val="%1、"/>
      <w:lvlJc w:val="left"/>
    </w:lvl>
  </w:abstractNum>
  <w:abstractNum w:abstractNumId="18">
    <w:nsid w:val="66BF3D86"/>
    <w:multiLevelType w:val="singleLevel"/>
    <w:tmpl w:val="66BF3D86"/>
    <w:lvl w:ilvl="0" w:tentative="0">
      <w:start w:val="1"/>
      <w:numFmt w:val="decimal"/>
      <w:suff w:val="nothing"/>
      <w:lvlText w:val="%1、"/>
      <w:lvlJc w:val="left"/>
    </w:lvl>
  </w:abstractNum>
  <w:num w:numId="1">
    <w:abstractNumId w:val="9"/>
  </w:num>
  <w:num w:numId="2">
    <w:abstractNumId w:val="5"/>
  </w:num>
  <w:num w:numId="3">
    <w:abstractNumId w:val="18"/>
  </w:num>
  <w:num w:numId="4">
    <w:abstractNumId w:val="7"/>
  </w:num>
  <w:num w:numId="5">
    <w:abstractNumId w:val="16"/>
  </w:num>
  <w:num w:numId="6">
    <w:abstractNumId w:val="17"/>
  </w:num>
  <w:num w:numId="7">
    <w:abstractNumId w:val="0"/>
  </w:num>
  <w:num w:numId="8">
    <w:abstractNumId w:val="14"/>
  </w:num>
  <w:num w:numId="9">
    <w:abstractNumId w:val="12"/>
  </w:num>
  <w:num w:numId="10">
    <w:abstractNumId w:val="3"/>
  </w:num>
  <w:num w:numId="11">
    <w:abstractNumId w:val="1"/>
  </w:num>
  <w:num w:numId="12">
    <w:abstractNumId w:val="6"/>
  </w:num>
  <w:num w:numId="13">
    <w:abstractNumId w:val="10"/>
  </w:num>
  <w:num w:numId="14">
    <w:abstractNumId w:val="4"/>
  </w:num>
  <w:num w:numId="15">
    <w:abstractNumId w:val="11"/>
  </w:num>
  <w:num w:numId="16">
    <w:abstractNumId w:val="13"/>
  </w:num>
  <w:num w:numId="17">
    <w:abstractNumId w:val="2"/>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D1E0E"/>
    <w:rsid w:val="009B37B4"/>
    <w:rsid w:val="03526B72"/>
    <w:rsid w:val="06D77F68"/>
    <w:rsid w:val="06E91456"/>
    <w:rsid w:val="081C4DA3"/>
    <w:rsid w:val="0AD111F3"/>
    <w:rsid w:val="0B1D31C0"/>
    <w:rsid w:val="0F05607B"/>
    <w:rsid w:val="14C804A6"/>
    <w:rsid w:val="1DAE67A4"/>
    <w:rsid w:val="1E1A0006"/>
    <w:rsid w:val="1F32626B"/>
    <w:rsid w:val="2283381C"/>
    <w:rsid w:val="237C37C8"/>
    <w:rsid w:val="26F308B2"/>
    <w:rsid w:val="2AD1265F"/>
    <w:rsid w:val="2D7A2E3F"/>
    <w:rsid w:val="2E5F5340"/>
    <w:rsid w:val="313A1850"/>
    <w:rsid w:val="330C58B1"/>
    <w:rsid w:val="355A6086"/>
    <w:rsid w:val="39BA06BD"/>
    <w:rsid w:val="3AE359B3"/>
    <w:rsid w:val="3CFA44BD"/>
    <w:rsid w:val="3DFD1E0E"/>
    <w:rsid w:val="445E0101"/>
    <w:rsid w:val="455517CB"/>
    <w:rsid w:val="499B49A6"/>
    <w:rsid w:val="4CEE0137"/>
    <w:rsid w:val="4DBA322B"/>
    <w:rsid w:val="4E3815E5"/>
    <w:rsid w:val="4FAA5DDF"/>
    <w:rsid w:val="560502D4"/>
    <w:rsid w:val="5E4228D2"/>
    <w:rsid w:val="5E8D407E"/>
    <w:rsid w:val="5F9C3A7F"/>
    <w:rsid w:val="61032E37"/>
    <w:rsid w:val="63AB161B"/>
    <w:rsid w:val="69462489"/>
    <w:rsid w:val="6B944A30"/>
    <w:rsid w:val="6E8B72E2"/>
    <w:rsid w:val="6FA220B1"/>
    <w:rsid w:val="73F10B56"/>
    <w:rsid w:val="772D70E6"/>
    <w:rsid w:val="78EC5B0D"/>
    <w:rsid w:val="791C556F"/>
    <w:rsid w:val="7AE02290"/>
    <w:rsid w:val="7C3816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tabs>
        <w:tab w:val="left" w:pos="567"/>
      </w:tabs>
      <w:spacing w:before="120" w:beforeLines="0" w:line="22" w:lineRule="atLeast"/>
    </w:pPr>
    <w:rPr>
      <w:rFonts w:ascii="宋体" w:hAnsi="宋体"/>
      <w:sz w:val="24"/>
    </w:rPr>
  </w:style>
  <w:style w:type="paragraph" w:styleId="3">
    <w:name w:val="Body Text 2"/>
    <w:basedOn w:val="1"/>
    <w:qFormat/>
    <w:uiPriority w:val="0"/>
    <w:pPr>
      <w:widowControl/>
      <w:numPr>
        <w:ilvl w:val="0"/>
        <w:numId w:val="1"/>
      </w:numPr>
      <w:tabs>
        <w:tab w:val="clear" w:pos="1440"/>
      </w:tabs>
      <w:spacing w:beforeLines="50" w:line="336" w:lineRule="auto"/>
      <w:ind w:left="0" w:firstLine="0"/>
    </w:pPr>
    <w:rPr>
      <w:rFonts w:eastAsia="黑体"/>
      <w:szCs w:val="20"/>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2020-12-10T04:19:00Z</dcterms:created>
  <dc:creator>Administrator</dc:creator>
  <cp:lastModifiedBy>还是弱碱水</cp:lastModifiedBy>
  <dcterms:modified xsi:type="dcterms:W3CDTF">2025-02-26T07:03:46Z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30863F6595634E70ADBBAE994B66A50A</vt:lpwstr>
  </property>
</Properties>
</file>