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0" w:beforeLines="200" w:after="480" w:afterLines="200" w:line="360" w:lineRule="auto"/>
        <w:jc w:val="center"/>
        <w:rPr>
          <w:rFonts w:hint="eastAsia" w:ascii="宋体" w:hAnsi="宋体"/>
          <w:b/>
          <w:sz w:val="44"/>
          <w:szCs w:val="44"/>
        </w:rPr>
      </w:pPr>
      <w:bookmarkStart w:id="0" w:name="_Toc313024522"/>
      <w:bookmarkStart w:id="1" w:name="_Toc444181945"/>
      <w:bookmarkStart w:id="2" w:name="_Toc390356286"/>
      <w:bookmarkStart w:id="3" w:name="_Toc309048657"/>
      <w:bookmarkStart w:id="4" w:name="_Toc27502861"/>
      <w:r>
        <w:rPr>
          <w:rFonts w:hint="eastAsia" w:ascii="宋体" w:hAnsi="宋体"/>
          <w:b/>
          <w:sz w:val="44"/>
          <w:szCs w:val="44"/>
        </w:rPr>
        <w:t>清华大学附属北京清华长庚医院消防安全评估服务院内遴选</w:t>
      </w:r>
      <w:bookmarkEnd w:id="0"/>
      <w:bookmarkEnd w:id="1"/>
      <w:bookmarkEnd w:id="2"/>
      <w:bookmarkEnd w:id="3"/>
    </w:p>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24"/>
          <w:szCs w:val="24"/>
          <w:highlight w:val="none"/>
        </w:rPr>
      </w:pPr>
      <w:r>
        <w:rPr>
          <w:rFonts w:hint="eastAsia" w:ascii="宋体" w:hAnsi="宋体" w:eastAsia="宋体" w:cs="宋体"/>
          <w:sz w:val="36"/>
          <w:szCs w:val="36"/>
        </w:rPr>
        <w:t>项目概况及</w:t>
      </w:r>
      <w:r>
        <w:rPr>
          <w:rFonts w:hint="eastAsia" w:ascii="宋体" w:hAnsi="宋体" w:eastAsia="宋体" w:cs="宋体"/>
          <w:sz w:val="36"/>
          <w:szCs w:val="36"/>
          <w:highlight w:val="none"/>
        </w:rPr>
        <w:t>资质要求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1.项目简介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1.1项目名称：清华大学附属北京清华长庚医院消防安全评估服务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sz w:val="24"/>
          <w:szCs w:val="24"/>
          <w:lang w:val="en-US" w:eastAsia="zh-CN"/>
        </w:rPr>
        <w:t>需求</w:t>
      </w:r>
      <w:r>
        <w:rPr>
          <w:rFonts w:hint="eastAsia" w:ascii="宋体" w:hAnsi="宋体" w:eastAsia="宋体" w:cs="宋体"/>
          <w:sz w:val="24"/>
          <w:szCs w:val="24"/>
        </w:rPr>
        <w:t>人：清华大学附属北京清华长庚医院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1.3项目资金落实情况：自筹资金，已落实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1.4项目概况：本次</w:t>
      </w:r>
      <w:r>
        <w:rPr>
          <w:rFonts w:hint="eastAsia" w:ascii="宋体" w:hAnsi="宋体" w:eastAsia="宋体" w:cs="宋体"/>
          <w:sz w:val="24"/>
          <w:szCs w:val="24"/>
          <w:lang w:val="en-US" w:eastAsia="zh-CN"/>
        </w:rPr>
        <w:t>院内遴选</w:t>
      </w:r>
      <w:r>
        <w:rPr>
          <w:rFonts w:hint="eastAsia" w:ascii="宋体" w:hAnsi="宋体" w:eastAsia="宋体" w:cs="宋体"/>
          <w:sz w:val="24"/>
          <w:szCs w:val="24"/>
        </w:rPr>
        <w:t xml:space="preserve">为清华大学附属北京清华长庚医院消防安全评估服务。通过开展消防安全评估，查找出当前消防工作的薄弱环节，提出有针对性的对策和措施，进一步加强和规范消防安全管理，消除火灾隐患。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1.5成交供应商数量及成交份额：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t>☑一家，成交份额：100%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1.6 </w:t>
      </w:r>
      <w:r>
        <w:rPr>
          <w:rFonts w:hint="eastAsia" w:ascii="宋体" w:hAnsi="宋体" w:eastAsia="宋体" w:cs="宋体"/>
          <w:sz w:val="24"/>
          <w:szCs w:val="24"/>
        </w:rPr>
        <w:t>服务期限：自合同签订后起60个工作日内完成全部工作，并出具评估报告。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1.7 </w:t>
      </w:r>
      <w:r>
        <w:rPr>
          <w:rFonts w:hint="eastAsia" w:ascii="宋体" w:hAnsi="宋体" w:eastAsia="宋体" w:cs="宋体"/>
          <w:sz w:val="24"/>
          <w:szCs w:val="24"/>
        </w:rPr>
        <w:t>服务地点：</w:t>
      </w:r>
      <w:r>
        <w:rPr>
          <w:rFonts w:hint="eastAsia" w:ascii="宋体" w:hAnsi="宋体" w:cs="宋体"/>
          <w:sz w:val="24"/>
          <w:szCs w:val="24"/>
          <w:lang w:val="en-US" w:eastAsia="zh-CN"/>
        </w:rPr>
        <w:t>北京</w:t>
      </w:r>
      <w:r>
        <w:rPr>
          <w:rFonts w:hint="eastAsia" w:ascii="宋体" w:hAnsi="宋体" w:eastAsia="宋体" w:cs="宋体"/>
          <w:sz w:val="24"/>
          <w:szCs w:val="24"/>
          <w:lang w:val="en-US" w:eastAsia="zh-CN"/>
        </w:rPr>
        <w:t>清华长庚</w:t>
      </w:r>
      <w:r>
        <w:rPr>
          <w:rFonts w:hint="eastAsia" w:ascii="宋体" w:hAnsi="宋体" w:eastAsia="宋体" w:cs="宋体"/>
          <w:sz w:val="24"/>
          <w:szCs w:val="24"/>
        </w:rPr>
        <w:t>医院范围内（北京市昌平区立汤路168号）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1.8 </w:t>
      </w:r>
      <w:r>
        <w:rPr>
          <w:rFonts w:hint="eastAsia" w:ascii="宋体" w:hAnsi="宋体" w:eastAsia="宋体" w:cs="宋体"/>
          <w:sz w:val="24"/>
          <w:szCs w:val="24"/>
        </w:rPr>
        <w:t>服务标准：本项目最终成果为《北京清华长庚医院 2025年度消防安全评估报告》，要求评估报告科学严谨，符合国家法律法规及标准规范的要求，符合医院实际需求，能够切实提高消防安全管理水平。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1.9 服务面积：</w:t>
      </w:r>
      <w:r>
        <w:rPr>
          <w:rFonts w:hint="eastAsia" w:ascii="宋体" w:hAnsi="宋体" w:eastAsia="宋体" w:cs="宋体"/>
          <w:sz w:val="24"/>
          <w:szCs w:val="24"/>
          <w:highlight w:val="yellow"/>
        </w:rPr>
        <w:t>总建筑面积：</w:t>
      </w:r>
      <w:r>
        <w:rPr>
          <w:rFonts w:hint="eastAsia" w:ascii="宋体" w:hAnsi="宋体" w:eastAsia="宋体" w:cs="宋体"/>
          <w:sz w:val="24"/>
          <w:szCs w:val="24"/>
          <w:highlight w:val="yellow"/>
          <w:u w:val="single"/>
        </w:rPr>
        <w:t>134000</w:t>
      </w:r>
      <w:r>
        <w:rPr>
          <w:rFonts w:hint="eastAsia" w:ascii="宋体" w:hAnsi="宋体" w:eastAsia="宋体" w:cs="宋体"/>
          <w:sz w:val="24"/>
          <w:szCs w:val="24"/>
          <w:highlight w:val="yellow"/>
        </w:rPr>
        <w:t>平方米</w:t>
      </w:r>
      <w:r>
        <w:rPr>
          <w:rFonts w:hint="eastAsia" w:ascii="宋体" w:hAnsi="宋体" w:eastAsia="宋体" w:cs="宋体"/>
          <w:sz w:val="24"/>
          <w:szCs w:val="24"/>
          <w:highlight w:val="yellow"/>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1.10 项目总预算：250,000元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2.资质要求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2.1供应商应依法设立且满足如下要求：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sym w:font="Wingdings" w:char="F0AB"/>
      </w:r>
      <w:r>
        <w:rPr>
          <w:rFonts w:hint="eastAsia" w:ascii="宋体" w:hAnsi="宋体" w:eastAsia="宋体" w:cs="宋体"/>
          <w:sz w:val="24"/>
          <w:szCs w:val="24"/>
          <w:lang w:val="en-US" w:eastAsia="zh-CN"/>
        </w:rPr>
        <w:t>（1）资质要求：①供应商需在应急管理部消防救援局备案，且企业备案信息应包含消防安全评估，备案信息可在应急管理部消防救援局官网（https://www.119.gov.cn/），社会消防技术服务机构信息系统中查询。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（2）财务要求：供应商应提供上一年度的审计报告（含财务报表）或近六个月内银行出具的有效资信证明作为证明文件（加盖单位公章）。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（3）业绩要求：供应商须具备/业绩。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（4）信誉要求：①未被国家企业信用信息公示系统列入严重违法失信企业名单；②未在“信用中国”网站被列入失信被执行人名单；③在近三年内供应商及其法定代表人、拟委任的项目负责人无行贿犯罪行为。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承担本项目的主要人员要求：项目组成员不少于3人，项目负责人应当具备相应的注册消防工程师资格，项目技术负责人应具备一级注册消防工程师资质证书，项目评价组成员应具备消防设施操作员中级（含）以上资质证书。项目负责人、项目技术负责人及项目组成员必须参与现场评估工作。所有项目组成员均为本单位在社会消防技术服务机构信息系统中备案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3.2供应商不得存在下列情形之一：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（1）处于被责令停产停业、暂扣或者吊销执照、暂扣或者吊销许可证、吊销资质证书状态；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（2）进入清算程序，或被宣告破产，或其他丧失履约能力的情形；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（3）其他：/</w:t>
      </w:r>
    </w:p>
    <w:bookmarkEnd w:id="4"/>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36"/>
          <w:szCs w:val="36"/>
        </w:rPr>
      </w:pPr>
      <w:r>
        <w:rPr>
          <w:rFonts w:hint="eastAsia" w:ascii="宋体" w:hAnsi="宋体" w:eastAsia="宋体" w:cs="宋体"/>
          <w:sz w:val="36"/>
          <w:szCs w:val="36"/>
          <w:lang w:val="en-US" w:eastAsia="zh-CN"/>
        </w:rPr>
        <w:t>遴选</w:t>
      </w:r>
      <w:r>
        <w:rPr>
          <w:rFonts w:hint="eastAsia" w:ascii="宋体" w:hAnsi="宋体" w:eastAsia="宋体" w:cs="宋体"/>
          <w:sz w:val="36"/>
          <w:szCs w:val="36"/>
        </w:rPr>
        <w:t>需求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项目目的</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为贯彻《北京市医院管理中心关于推进市属医院消防安全评估工作的通知》的要求，通过开展消防安全评估，查找出当前消防工作的薄弱环节，提出有针对性的对策和措施，进一步加强和规范消防安全管理，消除火灾隐患，从而提高企业抗御火灾的能力，保障企业的消防安全。</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项目地点</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北京市昌平区立汤路168号</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项目内容及范围</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val="en-US" w:eastAsia="zh-CN"/>
        </w:rPr>
      </w:pPr>
      <w:r>
        <w:rPr>
          <w:rFonts w:hint="eastAsia" w:ascii="宋体" w:hAnsi="宋体" w:eastAsia="宋体" w:cs="宋体"/>
          <w:sz w:val="24"/>
          <w:szCs w:val="24"/>
          <w:lang w:eastAsia="zh-CN"/>
        </w:rPr>
        <w:t>对医院的建筑防火、消防安全管理及消防设施设备配置情况开展评估，并出具消防评估报告。</w:t>
      </w:r>
      <w:r>
        <w:rPr>
          <w:rFonts w:hint="eastAsia" w:ascii="宋体" w:hAnsi="宋体" w:eastAsia="宋体" w:cs="宋体"/>
          <w:sz w:val="24"/>
          <w:szCs w:val="24"/>
          <w:lang w:val="en-US" w:eastAsia="zh-CN"/>
        </w:rPr>
        <w:t>具体需求面积：</w:t>
      </w:r>
      <w:r>
        <w:rPr>
          <w:rFonts w:hint="eastAsia" w:ascii="宋体" w:hAnsi="宋体" w:eastAsia="宋体" w:cs="宋体"/>
          <w:sz w:val="24"/>
          <w:szCs w:val="24"/>
        </w:rPr>
        <w:t>总建筑面积：</w:t>
      </w:r>
      <w:r>
        <w:rPr>
          <w:rFonts w:hint="eastAsia" w:ascii="宋体" w:hAnsi="宋体" w:eastAsia="宋体" w:cs="宋体"/>
          <w:sz w:val="24"/>
          <w:szCs w:val="24"/>
          <w:u w:val="single"/>
        </w:rPr>
        <w:t>134000</w:t>
      </w:r>
      <w:r>
        <w:rPr>
          <w:rFonts w:hint="eastAsia" w:ascii="宋体" w:hAnsi="宋体" w:eastAsia="宋体" w:cs="宋体"/>
          <w:sz w:val="24"/>
          <w:szCs w:val="24"/>
        </w:rPr>
        <w:t>平方米</w:t>
      </w:r>
      <w:r>
        <w:rPr>
          <w:rFonts w:hint="eastAsia" w:ascii="宋体" w:hAnsi="宋体" w:eastAsia="宋体" w:cs="宋体"/>
          <w:sz w:val="24"/>
          <w:szCs w:val="24"/>
          <w:lang w:eastAsia="zh-CN"/>
        </w:rPr>
        <w:t>。</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项目技术标准及要求</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4.1</w:t>
      </w:r>
      <w:r>
        <w:rPr>
          <w:rFonts w:hint="eastAsia" w:ascii="宋体" w:hAnsi="宋体" w:eastAsia="宋体" w:cs="宋体"/>
          <w:sz w:val="24"/>
          <w:szCs w:val="24"/>
          <w:lang w:eastAsia="zh-CN"/>
        </w:rPr>
        <w:t>消防安全评估主要依据和标准要求</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1.1法律、法规及国务院文件</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1)《中华人民共和国消防法》（第十三届全国人民代表大会常务委员会第二十八次会议修正）</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2)《医疗机构消防安全管理九项规定》国卫办发〔2020〕1号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3)《医疗机构管理条例》（国务院令第149号）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4)《危险化学品安全管理条例》（国务院令第591号）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1.2 地方法规、部门规章及规范性文件</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1)《机关、团体、单位、事业单位消防安全管理规定》（公安部令第61号）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2)《高层民用建筑消防安全管理规定》（应急管理部令第5号）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3)《北京市消防条例》（北京市第十三届人民代表大会常务委员会公告第17号）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4)《北京市火灾高危单位消防安全管理规定》（京政办发[2014]7号）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5)《北京市医院管理局关于加强市属医院危险化学品安全管理工作的通知》（京医管运行〔2016〕7号）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6)《北京市医管局关于加强市属医院安全隐患排查治理建立安全隐患闭环管理机制的通知》（京医管运行[2018]4号）</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1.3 国家标准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1)《消防设施通用规范》（GB55036-2022）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2)《建筑防火通用规范》（GB55037-2022）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3)《建筑消防设施的维护管理》（GB25201-2010）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4)《建筑设计防火规范》（GB50016-2014）（2018年版）</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5)《消防给水及消火栓系统技术规范》（GB50974-2014）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6)《自动喷水灭火系统设计规范》（GB50084-2017）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7)《自动喷水灭火系统施工及验收规范》（GB50261-2017）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8)《火灾自动报警系统设计规范》（GB50116-2013）</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9)《火灾自动报警系统施工及验收规范》（GB50166-2019）</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10)《气体灭火系统设计规范》(GB50370-2005)</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11)《气体灭火系统施工及验收规范》（GB50263-2007）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12)《建筑防烟排烟系统技术标准》（GB51251-2017）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13)《消防控制室通用技术要求》（GB25506-2010）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14)《建筑灭火器配置设计规范》（GB50140-2005）</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15)《建筑灭火器配置验收及检查规范》（GB50444-2008）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16)《建筑内部装修设计防火规范》（GB50222-2017）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17)《医用气体工程技术规范》（GB50751-2012）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18)《综合医院建筑设计规范》（GB51039-2014）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19)《氧气站设计规范》（GB50030-2013）</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20)《危险化学品仓库储存通则》（GB15603-2022）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21)《气瓶搬运、装卸、储存和使用安全规定》（GB/T34525-2017）</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1.4 行业标准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1）《建筑消防设施检测技术规程》（XF503-2004）</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2）《人员密集场所消防安全管理》（GB/T40248-2021）</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3）《医疗机构消防安全管理》（WS308-2019）</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4）《人员密集场所消防安全评估导则》（XF/T 1369-2016）</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7）《单位消防安全评估》（XF/T 3005-2020）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1.5 地方标准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 《安全生产等级评定技术规范 第56部分：医疗卫生机构》（DB11/T 1322.56-2018）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 《危险化学品仓库建设及储存安全规范》(DB11/T 755-2010)</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 《医疗机构危险化学品安全管理规范》（DB11/T 1578-2018）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4)《实验室危险化学品安全管理规范 第1部分：工业企业》（DB11/T 1191.1-2018）</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5)《电气防火检测技术规范》（DB11/T 065-2022）</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《建筑消防设施检测服务规范》（DB11/T 3034-2025）</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消防安全评估方法要求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消防安全评估方法的选择遵循充分性、适应性、系统性、针对性和合理性原则，根据评估目的、要求和评估对象特点，选择适用的评估方法。</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消防安全评估内容要求（要求涵盖但不限于以下内容）</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1．建筑防火评估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建筑防火评估包括，建筑消防合法性、建筑使用情况、总平面布局、平面布置、安全疏散和消防电梯、建筑内部装修、防火构造、通风空调系统、建筑防爆、配电线路及应急照明等内容，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2. 消防安全管理评估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消防安全管理评估包括，消防管理制度规定、人员资质、教育培训、安全演练等管理文件的有效性与完整性验证，通过评估，查找问题隐患，提出整改建议。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3.消防设施设备配置情况评估</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消防设施设备配置情况评估包含各类消防器材、设备设施的配置合规性、可靠性与有效性验证，通过评估，查找问题隐患，提出整改建议。</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4.4 </w:t>
      </w:r>
      <w:r>
        <w:rPr>
          <w:rFonts w:hint="eastAsia" w:ascii="宋体" w:hAnsi="宋体" w:eastAsia="宋体" w:cs="宋体"/>
          <w:sz w:val="24"/>
          <w:szCs w:val="24"/>
          <w:lang w:eastAsia="zh-CN"/>
        </w:rPr>
        <w:t xml:space="preserve">消防安全评估项目成果及质量要求 </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t>本项目最终成果为《北京清华长庚医院 2025年度消防安全评估报告》，要求评估报告科学严谨，符合国家法律法规及标准规范的要求，符合医院实际需求，能够切实提高医院消防安全管理水平。所出具评消防安全评估报告需经专家论证，方可完成验收。</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val="en-US" w:eastAsia="zh-CN"/>
        </w:rPr>
        <w:t>5.</w:t>
      </w:r>
      <w:r>
        <w:rPr>
          <w:rFonts w:hint="eastAsia" w:ascii="宋体" w:hAnsi="宋体" w:eastAsia="宋体" w:cs="宋体"/>
          <w:b/>
          <w:kern w:val="2"/>
          <w:sz w:val="24"/>
          <w:szCs w:val="24"/>
          <w:lang w:eastAsia="zh-CN"/>
        </w:rPr>
        <w:t>服务团队要求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1.供应商应安排拟派的项目负责人作为其授权委托人参与本项目并全面负责履行合同，项目负责人及拟派团队主要人员应保持稳定，未经招标人书面同意不得随意更换，招标人有权更换不称职的项目组人员，更换后的人员专业水平不得低于被更换人员。</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sym w:font="Wingdings" w:char="F0AB"/>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 xml:space="preserve">2. </w:t>
      </w:r>
      <w:r>
        <w:rPr>
          <w:rFonts w:hint="eastAsia" w:ascii="宋体" w:hAnsi="宋体" w:eastAsia="宋体" w:cs="宋体"/>
          <w:sz w:val="24"/>
          <w:szCs w:val="24"/>
          <w:u w:val="single"/>
          <w:lang w:eastAsia="zh-CN"/>
        </w:rPr>
        <w:t>项目组成员不少于3人，项目负责人应当具备相应的注册消防工程师资格，项目技术负责人应具备一级注册消防工程师资质证书，项目评价组成员应具备消防设施操作员中级（含）以上资质证书。项目负责人、项目技术负责人及项目组成员必须参与现场评估工作。所有项目组成员均为本单位在社会消防技术服务机构信息系统中备案人员。</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sz w:val="24"/>
          <w:szCs w:val="24"/>
          <w:lang w:eastAsia="zh-CN"/>
        </w:rPr>
      </w:pPr>
      <w:r>
        <w:rPr>
          <w:rFonts w:hint="eastAsia" w:ascii="宋体" w:hAnsi="宋体" w:eastAsia="宋体" w:cs="宋体"/>
          <w:sz w:val="24"/>
          <w:szCs w:val="24"/>
          <w:lang w:eastAsia="zh-CN"/>
        </w:rPr>
        <w:sym w:font="Wingdings" w:char="F0AB"/>
      </w:r>
      <w:r>
        <w:rPr>
          <w:rFonts w:hint="eastAsia" w:ascii="宋体" w:hAnsi="宋体" w:eastAsia="宋体" w:cs="宋体"/>
          <w:sz w:val="24"/>
          <w:szCs w:val="24"/>
          <w:lang w:eastAsia="zh-CN"/>
        </w:rPr>
        <w:t>3. 所有项目组成员均为本单位在社会消防技术服务机构信息系统中备案人员。</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eastAsia="zh-CN"/>
        </w:rPr>
        <w:t>六、实施时间要求：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自合同签订后起60个工作日内完成全部工作，并出具评估报告。</w:t>
      </w:r>
    </w:p>
    <w:p>
      <w:pPr>
        <w:pageBreakBefore w:val="0"/>
        <w:kinsoku/>
        <w:wordWrap/>
        <w:overflowPunct/>
        <w:topLinePunct w:val="0"/>
        <w:autoSpaceDE/>
        <w:autoSpaceDN/>
        <w:bidi w:val="0"/>
        <w:spacing w:line="360" w:lineRule="auto"/>
        <w:ind w:left="1" w:firstLine="463" w:firstLineChars="192"/>
        <w:rPr>
          <w:rFonts w:hint="eastAsia" w:ascii="宋体" w:hAnsi="宋体" w:eastAsia="宋体" w:cs="宋体"/>
          <w:b/>
          <w:kern w:val="2"/>
          <w:sz w:val="24"/>
          <w:szCs w:val="24"/>
          <w:lang w:eastAsia="zh-CN"/>
        </w:rPr>
      </w:pPr>
      <w:r>
        <w:rPr>
          <w:rFonts w:hint="eastAsia" w:ascii="宋体" w:hAnsi="宋体" w:eastAsia="宋体" w:cs="宋体"/>
          <w:b/>
          <w:kern w:val="2"/>
          <w:sz w:val="24"/>
          <w:szCs w:val="24"/>
          <w:lang w:eastAsia="zh-CN"/>
        </w:rPr>
        <w:t>七、付款方式及发票要求</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 xml:space="preserve">1.付款方式：先票后款 </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2.发票类型：6%增值税专用发票。</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3.支付方式：电汇。</w:t>
      </w:r>
    </w:p>
    <w:p>
      <w:pPr>
        <w:pageBreakBefore w:val="0"/>
        <w:kinsoku/>
        <w:wordWrap/>
        <w:overflowPunct/>
        <w:topLinePunct w:val="0"/>
        <w:autoSpaceDE/>
        <w:autoSpaceDN/>
        <w:bidi w:val="0"/>
        <w:spacing w:line="360" w:lineRule="auto"/>
        <w:ind w:left="1" w:firstLine="460" w:firstLineChars="192"/>
        <w:rPr>
          <w:rFonts w:hint="eastAsia" w:ascii="宋体" w:hAnsi="宋体" w:eastAsia="宋体" w:cs="宋体"/>
          <w:bCs/>
          <w:kern w:val="2"/>
          <w:sz w:val="24"/>
          <w:szCs w:val="24"/>
          <w:highlight w:val="none"/>
          <w:lang w:eastAsia="zh-CN"/>
        </w:rPr>
      </w:pPr>
      <w:r>
        <w:rPr>
          <w:rFonts w:hint="eastAsia" w:ascii="宋体" w:hAnsi="宋体" w:eastAsia="宋体" w:cs="宋体"/>
          <w:bCs/>
          <w:kern w:val="2"/>
          <w:sz w:val="24"/>
          <w:szCs w:val="24"/>
          <w:highlight w:val="none"/>
          <w:lang w:eastAsia="zh-CN"/>
        </w:rPr>
        <w:t>4.发票信息：</w:t>
      </w:r>
    </w:p>
    <w:tbl>
      <w:tblPr>
        <w:tblStyle w:val="33"/>
        <w:tblW w:w="7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单位名称</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北京清华长庚医院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纳税人识别号</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地址、电话</w:t>
            </w:r>
          </w:p>
        </w:tc>
        <w:tc>
          <w:tcPr>
            <w:tcW w:w="5122" w:type="dxa"/>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北京市昌平区立汤路168号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开户银行</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591"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帐    号</w:t>
            </w:r>
          </w:p>
        </w:tc>
        <w:tc>
          <w:tcPr>
            <w:tcW w:w="5122" w:type="dxa"/>
            <w:noWrap/>
            <w:vAlign w:val="center"/>
          </w:tcPr>
          <w:p>
            <w:pPr>
              <w:pageBreakBefore w:val="0"/>
              <w:widowControl/>
              <w:kinsoku/>
              <w:wordWrap/>
              <w:overflowPunct/>
              <w:topLinePunct w:val="0"/>
              <w:autoSpaceDE/>
              <w:autoSpaceDN/>
              <w:bidi w:val="0"/>
              <w:spacing w:line="360" w:lineRule="auto"/>
              <w:jc w:val="center"/>
              <w:rPr>
                <w:rFonts w:hint="eastAsia" w:ascii="宋体" w:hAnsi="宋体" w:eastAsia="宋体" w:cs="宋体"/>
                <w:color w:val="auto"/>
                <w:kern w:val="2"/>
                <w:sz w:val="24"/>
                <w:szCs w:val="24"/>
                <w:highlight w:val="none"/>
                <w:lang w:eastAsia="zh-CN" w:bidi="ar-SA"/>
              </w:rPr>
            </w:pPr>
          </w:p>
        </w:tc>
      </w:tr>
    </w:tbl>
    <w:p>
      <w:pPr>
        <w:pageBreakBefore w:val="0"/>
        <w:kinsoku/>
        <w:wordWrap/>
        <w:overflowPunct/>
        <w:topLinePunct w:val="0"/>
        <w:autoSpaceDE/>
        <w:autoSpaceDN/>
        <w:bidi w:val="0"/>
        <w:spacing w:line="360" w:lineRule="auto"/>
        <w:ind w:firstLine="480" w:firstLineChars="200"/>
        <w:jc w:val="left"/>
        <w:rPr>
          <w:rFonts w:hint="eastAsia" w:ascii="宋体" w:hAnsi="宋体" w:eastAsia="宋体" w:cs="宋体"/>
          <w:sz w:val="24"/>
          <w:szCs w:val="24"/>
          <w:lang w:val="en-US" w:eastAsia="zh-CN"/>
        </w:rPr>
      </w:pPr>
    </w:p>
    <w:p>
      <w:pPr>
        <w:pageBreakBefore w:val="0"/>
        <w:numPr>
          <w:ilvl w:val="0"/>
          <w:numId w:val="1"/>
        </w:numPr>
        <w:kinsoku/>
        <w:wordWrap/>
        <w:overflowPunct/>
        <w:topLinePunct w:val="0"/>
        <w:autoSpaceDE/>
        <w:autoSpaceDN/>
        <w:bidi w:val="0"/>
        <w:spacing w:before="240" w:beforeLines="100" w:after="240" w:afterLines="100" w:line="360" w:lineRule="auto"/>
        <w:jc w:val="center"/>
        <w:rPr>
          <w:rFonts w:hint="eastAsia" w:ascii="宋体" w:hAnsi="宋体" w:eastAsia="宋体" w:cs="宋体"/>
          <w:sz w:val="36"/>
          <w:szCs w:val="36"/>
        </w:rPr>
      </w:pPr>
      <w:r>
        <w:rPr>
          <w:rFonts w:hint="eastAsia" w:ascii="宋体" w:hAnsi="宋体" w:eastAsia="宋体" w:cs="宋体"/>
          <w:sz w:val="36"/>
          <w:szCs w:val="36"/>
        </w:rPr>
        <w:t>评审办法</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1、评</w:t>
      </w:r>
      <w:r>
        <w:rPr>
          <w:rFonts w:hint="eastAsia" w:ascii="宋体" w:hAnsi="宋体" w:eastAsia="宋体" w:cs="宋体"/>
          <w:sz w:val="24"/>
          <w:szCs w:val="24"/>
          <w:lang w:val="en-US" w:eastAsia="zh-CN"/>
        </w:rPr>
        <w:t>审</w:t>
      </w:r>
      <w:r>
        <w:rPr>
          <w:rFonts w:hint="eastAsia" w:ascii="宋体" w:hAnsi="宋体" w:eastAsia="宋体" w:cs="宋体"/>
          <w:sz w:val="24"/>
          <w:szCs w:val="24"/>
        </w:rPr>
        <w:t>方法</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本项目采用综合评分法进行</w:t>
      </w:r>
      <w:r>
        <w:rPr>
          <w:rFonts w:hint="eastAsia" w:ascii="宋体" w:hAnsi="宋体" w:eastAsia="宋体" w:cs="宋体"/>
          <w:sz w:val="24"/>
          <w:szCs w:val="24"/>
          <w:lang w:val="en-US" w:eastAsia="zh-CN"/>
        </w:rPr>
        <w:t>评选</w:t>
      </w:r>
      <w:r>
        <w:rPr>
          <w:rFonts w:hint="eastAsia" w:ascii="宋体" w:hAnsi="宋体" w:eastAsia="宋体" w:cs="宋体"/>
          <w:sz w:val="24"/>
          <w:szCs w:val="24"/>
        </w:rPr>
        <w:t>。综合评分法，是指</w:t>
      </w:r>
      <w:r>
        <w:rPr>
          <w:rFonts w:hint="eastAsia" w:ascii="宋体" w:hAnsi="宋体" w:eastAsia="宋体" w:cs="宋体"/>
          <w:sz w:val="24"/>
          <w:szCs w:val="24"/>
          <w:lang w:val="en-US" w:eastAsia="zh-CN"/>
        </w:rPr>
        <w:t>参与遴选</w:t>
      </w:r>
      <w:r>
        <w:rPr>
          <w:rFonts w:hint="eastAsia" w:ascii="宋体" w:hAnsi="宋体" w:eastAsia="宋体" w:cs="宋体"/>
          <w:sz w:val="24"/>
          <w:szCs w:val="24"/>
        </w:rPr>
        <w:t>文件满足</w:t>
      </w:r>
      <w:r>
        <w:rPr>
          <w:rFonts w:hint="eastAsia" w:ascii="宋体" w:hAnsi="宋体" w:eastAsia="宋体" w:cs="宋体"/>
          <w:sz w:val="24"/>
          <w:szCs w:val="24"/>
          <w:lang w:val="en-US" w:eastAsia="zh-CN"/>
        </w:rPr>
        <w:t>遴选</w:t>
      </w:r>
      <w:r>
        <w:rPr>
          <w:rFonts w:hint="eastAsia" w:ascii="宋体" w:hAnsi="宋体" w:eastAsia="宋体" w:cs="宋体"/>
          <w:sz w:val="24"/>
          <w:szCs w:val="24"/>
        </w:rPr>
        <w:t>文件全部实质性要求且按照评审因素的量化指标评审得分最高的投标人为中标候选人的评</w:t>
      </w:r>
      <w:r>
        <w:rPr>
          <w:rFonts w:hint="eastAsia" w:ascii="宋体" w:hAnsi="宋体" w:eastAsia="宋体" w:cs="宋体"/>
          <w:sz w:val="24"/>
          <w:szCs w:val="24"/>
          <w:lang w:val="en-US" w:eastAsia="zh-CN"/>
        </w:rPr>
        <w:t>选</w:t>
      </w:r>
      <w:r>
        <w:rPr>
          <w:rFonts w:hint="eastAsia" w:ascii="宋体" w:hAnsi="宋体" w:eastAsia="宋体" w:cs="宋体"/>
          <w:sz w:val="24"/>
          <w:szCs w:val="24"/>
        </w:rPr>
        <w:t>方法。</w:t>
      </w:r>
      <w:r>
        <w:rPr>
          <w:rFonts w:hint="eastAsia" w:ascii="宋体" w:hAnsi="宋体" w:eastAsia="宋体" w:cs="宋体"/>
          <w:sz w:val="24"/>
          <w:szCs w:val="24"/>
          <w:lang w:val="en-US" w:eastAsia="zh-CN"/>
        </w:rPr>
        <w:t>参与</w:t>
      </w:r>
      <w:r>
        <w:rPr>
          <w:rFonts w:hint="eastAsia" w:ascii="宋体" w:hAnsi="宋体" w:eastAsia="宋体" w:cs="宋体"/>
          <w:sz w:val="24"/>
          <w:szCs w:val="24"/>
        </w:rPr>
        <w:t>人总得分为价格、商务、技术、服务等评定因素分别按照相应权重值计算分项得分后相加，满分为100分。</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2、评分标准</w:t>
      </w:r>
    </w:p>
    <w:tbl>
      <w:tblPr>
        <w:tblStyle w:val="33"/>
        <w:tblW w:w="84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646"/>
        <w:gridCol w:w="1890"/>
        <w:gridCol w:w="4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评审内容</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评分因素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价格部分</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评</w:t>
            </w:r>
            <w:r>
              <w:rPr>
                <w:rFonts w:hint="eastAsia" w:ascii="宋体" w:hAnsi="宋体" w:eastAsia="宋体" w:cs="宋体"/>
                <w:kern w:val="2"/>
                <w:sz w:val="24"/>
                <w:szCs w:val="24"/>
                <w:lang w:val="en-US" w:eastAsia="zh-CN"/>
              </w:rPr>
              <w:t>审</w:t>
            </w:r>
            <w:r>
              <w:rPr>
                <w:rFonts w:hint="eastAsia" w:ascii="宋体" w:hAnsi="宋体" w:eastAsia="宋体" w:cs="宋体"/>
                <w:kern w:val="2"/>
                <w:sz w:val="24"/>
                <w:szCs w:val="24"/>
                <w:lang w:eastAsia="zh-CN"/>
              </w:rPr>
              <w:t>基准价为各有效</w:t>
            </w:r>
            <w:r>
              <w:rPr>
                <w:rFonts w:hint="eastAsia" w:ascii="宋体" w:hAnsi="宋体" w:eastAsia="宋体" w:cs="宋体"/>
                <w:kern w:val="2"/>
                <w:sz w:val="24"/>
                <w:szCs w:val="24"/>
                <w:lang w:val="en-US" w:eastAsia="zh-CN"/>
              </w:rPr>
              <w:t>参与</w:t>
            </w:r>
            <w:r>
              <w:rPr>
                <w:rFonts w:hint="eastAsia" w:ascii="宋体" w:hAnsi="宋体" w:eastAsia="宋体" w:cs="宋体"/>
                <w:kern w:val="2"/>
                <w:sz w:val="24"/>
                <w:szCs w:val="24"/>
                <w:lang w:eastAsia="zh-CN"/>
              </w:rPr>
              <w:t>人报价（含税）</w:t>
            </w:r>
            <w:r>
              <w:rPr>
                <w:rFonts w:hint="eastAsia" w:ascii="宋体" w:hAnsi="宋体" w:eastAsia="宋体" w:cs="宋体"/>
                <w:kern w:val="2"/>
                <w:sz w:val="24"/>
                <w:szCs w:val="24"/>
                <w:lang w:val="en-US" w:eastAsia="zh-CN"/>
              </w:rPr>
              <w:t>最低价</w:t>
            </w:r>
            <w:r>
              <w:rPr>
                <w:rFonts w:hint="eastAsia" w:ascii="宋体" w:hAnsi="宋体" w:eastAsia="宋体" w:cs="宋体"/>
                <w:kern w:val="2"/>
                <w:sz w:val="24"/>
                <w:szCs w:val="24"/>
                <w:lang w:eastAsia="zh-CN"/>
              </w:rPr>
              <w:t>，供应商的价格分统一按照下列公式计算：报价得分=（基准价/报价）×20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商务部分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省一级消防协会颁发的会员证书及应急局颁发的安全评价资质证书（3分）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具有消防协会颁发的会员证书及应急部门颁发的安全评价资质证书得3分，不具备得0分。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业绩情况（12分）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消防安全评估机构近三年内从事过单体建筑面积3万平方米以上民用或工业建筑消防安全评估。每个得2分。最高得12分。（需提供证书材料并加盖公章）。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技术部分</w:t>
            </w:r>
          </w:p>
        </w:tc>
        <w:tc>
          <w:tcPr>
            <w:tcW w:w="0" w:type="auto"/>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893" w:type="dxa"/>
            <w:tcBorders>
              <w:top w:val="single" w:color="000000"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标准制订</w:t>
            </w:r>
          </w:p>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（15分）</w:t>
            </w:r>
          </w:p>
        </w:tc>
        <w:tc>
          <w:tcPr>
            <w:tcW w:w="4862" w:type="dxa"/>
            <w:tcBorders>
              <w:top w:val="single" w:color="000000"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r>
              <w:rPr>
                <w:rFonts w:hint="eastAsia" w:ascii="宋体" w:hAnsi="宋体" w:eastAsia="宋体" w:cs="宋体"/>
                <w:kern w:val="2"/>
                <w:sz w:val="24"/>
                <w:szCs w:val="24"/>
                <w:lang w:eastAsia="zh-CN"/>
              </w:rPr>
              <w:t>参加过消防安全国家、地方标准或行业标准编制工作，每个标准得5分。最高得15分。（提供证明资料）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 w:hRule="atLeast"/>
        </w:trPr>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189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技术团队配置（1</w:t>
            </w:r>
            <w:r>
              <w:rPr>
                <w:rFonts w:hint="eastAsia" w:ascii="宋体" w:hAnsi="宋体" w:eastAsia="宋体" w:cs="宋体"/>
                <w:kern w:val="2"/>
                <w:sz w:val="24"/>
                <w:szCs w:val="24"/>
                <w:lang w:val="en-US" w:eastAsia="zh-CN"/>
              </w:rPr>
              <w:t>0</w:t>
            </w:r>
            <w:r>
              <w:rPr>
                <w:rFonts w:hint="eastAsia" w:ascii="宋体" w:hAnsi="宋体" w:eastAsia="宋体" w:cs="宋体"/>
                <w:kern w:val="2"/>
                <w:sz w:val="24"/>
                <w:szCs w:val="24"/>
                <w:lang w:eastAsia="zh-CN"/>
              </w:rPr>
              <w:t>分）</w:t>
            </w:r>
          </w:p>
        </w:tc>
        <w:tc>
          <w:tcPr>
            <w:tcW w:w="4862" w:type="dxa"/>
            <w:tcBorders>
              <w:top w:val="single" w:color="auto" w:sz="4" w:space="0"/>
              <w:left w:val="single" w:color="000000" w:sz="4" w:space="0"/>
              <w:bottom w:val="single" w:color="auto"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（1）供应商提供项目负责人具备高工资格且承担过医院消防安全评估经验。得5分。单项不得分。（提供证明资料）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kern w:val="0"/>
                <w:sz w:val="24"/>
                <w:szCs w:val="24"/>
                <w:u w:val="none"/>
                <w:lang w:val="en-US" w:eastAsia="zh-CN" w:bidi="ar"/>
              </w:rPr>
            </w:pPr>
          </w:p>
        </w:tc>
        <w:tc>
          <w:tcPr>
            <w:tcW w:w="189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p>
        </w:tc>
        <w:tc>
          <w:tcPr>
            <w:tcW w:w="4862" w:type="dxa"/>
            <w:tcBorders>
              <w:top w:val="single" w:color="auto"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2"/>
                <w:sz w:val="24"/>
                <w:szCs w:val="24"/>
                <w:lang w:eastAsia="zh-CN"/>
              </w:rPr>
              <w:t>（2）参与项目评价的项目组成员每增加一名具有一级注册消防工程师资格的人员得2分，每增加一名具有高级消防设施操作员资格的人员得2分，最高得10分。（需提供相关证书复印件、网站截图并加盖公章）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服务部分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8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前期准备方案（10分）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根据供应商前期准备方案进行综合评定，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方案内容全面详细、科学、切实可行的得8-10分；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方案内容较全面、合理可行的得4-7分；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方案内容有欠缺、可行性较差的得1-3分；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未作说明的得0分。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评估服务方案（25分）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1、根据供应商的建筑防火、消防安全管理消防设施设备配置评估服务方案进行综合评定，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方案内容全面详细、科学，切实可行的得11-15分；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方案内容较为全面、合理可行的得6-10分；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方案内容有欠缺、可行性较差的得1-5分；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2、设备及仪器配备齐全，整体品质优秀得 4-5 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配备较齐全，整体 品质良好得 2-3；</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配备一般得 0-1 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3、工作计划及服务承诺详细、切实可行得4-5分；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合理可行的得2-3分；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可行性较差的得0-1分。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spacing w:line="360" w:lineRule="auto"/>
              <w:jc w:val="center"/>
              <w:rPr>
                <w:rFonts w:hint="eastAsia" w:ascii="宋体" w:hAnsi="宋体" w:eastAsia="宋体" w:cs="宋体"/>
                <w:i w:val="0"/>
                <w:iCs w:val="0"/>
                <w:color w:val="000000"/>
                <w:sz w:val="24"/>
                <w:szCs w:val="24"/>
                <w:u w:val="none"/>
              </w:rPr>
            </w:pP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质量保证措施（5分）</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根据供应商针对服务方案提出的质量保证措施进行综合评定，</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内容全面、详细、措施合理可靠、可行性高的得4-5分；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内容较为全面、措施合理可行的得2-3分；</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内容有欠缺、可行性差的得1分；未做说明的得0分。</w:t>
            </w: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第四章 合同条款及格式</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jc w:val="center"/>
        <w:rPr>
          <w:rFonts w:hint="eastAsia" w:ascii="宋体" w:hAnsi="宋体" w:eastAsia="宋体" w:cs="宋体"/>
          <w:sz w:val="36"/>
          <w:szCs w:val="36"/>
        </w:rPr>
      </w:pPr>
      <w:r>
        <w:rPr>
          <w:rFonts w:hint="eastAsia" w:ascii="宋体" w:hAnsi="宋体" w:eastAsia="宋体" w:cs="宋体"/>
          <w:sz w:val="36"/>
          <w:szCs w:val="36"/>
        </w:rPr>
        <w:t>技术服务合同</w:t>
      </w:r>
    </w:p>
    <w:p>
      <w:pPr>
        <w:pageBreakBefore w:val="0"/>
        <w:kinsoku/>
        <w:wordWrap/>
        <w:overflowPunct/>
        <w:topLinePunct w:val="0"/>
        <w:autoSpaceDE/>
        <w:autoSpaceDN/>
        <w:bidi w:val="0"/>
        <w:spacing w:line="360" w:lineRule="auto"/>
        <w:contextualSpacing/>
        <w:rPr>
          <w:rFonts w:hint="eastAsia" w:ascii="宋体" w:hAnsi="宋体" w:eastAsia="宋体" w:cs="宋体"/>
          <w:b/>
          <w:bCs/>
          <w:sz w:val="24"/>
          <w:szCs w:val="24"/>
          <w:u w:val="single"/>
        </w:rPr>
      </w:pPr>
      <w:r>
        <w:rPr>
          <w:rFonts w:hint="eastAsia" w:ascii="宋体" w:hAnsi="宋体" w:eastAsia="宋体" w:cs="宋体"/>
          <w:b/>
          <w:bCs/>
          <w:sz w:val="24"/>
          <w:szCs w:val="24"/>
        </w:rPr>
        <w:t>委托方（甲方）：北京清华长庚医院</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lang w:eastAsia="zh-CN"/>
        </w:rPr>
      </w:pPr>
      <w:r>
        <w:rPr>
          <w:rFonts w:hint="eastAsia" w:ascii="宋体" w:hAnsi="宋体" w:eastAsia="宋体" w:cs="宋体"/>
          <w:sz w:val="24"/>
          <w:szCs w:val="24"/>
        </w:rPr>
        <w:t>项目联系人：</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rPr>
      </w:pPr>
      <w:r>
        <w:rPr>
          <w:rFonts w:hint="eastAsia" w:ascii="宋体" w:hAnsi="宋体" w:eastAsia="宋体" w:cs="宋体"/>
          <w:sz w:val="24"/>
          <w:szCs w:val="24"/>
        </w:rPr>
        <w:t>通讯地址：北京市昌平区立汤路168号</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lang w:eastAsia="zh-CN"/>
        </w:rPr>
      </w:pPr>
      <w:r>
        <w:rPr>
          <w:rFonts w:hint="eastAsia" w:ascii="宋体" w:hAnsi="宋体" w:eastAsia="宋体" w:cs="宋体"/>
          <w:sz w:val="24"/>
          <w:szCs w:val="24"/>
        </w:rPr>
        <w:t>电    话：</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r>
        <w:rPr>
          <w:rFonts w:hint="eastAsia" w:ascii="宋体" w:hAnsi="宋体" w:eastAsia="宋体" w:cs="宋体"/>
          <w:sz w:val="24"/>
          <w:szCs w:val="24"/>
        </w:rPr>
        <w:t>电子信箱：wangdayewy@tsinghua.edu.cn</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rPr>
          <w:rFonts w:hint="eastAsia" w:ascii="宋体" w:hAnsi="宋体" w:eastAsia="宋体" w:cs="宋体"/>
          <w:b/>
          <w:bCs/>
          <w:sz w:val="24"/>
          <w:szCs w:val="24"/>
          <w:u w:val="single"/>
          <w:lang w:eastAsia="zh-CN"/>
        </w:rPr>
      </w:pPr>
      <w:r>
        <w:rPr>
          <w:rFonts w:hint="eastAsia" w:ascii="宋体" w:hAnsi="宋体" w:eastAsia="宋体" w:cs="宋体"/>
          <w:b/>
          <w:bCs/>
          <w:sz w:val="24"/>
          <w:szCs w:val="24"/>
        </w:rPr>
        <w:t>受托方（乙方）：</w:t>
      </w:r>
      <w:r>
        <w:rPr>
          <w:rFonts w:hint="eastAsia" w:ascii="宋体" w:hAnsi="宋体" w:eastAsia="宋体" w:cs="宋体"/>
          <w:b/>
          <w:bCs/>
          <w:sz w:val="24"/>
          <w:szCs w:val="24"/>
          <w:lang w:val="en-US" w:eastAsia="zh-CN"/>
        </w:rPr>
        <w:t xml:space="preserve"> </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住  所  地：</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法定代表人：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项目联系人：</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rPr>
      </w:pPr>
      <w:r>
        <w:rPr>
          <w:rFonts w:hint="eastAsia" w:ascii="宋体" w:hAnsi="宋体" w:eastAsia="宋体" w:cs="宋体"/>
          <w:sz w:val="24"/>
          <w:szCs w:val="24"/>
        </w:rPr>
        <w:t>通讯地址：</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lang w:val="en-US" w:eastAsia="zh-CN"/>
        </w:rPr>
      </w:pPr>
      <w:r>
        <w:rPr>
          <w:rFonts w:hint="eastAsia" w:ascii="宋体" w:hAnsi="宋体" w:eastAsia="宋体" w:cs="宋体"/>
          <w:sz w:val="24"/>
          <w:szCs w:val="24"/>
        </w:rPr>
        <w:t>电    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传    真：</w:t>
      </w:r>
      <w:r>
        <w:rPr>
          <w:rFonts w:hint="eastAsia" w:ascii="宋体" w:hAnsi="宋体" w:eastAsia="宋体" w:cs="宋体"/>
          <w:sz w:val="24"/>
          <w:szCs w:val="24"/>
          <w:lang w:val="en-US" w:eastAsia="zh-CN"/>
        </w:rPr>
        <w:t xml:space="preserve">        </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r>
        <w:rPr>
          <w:rFonts w:hint="eastAsia" w:ascii="宋体" w:hAnsi="宋体" w:eastAsia="宋体" w:cs="宋体"/>
          <w:sz w:val="24"/>
          <w:szCs w:val="24"/>
        </w:rPr>
        <w:t>电子信箱：</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u w:val="single"/>
        </w:rPr>
      </w:pPr>
    </w:p>
    <w:p>
      <w:pPr>
        <w:pageBreakBefore w:val="0"/>
        <w:kinsoku/>
        <w:wordWrap/>
        <w:overflowPunct/>
        <w:topLinePunct w:val="0"/>
        <w:autoSpaceDE/>
        <w:autoSpaceDN/>
        <w:bidi w:val="0"/>
        <w:spacing w:line="360" w:lineRule="auto"/>
        <w:ind w:firstLine="480" w:firstLineChars="200"/>
        <w:contextualSpacing/>
        <w:jc w:val="left"/>
        <w:rPr>
          <w:rFonts w:hint="eastAsia" w:ascii="宋体" w:hAnsi="宋体" w:eastAsia="宋体" w:cs="宋体"/>
          <w:sz w:val="24"/>
          <w:szCs w:val="24"/>
        </w:rPr>
      </w:pPr>
      <w:r>
        <w:rPr>
          <w:rFonts w:hint="eastAsia" w:ascii="宋体" w:hAnsi="宋体" w:eastAsia="宋体" w:cs="宋体"/>
          <w:sz w:val="24"/>
          <w:szCs w:val="24"/>
        </w:rPr>
        <w:t>本合同甲方委托乙方就“北京清华长庚医院 2024年度消防安全评估服务”项目开展工作，并支付消防安全评估报酬。双方经过平等协商，在真实、充分地表达各自意愿的基础上，根据《中华人民共和国民法典》的规定，达成如下协议，并由双方共同恪守。</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第一条  乙方进行技术服务的内容、要求和方式：</w:t>
      </w:r>
    </w:p>
    <w:p>
      <w:pPr>
        <w:pageBreakBefore w:val="0"/>
        <w:kinsoku/>
        <w:wordWrap/>
        <w:overflowPunct/>
        <w:topLinePunct w:val="0"/>
        <w:autoSpaceDE/>
        <w:autoSpaceDN/>
        <w:bidi w:val="0"/>
        <w:spacing w:line="360" w:lineRule="auto"/>
        <w:ind w:firstLine="480" w:firstLineChars="200"/>
        <w:contextualSpacing/>
        <w:jc w:val="left"/>
        <w:rPr>
          <w:rFonts w:hint="eastAsia" w:ascii="宋体" w:hAnsi="宋体" w:eastAsia="宋体" w:cs="宋体"/>
          <w:sz w:val="24"/>
          <w:szCs w:val="24"/>
          <w:u w:val="single"/>
        </w:rPr>
      </w:pPr>
      <w:r>
        <w:rPr>
          <w:rFonts w:hint="eastAsia" w:ascii="宋体" w:hAnsi="宋体" w:eastAsia="宋体" w:cs="宋体"/>
          <w:sz w:val="24"/>
          <w:szCs w:val="24"/>
        </w:rPr>
        <w:t>1.技术服务内容：</w:t>
      </w:r>
      <w:r>
        <w:rPr>
          <w:rFonts w:hint="eastAsia" w:ascii="宋体" w:hAnsi="宋体" w:eastAsia="宋体" w:cs="宋体"/>
          <w:sz w:val="24"/>
          <w:szCs w:val="24"/>
          <w:u w:val="single"/>
        </w:rPr>
        <w:t>为北京清华长庚医院开展消防安全评估服务。通过开展消防安全评估，查找出当前消防工作的薄弱环节，提出有针对性的对策和措施，进一步加强和规范消防安全管理，消除火灾隐患。并出具《北京清华长庚医院 2024年度消防安全评估报告》</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组织专家论证</w:t>
      </w:r>
      <w:r>
        <w:rPr>
          <w:rFonts w:hint="eastAsia" w:ascii="宋体" w:hAnsi="宋体" w:eastAsia="宋体" w:cs="宋体"/>
          <w:sz w:val="24"/>
          <w:szCs w:val="24"/>
          <w:u w:val="single"/>
        </w:rPr>
        <w:t>。</w:t>
      </w:r>
    </w:p>
    <w:p>
      <w:pPr>
        <w:pageBreakBefore w:val="0"/>
        <w:kinsoku/>
        <w:wordWrap/>
        <w:overflowPunct/>
        <w:topLinePunct w:val="0"/>
        <w:autoSpaceDE/>
        <w:autoSpaceDN/>
        <w:bidi w:val="0"/>
        <w:spacing w:line="360" w:lineRule="auto"/>
        <w:ind w:firstLine="480" w:firstLineChars="200"/>
        <w:contextualSpacing/>
        <w:jc w:val="left"/>
        <w:rPr>
          <w:rFonts w:hint="eastAsia" w:ascii="宋体" w:hAnsi="宋体" w:eastAsia="宋体" w:cs="宋体"/>
          <w:sz w:val="24"/>
          <w:szCs w:val="24"/>
          <w:u w:val="single"/>
        </w:rPr>
      </w:pPr>
      <w:r>
        <w:rPr>
          <w:rFonts w:hint="eastAsia" w:ascii="宋体" w:hAnsi="宋体" w:eastAsia="宋体" w:cs="宋体"/>
          <w:sz w:val="24"/>
          <w:szCs w:val="24"/>
        </w:rPr>
        <w:t>2.技术服务要求：（1）在本合同签订生效后20日内，根据甲方上级主管部门北京市医管中心下发的《关于推进市属医院消防安全评估工作的通知》要求，向甲方提交本项目评估方案一份，明确项目准备阶段、实施评估阶段、报告撰写阶段等各阶段的计划工作时限及成果产出等；（2）</w:t>
      </w:r>
      <w:r>
        <w:rPr>
          <w:rFonts w:hint="eastAsia" w:ascii="宋体" w:hAnsi="宋体" w:eastAsia="宋体" w:cs="宋体"/>
          <w:sz w:val="24"/>
          <w:szCs w:val="24"/>
          <w:u w:val="single"/>
        </w:rPr>
        <w:t>依据国家和地方现行的消防法规和技术标准、规范的要求，乙方对甲方进行消防安全评估，通过对甲方的建筑防火、消防设施</w:t>
      </w:r>
      <w:r>
        <w:rPr>
          <w:rFonts w:hint="eastAsia" w:ascii="宋体" w:hAnsi="宋体" w:eastAsia="宋体" w:cs="宋体"/>
          <w:sz w:val="24"/>
          <w:szCs w:val="24"/>
          <w:u w:val="single"/>
          <w:lang w:val="en-US" w:eastAsia="zh-CN"/>
        </w:rPr>
        <w:t>设备配置情况</w:t>
      </w:r>
      <w:r>
        <w:rPr>
          <w:rFonts w:hint="eastAsia" w:ascii="宋体" w:hAnsi="宋体" w:eastAsia="宋体" w:cs="宋体"/>
          <w:sz w:val="24"/>
          <w:szCs w:val="24"/>
          <w:u w:val="single"/>
        </w:rPr>
        <w:t>和消防安全管理等方面进行检查，记录检查情况并列明消防安全问题、火灾隐患的整改意见和完善消防管理的措施，指导甲方制定火灾隐患整改方案，并按照评估标准向甲方提交《北京清华长庚医院 2024年度消防安全评估报告》，该报告需经专家论证并按要求修改后通过甲方审核验收。</w:t>
      </w:r>
    </w:p>
    <w:p>
      <w:pPr>
        <w:pageBreakBefore w:val="0"/>
        <w:kinsoku/>
        <w:wordWrap/>
        <w:overflowPunct/>
        <w:topLinePunct w:val="0"/>
        <w:autoSpaceDE/>
        <w:autoSpaceDN/>
        <w:bidi w:val="0"/>
        <w:spacing w:line="360" w:lineRule="auto"/>
        <w:ind w:firstLine="480" w:firstLineChars="200"/>
        <w:contextualSpacing/>
        <w:jc w:val="left"/>
        <w:rPr>
          <w:rFonts w:hint="eastAsia" w:ascii="宋体" w:hAnsi="宋体" w:eastAsia="宋体" w:cs="宋体"/>
          <w:sz w:val="24"/>
          <w:szCs w:val="24"/>
        </w:rPr>
      </w:pPr>
      <w:r>
        <w:rPr>
          <w:rFonts w:hint="eastAsia" w:ascii="宋体" w:hAnsi="宋体" w:eastAsia="宋体" w:cs="宋体"/>
          <w:sz w:val="24"/>
          <w:szCs w:val="24"/>
        </w:rPr>
        <w:t>3.技术服务方式：</w:t>
      </w:r>
      <w:r>
        <w:rPr>
          <w:rFonts w:hint="eastAsia" w:ascii="宋体" w:hAnsi="宋体" w:eastAsia="宋体" w:cs="宋体"/>
          <w:sz w:val="24"/>
          <w:szCs w:val="24"/>
          <w:u w:val="single"/>
        </w:rPr>
        <w:t>乙方组织专家现场勘查，综合分析，编制形成消防安全评估报告，通过甲方审核后提交纸质报告一式三份，电子版1份</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且纸质版和电子版一致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w:t>
      </w:r>
    </w:p>
    <w:p>
      <w:pPr>
        <w:pageBreakBefore w:val="0"/>
        <w:kinsoku/>
        <w:wordWrap/>
        <w:overflowPunct/>
        <w:topLinePunct w:val="0"/>
        <w:autoSpaceDE/>
        <w:autoSpaceDN/>
        <w:bidi w:val="0"/>
        <w:spacing w:line="360" w:lineRule="auto"/>
        <w:ind w:firstLine="482" w:firstLineChars="200"/>
        <w:contextualSpacing/>
        <w:jc w:val="left"/>
        <w:rPr>
          <w:rFonts w:hint="eastAsia" w:ascii="宋体" w:hAnsi="宋体" w:eastAsia="宋体" w:cs="宋体"/>
          <w:sz w:val="24"/>
          <w:szCs w:val="24"/>
        </w:rPr>
      </w:pPr>
      <w:r>
        <w:rPr>
          <w:rFonts w:hint="eastAsia" w:ascii="宋体" w:hAnsi="宋体" w:eastAsia="宋体" w:cs="宋体"/>
          <w:b/>
          <w:sz w:val="24"/>
          <w:szCs w:val="24"/>
        </w:rPr>
        <w:t>第二条  乙方应当按照下列要求进行本合同项目的技术服务工作</w:t>
      </w:r>
      <w:r>
        <w:rPr>
          <w:rFonts w:hint="eastAsia" w:ascii="宋体" w:hAnsi="宋体" w:eastAsia="宋体" w:cs="宋体"/>
          <w:sz w:val="24"/>
          <w:szCs w:val="24"/>
        </w:rPr>
        <w:t>：</w:t>
      </w:r>
    </w:p>
    <w:p>
      <w:pPr>
        <w:pageBreakBefore w:val="0"/>
        <w:widowControl/>
        <w:kinsoku/>
        <w:wordWrap/>
        <w:overflowPunct/>
        <w:topLinePunct w:val="0"/>
        <w:autoSpaceDE/>
        <w:autoSpaceDN/>
        <w:bidi w:val="0"/>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1.技术服务进度：</w:t>
      </w:r>
      <w:r>
        <w:rPr>
          <w:rFonts w:hint="eastAsia" w:ascii="宋体" w:hAnsi="宋体" w:eastAsia="宋体" w:cs="宋体"/>
          <w:sz w:val="24"/>
          <w:szCs w:val="24"/>
          <w:u w:val="single"/>
        </w:rPr>
        <w:t>与本项目工作进度及甲方要求相适应。包括但不限于：乙方须于双方签定合同后3日内，按项目评估方案和《项目推进计划表》推进各环节工作进度，并结合项目实际情况及现场进度进行调整。</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rPr>
      </w:pPr>
      <w:r>
        <w:rPr>
          <w:rFonts w:hint="eastAsia" w:ascii="宋体" w:hAnsi="宋体" w:eastAsia="宋体" w:cs="宋体"/>
          <w:sz w:val="24"/>
          <w:szCs w:val="24"/>
        </w:rPr>
        <w:t>2.技术服务阶段：</w:t>
      </w:r>
      <w:r>
        <w:rPr>
          <w:rFonts w:hint="eastAsia" w:ascii="宋体" w:hAnsi="宋体" w:eastAsia="宋体" w:cs="宋体"/>
          <w:sz w:val="24"/>
          <w:szCs w:val="24"/>
          <w:u w:val="single"/>
        </w:rPr>
        <w:t>准备阶段、实施评估阶段、报告撰写阶段、报告交付阶段。</w:t>
      </w:r>
    </w:p>
    <w:p>
      <w:pPr>
        <w:pageBreakBefore w:val="0"/>
        <w:widowControl/>
        <w:kinsoku/>
        <w:wordWrap/>
        <w:overflowPunct/>
        <w:topLinePunct w:val="0"/>
        <w:autoSpaceDE/>
        <w:autoSpaceDN/>
        <w:bidi w:val="0"/>
        <w:spacing w:line="360" w:lineRule="auto"/>
        <w:ind w:firstLine="480" w:firstLineChars="200"/>
        <w:contextualSpacing/>
        <w:jc w:val="left"/>
        <w:outlineLvl w:val="0"/>
        <w:rPr>
          <w:rFonts w:hint="eastAsia" w:ascii="宋体" w:hAnsi="宋体" w:eastAsia="宋体" w:cs="宋体"/>
          <w:sz w:val="24"/>
          <w:szCs w:val="24"/>
          <w:u w:val="single"/>
        </w:rPr>
      </w:pPr>
      <w:r>
        <w:rPr>
          <w:rFonts w:hint="eastAsia" w:ascii="宋体" w:hAnsi="宋体" w:eastAsia="宋体" w:cs="宋体"/>
          <w:sz w:val="24"/>
          <w:szCs w:val="24"/>
        </w:rPr>
        <w:t>3.技术服务期限：</w:t>
      </w:r>
      <w:r>
        <w:rPr>
          <w:rFonts w:hint="eastAsia" w:ascii="宋体" w:hAnsi="宋体" w:eastAsia="宋体" w:cs="宋体"/>
          <w:sz w:val="24"/>
          <w:szCs w:val="24"/>
          <w:u w:val="single"/>
        </w:rPr>
        <w:t>2024年10月31日前完成。服务期满，若委托工作尚未全部完成，甲方同意延期的，乙方应当继续完成服务工作直至最终成果验收合格。</w:t>
      </w:r>
    </w:p>
    <w:p>
      <w:pPr>
        <w:pageBreakBefore w:val="0"/>
        <w:widowControl/>
        <w:kinsoku/>
        <w:wordWrap/>
        <w:overflowPunct/>
        <w:topLinePunct w:val="0"/>
        <w:autoSpaceDE/>
        <w:autoSpaceDN/>
        <w:bidi w:val="0"/>
        <w:spacing w:line="360" w:lineRule="auto"/>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项目推进计划表</w:t>
      </w:r>
    </w:p>
    <w:tbl>
      <w:tblPr>
        <w:tblStyle w:val="33"/>
        <w:tblW w:w="506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1384"/>
        <w:gridCol w:w="5789"/>
        <w:gridCol w:w="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tblHeader/>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bCs/>
                <w:kern w:val="0"/>
                <w:sz w:val="24"/>
                <w:szCs w:val="24"/>
              </w:rPr>
            </w:pPr>
            <w:r>
              <w:rPr>
                <w:rFonts w:hint="eastAsia" w:ascii="宋体" w:hAnsi="宋体" w:eastAsia="宋体" w:cs="宋体"/>
                <w:bCs/>
                <w:kern w:val="0"/>
                <w:sz w:val="24"/>
                <w:szCs w:val="24"/>
              </w:rPr>
              <w:t>序号</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bCs/>
                <w:kern w:val="0"/>
                <w:sz w:val="24"/>
                <w:szCs w:val="24"/>
              </w:rPr>
            </w:pPr>
            <w:r>
              <w:rPr>
                <w:rFonts w:hint="eastAsia" w:ascii="宋体" w:hAnsi="宋体" w:eastAsia="宋体" w:cs="宋体"/>
                <w:bCs/>
                <w:kern w:val="0"/>
                <w:sz w:val="24"/>
                <w:szCs w:val="24"/>
              </w:rPr>
              <w:t>工作阶段</w:t>
            </w:r>
          </w:p>
        </w:tc>
        <w:tc>
          <w:tcPr>
            <w:tcW w:w="3354"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bCs/>
                <w:kern w:val="0"/>
                <w:sz w:val="24"/>
                <w:szCs w:val="24"/>
              </w:rPr>
            </w:pPr>
            <w:r>
              <w:rPr>
                <w:rFonts w:hint="eastAsia" w:ascii="宋体" w:hAnsi="宋体" w:eastAsia="宋体" w:cs="宋体"/>
                <w:bCs/>
                <w:kern w:val="0"/>
                <w:sz w:val="24"/>
                <w:szCs w:val="24"/>
              </w:rPr>
              <w:t>工作内容</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bCs/>
                <w:kern w:val="0"/>
                <w:sz w:val="24"/>
                <w:szCs w:val="24"/>
              </w:rPr>
            </w:pPr>
            <w:r>
              <w:rPr>
                <w:rFonts w:hint="eastAsia" w:ascii="宋体" w:hAnsi="宋体" w:eastAsia="宋体" w:cs="宋体"/>
                <w:bCs/>
                <w:kern w:val="0"/>
                <w:sz w:val="24"/>
                <w:szCs w:val="24"/>
              </w:rPr>
              <w:t>计划工期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前期准备</w:t>
            </w:r>
          </w:p>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阶段</w:t>
            </w:r>
          </w:p>
        </w:tc>
        <w:tc>
          <w:tcPr>
            <w:tcW w:w="3354" w:type="pct"/>
            <w:vAlign w:val="center"/>
          </w:tcPr>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1）收集准备相关法律法规、标准规范</w:t>
            </w:r>
          </w:p>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2）收集消防有关资料</w:t>
            </w:r>
          </w:p>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3）编制和准备现场评估用的检查表、调查问卷、消防设施功能测试表</w:t>
            </w:r>
          </w:p>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4）准备现场使用的仪器、仪表，进行全面检查并校准</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前期现场调研</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调研项目的实际情况，如建筑、消防设施、消防安全管理、市属医院特定场所消防安全管理要点（试行）涉及到的场所等</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制定消防安全评估工作方案</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根据现场实际情况，结合北京市医管中心和主管部门要求，制定消防安全评估工作方案</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组织专家对消防安全评估工作方案进行论证</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根据《北京市医院管理中心关于推进市属医院消防安全评估工作的通知》，组织专家对消防安全评估工作方案进行论证以及消防安全评估工作方案修改</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现场勘察</w:t>
            </w:r>
          </w:p>
        </w:tc>
        <w:tc>
          <w:tcPr>
            <w:tcW w:w="3354" w:type="pct"/>
            <w:vAlign w:val="center"/>
          </w:tcPr>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1）建筑防火查评</w:t>
            </w:r>
          </w:p>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2）消防设备设施查评</w:t>
            </w:r>
          </w:p>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3）消防安全管理查评</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报告编制阶段</w:t>
            </w:r>
          </w:p>
        </w:tc>
        <w:tc>
          <w:tcPr>
            <w:tcW w:w="3354" w:type="pct"/>
            <w:vAlign w:val="center"/>
          </w:tcPr>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1）隐患问题梳理</w:t>
            </w:r>
          </w:p>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2）定性、定量评估</w:t>
            </w:r>
          </w:p>
          <w:p>
            <w:pPr>
              <w:pageBreakBefore w:val="0"/>
              <w:kinsoku/>
              <w:wordWrap/>
              <w:overflowPunct/>
              <w:topLinePunct w:val="0"/>
              <w:autoSpaceDE/>
              <w:autoSpaceDN/>
              <w:bidi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3）编制《消防安全评估报告》</w:t>
            </w:r>
          </w:p>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4）经过公司内部三审体系进行审核及修改</w:t>
            </w:r>
          </w:p>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color w:val="auto"/>
                <w:sz w:val="24"/>
                <w:szCs w:val="24"/>
              </w:rPr>
              <w:t>5）《报告》报送委托单位征求意见</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组织专家对消防安全评估报告进行论证</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color w:val="auto"/>
                <w:sz w:val="24"/>
                <w:szCs w:val="24"/>
              </w:rPr>
            </w:pPr>
            <w:r>
              <w:rPr>
                <w:rFonts w:hint="eastAsia" w:ascii="宋体" w:hAnsi="宋体" w:eastAsia="宋体" w:cs="宋体"/>
                <w:sz w:val="24"/>
                <w:szCs w:val="24"/>
              </w:rPr>
              <w:t>根据《北京市医院管理中心关于推进市属医院消防安全评估工作的通知》，组织专家对消防安全评估报告进行论证</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报告修改阶段</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sz w:val="24"/>
                <w:szCs w:val="24"/>
              </w:rPr>
            </w:pPr>
            <w:r>
              <w:rPr>
                <w:rFonts w:hint="eastAsia" w:ascii="宋体" w:hAnsi="宋体" w:eastAsia="宋体" w:cs="宋体"/>
                <w:sz w:val="24"/>
                <w:szCs w:val="24"/>
              </w:rPr>
              <w:t>按专家意见修改消防安全评估报告</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421"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80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提交评估报告</w:t>
            </w:r>
          </w:p>
        </w:tc>
        <w:tc>
          <w:tcPr>
            <w:tcW w:w="3354" w:type="pct"/>
            <w:vAlign w:val="center"/>
          </w:tcPr>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1）印制消防安全评估报告</w:t>
            </w:r>
          </w:p>
          <w:p>
            <w:pPr>
              <w:pStyle w:val="55"/>
              <w:pageBreakBefore w:val="0"/>
              <w:kinsoku/>
              <w:wordWrap/>
              <w:overflowPunct/>
              <w:topLinePunct w:val="0"/>
              <w:autoSpaceDE/>
              <w:autoSpaceDN/>
              <w:bidi w:val="0"/>
              <w:adjustRightInd/>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 评估报告交送委托单位</w:t>
            </w:r>
          </w:p>
        </w:tc>
        <w:tc>
          <w:tcPr>
            <w:tcW w:w="422" w:type="pct"/>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bl>
    <w:p>
      <w:pPr>
        <w:pageBreakBefore w:val="0"/>
        <w:kinsoku/>
        <w:wordWrap/>
        <w:overflowPunct/>
        <w:topLinePunct w:val="0"/>
        <w:autoSpaceDE/>
        <w:autoSpaceDN/>
        <w:bidi w:val="0"/>
        <w:spacing w:line="360" w:lineRule="auto"/>
        <w:ind w:firstLine="480" w:firstLineChars="200"/>
        <w:contextualSpacing/>
        <w:outlineLvl w:val="0"/>
        <w:rPr>
          <w:rFonts w:hint="eastAsia" w:ascii="宋体" w:hAnsi="宋体" w:eastAsia="宋体" w:cs="宋体"/>
          <w:sz w:val="24"/>
          <w:szCs w:val="24"/>
          <w:u w:val="single"/>
        </w:rPr>
      </w:pPr>
    </w:p>
    <w:p>
      <w:pPr>
        <w:pageBreakBefore w:val="0"/>
        <w:kinsoku/>
        <w:wordWrap/>
        <w:overflowPunct/>
        <w:topLinePunct w:val="0"/>
        <w:autoSpaceDE/>
        <w:autoSpaceDN/>
        <w:bidi w:val="0"/>
        <w:spacing w:line="360" w:lineRule="auto"/>
        <w:ind w:left="540" w:leftChars="257" w:firstLine="48" w:firstLineChars="20"/>
        <w:contextualSpacing/>
        <w:outlineLvl w:val="0"/>
        <w:rPr>
          <w:rFonts w:hint="eastAsia" w:ascii="宋体" w:hAnsi="宋体" w:eastAsia="宋体" w:cs="宋体"/>
          <w:b/>
          <w:sz w:val="24"/>
          <w:szCs w:val="24"/>
        </w:rPr>
      </w:pPr>
      <w:r>
        <w:rPr>
          <w:rFonts w:hint="eastAsia" w:ascii="宋体" w:hAnsi="宋体" w:eastAsia="宋体" w:cs="宋体"/>
          <w:b/>
          <w:sz w:val="24"/>
          <w:szCs w:val="24"/>
        </w:rPr>
        <w:t>第三条  甲方协作事项及乙方服务承诺</w:t>
      </w:r>
    </w:p>
    <w:p>
      <w:pPr>
        <w:pageBreakBefore w:val="0"/>
        <w:kinsoku/>
        <w:wordWrap/>
        <w:overflowPunct/>
        <w:topLinePunct w:val="0"/>
        <w:autoSpaceDE/>
        <w:autoSpaceDN/>
        <w:bidi w:val="0"/>
        <w:spacing w:line="360" w:lineRule="auto"/>
        <w:ind w:left="540" w:leftChars="257" w:firstLine="48" w:firstLineChars="20"/>
        <w:contextualSpacing/>
        <w:outlineLvl w:val="0"/>
        <w:rPr>
          <w:rFonts w:hint="eastAsia" w:ascii="宋体" w:hAnsi="宋体" w:eastAsia="宋体" w:cs="宋体"/>
          <w:b/>
          <w:sz w:val="24"/>
          <w:szCs w:val="24"/>
        </w:rPr>
      </w:pPr>
      <w:r>
        <w:rPr>
          <w:rFonts w:hint="eastAsia" w:ascii="宋体" w:hAnsi="宋体" w:eastAsia="宋体" w:cs="宋体"/>
          <w:b/>
          <w:sz w:val="24"/>
          <w:szCs w:val="24"/>
        </w:rPr>
        <w:t>（一）为保证乙方有效进行技术服务，甲方应向乙方提供下列协作事项：</w:t>
      </w:r>
    </w:p>
    <w:p>
      <w:pPr>
        <w:pageBreakBefore w:val="0"/>
        <w:kinsoku/>
        <w:wordWrap/>
        <w:overflowPunct/>
        <w:topLinePunct w:val="0"/>
        <w:autoSpaceDE/>
        <w:autoSpaceDN/>
        <w:bidi w:val="0"/>
        <w:spacing w:line="360" w:lineRule="auto"/>
        <w:ind w:left="540" w:leftChars="257" w:firstLine="48" w:firstLineChars="20"/>
        <w:contextualSpacing/>
        <w:outlineLvl w:val="0"/>
        <w:rPr>
          <w:rFonts w:hint="eastAsia" w:ascii="宋体" w:hAnsi="宋体" w:eastAsia="宋体" w:cs="宋体"/>
          <w:sz w:val="24"/>
          <w:szCs w:val="24"/>
        </w:rPr>
      </w:pPr>
      <w:r>
        <w:rPr>
          <w:rFonts w:hint="eastAsia" w:ascii="宋体" w:hAnsi="宋体" w:eastAsia="宋体" w:cs="宋体"/>
          <w:sz w:val="24"/>
          <w:szCs w:val="24"/>
        </w:rPr>
        <w:t>1.提供技术资料：</w:t>
      </w:r>
    </w:p>
    <w:p>
      <w:pPr>
        <w:pageBreakBefore w:val="0"/>
        <w:widowControl/>
        <w:kinsoku/>
        <w:wordWrap/>
        <w:overflowPunct/>
        <w:topLinePunct w:val="0"/>
        <w:autoSpaceDE/>
        <w:autoSpaceDN/>
        <w:bidi w:val="0"/>
        <w:spacing w:line="360" w:lineRule="auto"/>
        <w:ind w:left="540" w:leftChars="257" w:firstLine="48" w:firstLineChars="20"/>
        <w:contextualSpacing/>
        <w:jc w:val="left"/>
        <w:outlineLvl w:val="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见乙方要求甲方提供的</w:t>
      </w:r>
      <w:r>
        <w:rPr>
          <w:rFonts w:hint="eastAsia" w:ascii="宋体" w:hAnsi="宋体" w:eastAsia="宋体" w:cs="宋体"/>
          <w:bCs/>
          <w:sz w:val="24"/>
          <w:szCs w:val="24"/>
          <w:u w:val="single"/>
        </w:rPr>
        <w:t>评估服务所需提供资料清单</w:t>
      </w:r>
      <w:r>
        <w:rPr>
          <w:rFonts w:hint="eastAsia" w:ascii="宋体" w:hAnsi="宋体" w:eastAsia="宋体" w:cs="宋体"/>
          <w:sz w:val="24"/>
          <w:szCs w:val="24"/>
          <w:u w:val="single"/>
        </w:rPr>
        <w:t>（合同附件1）</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left="1123" w:leftChars="280" w:hanging="535" w:hangingChars="223"/>
        <w:contextualSpacing/>
        <w:rPr>
          <w:rFonts w:hint="eastAsia" w:ascii="宋体" w:hAnsi="宋体" w:eastAsia="宋体" w:cs="宋体"/>
          <w:sz w:val="24"/>
          <w:szCs w:val="24"/>
          <w:u w:val="single"/>
        </w:rPr>
      </w:pPr>
      <w:r>
        <w:rPr>
          <w:rFonts w:hint="eastAsia" w:ascii="宋体" w:hAnsi="宋体" w:eastAsia="宋体" w:cs="宋体"/>
          <w:sz w:val="24"/>
          <w:szCs w:val="24"/>
        </w:rPr>
        <w:t>（2）</w:t>
      </w:r>
      <w:r>
        <w:rPr>
          <w:rFonts w:hint="eastAsia" w:ascii="宋体" w:hAnsi="宋体" w:eastAsia="宋体" w:cs="宋体"/>
          <w:sz w:val="24"/>
          <w:szCs w:val="24"/>
          <w:u w:val="single"/>
        </w:rPr>
        <w:t>其他与本项目相关的消防安全评估资料。</w:t>
      </w:r>
    </w:p>
    <w:p>
      <w:pPr>
        <w:pageBreakBefore w:val="0"/>
        <w:kinsoku/>
        <w:wordWrap/>
        <w:overflowPunct/>
        <w:topLinePunct w:val="0"/>
        <w:autoSpaceDE/>
        <w:autoSpaceDN/>
        <w:bidi w:val="0"/>
        <w:spacing w:line="360" w:lineRule="auto"/>
        <w:ind w:left="1123" w:leftChars="280" w:hanging="535" w:hangingChars="223"/>
        <w:contextualSpacing/>
        <w:rPr>
          <w:rFonts w:hint="eastAsia" w:ascii="宋体" w:hAnsi="宋体" w:eastAsia="宋体" w:cs="宋体"/>
          <w:sz w:val="24"/>
          <w:szCs w:val="24"/>
        </w:rPr>
      </w:pPr>
      <w:r>
        <w:rPr>
          <w:rFonts w:hint="eastAsia" w:ascii="宋体" w:hAnsi="宋体" w:eastAsia="宋体" w:cs="宋体"/>
          <w:sz w:val="24"/>
          <w:szCs w:val="24"/>
        </w:rPr>
        <w:t>2.提供工作条件：</w:t>
      </w:r>
    </w:p>
    <w:p>
      <w:pPr>
        <w:pageBreakBefore w:val="0"/>
        <w:kinsoku/>
        <w:wordWrap/>
        <w:overflowPunct/>
        <w:topLinePunct w:val="0"/>
        <w:autoSpaceDE/>
        <w:autoSpaceDN/>
        <w:bidi w:val="0"/>
        <w:spacing w:line="360" w:lineRule="auto"/>
        <w:ind w:left="1116" w:leftChars="257" w:hanging="576" w:hangingChars="240"/>
        <w:contextualSpacing/>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合同签订后3个工作日内，按上述第1条约定要求，提供真实有效的技术资料</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left="1116" w:leftChars="257" w:hanging="576" w:hangingChars="240"/>
        <w:contextualSpacing/>
        <w:rPr>
          <w:rFonts w:hint="eastAsia" w:ascii="宋体" w:hAnsi="宋体" w:eastAsia="宋体" w:cs="宋体"/>
          <w:sz w:val="24"/>
          <w:szCs w:val="24"/>
          <w:u w:val="single"/>
        </w:rPr>
      </w:pPr>
      <w:r>
        <w:rPr>
          <w:rFonts w:hint="eastAsia" w:ascii="宋体" w:hAnsi="宋体" w:eastAsia="宋体" w:cs="宋体"/>
          <w:sz w:val="24"/>
          <w:szCs w:val="24"/>
        </w:rPr>
        <w:t>（2）</w:t>
      </w:r>
      <w:r>
        <w:rPr>
          <w:rFonts w:hint="eastAsia" w:ascii="宋体" w:hAnsi="宋体" w:eastAsia="宋体" w:cs="宋体"/>
          <w:sz w:val="24"/>
          <w:szCs w:val="24"/>
          <w:u w:val="single"/>
        </w:rPr>
        <w:t>在乙方到现场实施评估工作时，提供人员配合、现场检查、调研等工作条件；</w:t>
      </w:r>
    </w:p>
    <w:p>
      <w:pPr>
        <w:pageBreakBefore w:val="0"/>
        <w:kinsoku/>
        <w:wordWrap/>
        <w:overflowPunct/>
        <w:topLinePunct w:val="0"/>
        <w:autoSpaceDE/>
        <w:autoSpaceDN/>
        <w:bidi w:val="0"/>
        <w:spacing w:line="360" w:lineRule="auto"/>
        <w:ind w:left="1116" w:leftChars="257" w:hanging="576" w:hangingChars="240"/>
        <w:contextualSpacing/>
        <w:jc w:val="left"/>
        <w:rPr>
          <w:rFonts w:hint="eastAsia" w:ascii="宋体" w:hAnsi="宋体" w:eastAsia="宋体" w:cs="宋体"/>
          <w:sz w:val="24"/>
          <w:szCs w:val="24"/>
          <w:u w:val="single"/>
        </w:rPr>
      </w:pPr>
      <w:r>
        <w:rPr>
          <w:rFonts w:hint="eastAsia" w:ascii="宋体" w:hAnsi="宋体" w:eastAsia="宋体" w:cs="宋体"/>
          <w:sz w:val="24"/>
          <w:szCs w:val="24"/>
        </w:rPr>
        <w:t>（3）</w:t>
      </w:r>
      <w:r>
        <w:rPr>
          <w:rFonts w:hint="eastAsia" w:ascii="宋体" w:hAnsi="宋体" w:eastAsia="宋体" w:cs="宋体"/>
          <w:sz w:val="24"/>
          <w:szCs w:val="24"/>
          <w:u w:val="single"/>
        </w:rPr>
        <w:t>在乙方到现场实施消防安全评估工作所涉及的各组织间的协调工作应及时协调，并做好相应准备工作。</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rPr>
      </w:pPr>
      <w:r>
        <w:rPr>
          <w:rFonts w:hint="eastAsia" w:ascii="宋体" w:hAnsi="宋体" w:eastAsia="宋体" w:cs="宋体"/>
          <w:sz w:val="24"/>
          <w:szCs w:val="24"/>
        </w:rPr>
        <w:t>3.甲方提供上述协作事项的时间及方式：</w:t>
      </w:r>
      <w:r>
        <w:rPr>
          <w:rFonts w:hint="eastAsia" w:ascii="宋体" w:hAnsi="宋体" w:eastAsia="宋体" w:cs="宋体"/>
          <w:sz w:val="24"/>
          <w:szCs w:val="24"/>
          <w:u w:val="single"/>
        </w:rPr>
        <w:t>按合同约定及双方协商确定。因甲方提供资料迟延影响项目服务进度的，则乙方提交报告时限得相应予以顺延。</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bCs/>
          <w:sz w:val="24"/>
          <w:szCs w:val="24"/>
        </w:rPr>
      </w:pPr>
      <w:r>
        <w:rPr>
          <w:rFonts w:hint="eastAsia" w:ascii="宋体" w:hAnsi="宋体" w:eastAsia="宋体" w:cs="宋体"/>
          <w:b/>
          <w:bCs/>
          <w:sz w:val="24"/>
          <w:szCs w:val="24"/>
        </w:rPr>
        <w:t>（二）乙方服务承诺</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1.乙方工作人员不得为临时招聘人员。乙方应委派能胜任此项业务、且从事本行业不少于3年的人员进行工作。未经甲方同意，乙方不得随意更换服务团队成员，但不可抗力或团队成员确因伤病或离职等原因无法继续工作的除外，如发生该等情形，乙方应立即通知甲方并以书面形式提交替换人员名单及履历供甲方选择。</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乙方根据业务需要，承担本项目的主要人员要求：（1）由项目负责人带队的</w:t>
      </w:r>
      <w:r>
        <w:rPr>
          <w:rFonts w:hint="eastAsia" w:ascii="宋体" w:hAnsi="宋体" w:eastAsia="宋体" w:cs="宋体"/>
          <w:sz w:val="24"/>
          <w:szCs w:val="24"/>
          <w:lang w:bidi="en-US"/>
        </w:rPr>
        <w:t>项目组成员不少于3人，</w:t>
      </w:r>
      <w:r>
        <w:rPr>
          <w:rFonts w:hint="eastAsia" w:ascii="宋体" w:hAnsi="宋体" w:eastAsia="宋体" w:cs="宋体"/>
          <w:sz w:val="24"/>
          <w:szCs w:val="24"/>
        </w:rPr>
        <w:t>完成合同约定的服务内容。（2）根据乙方服务团队的工作表现及服务质量，甲方有权要求乙方更换不合格或不适宜的服务人员，乙方应</w:t>
      </w:r>
      <w:r>
        <w:rPr>
          <w:rFonts w:hint="eastAsia" w:ascii="宋体" w:hAnsi="宋体" w:eastAsia="宋体" w:cs="宋体"/>
          <w:sz w:val="24"/>
          <w:szCs w:val="24"/>
          <w:lang w:val="en-US" w:eastAsia="zh-CN"/>
        </w:rPr>
        <w:t>在3个工作日内</w:t>
      </w:r>
      <w:r>
        <w:rPr>
          <w:rFonts w:hint="eastAsia" w:ascii="宋体" w:hAnsi="宋体" w:eastAsia="宋体" w:cs="宋体"/>
          <w:sz w:val="24"/>
          <w:szCs w:val="24"/>
        </w:rPr>
        <w:t>及时</w:t>
      </w:r>
      <w:r>
        <w:rPr>
          <w:rFonts w:hint="eastAsia" w:ascii="宋体" w:hAnsi="宋体" w:eastAsia="宋体" w:cs="宋体"/>
          <w:sz w:val="24"/>
          <w:szCs w:val="24"/>
          <w:lang w:val="en-US" w:eastAsia="zh-CN"/>
        </w:rPr>
        <w:t>完成</w:t>
      </w:r>
      <w:r>
        <w:rPr>
          <w:rFonts w:hint="eastAsia" w:ascii="宋体" w:hAnsi="宋体" w:eastAsia="宋体" w:cs="宋体"/>
          <w:sz w:val="24"/>
          <w:szCs w:val="24"/>
        </w:rPr>
        <w:t>更换配置，以保证服务质量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否则甲方有权</w:t>
      </w:r>
      <w:r>
        <w:rPr>
          <w:rFonts w:hint="eastAsia" w:ascii="宋体" w:hAnsi="宋体" w:eastAsia="宋体" w:cs="宋体"/>
          <w:sz w:val="24"/>
          <w:szCs w:val="24"/>
        </w:rPr>
        <w:t>按照</w:t>
      </w:r>
      <w:r>
        <w:rPr>
          <w:rFonts w:hint="eastAsia" w:ascii="宋体" w:hAnsi="宋体" w:eastAsia="宋体" w:cs="宋体"/>
          <w:sz w:val="24"/>
          <w:szCs w:val="24"/>
          <w:lang w:val="en-US" w:eastAsia="zh-CN"/>
        </w:rPr>
        <w:t>乙方</w:t>
      </w:r>
      <w:r>
        <w:rPr>
          <w:rFonts w:hint="eastAsia" w:ascii="宋体" w:hAnsi="宋体" w:eastAsia="宋体" w:cs="宋体"/>
          <w:sz w:val="24"/>
          <w:szCs w:val="24"/>
        </w:rPr>
        <w:t>迟延更换天数</w:t>
      </w:r>
      <w:r>
        <w:rPr>
          <w:rFonts w:hint="eastAsia" w:ascii="宋体" w:hAnsi="宋体" w:eastAsia="宋体" w:cs="宋体"/>
          <w:sz w:val="24"/>
          <w:szCs w:val="24"/>
          <w:lang w:val="en-US" w:eastAsia="zh-CN"/>
        </w:rPr>
        <w:t>自待付费用中每日扣减支付合同总金额的万分之三作为违约金</w:t>
      </w:r>
      <w:r>
        <w:rPr>
          <w:rFonts w:hint="eastAsia" w:ascii="宋体" w:hAnsi="宋体" w:eastAsia="宋体" w:cs="宋体"/>
          <w:sz w:val="24"/>
          <w:szCs w:val="24"/>
        </w:rPr>
        <w:t>。（3）项目负责人</w:t>
      </w:r>
      <w:r>
        <w:rPr>
          <w:rFonts w:hint="eastAsia" w:ascii="宋体" w:hAnsi="宋体" w:eastAsia="宋体" w:cs="宋体"/>
          <w:sz w:val="24"/>
          <w:szCs w:val="24"/>
          <w:lang w:bidi="en-US"/>
        </w:rPr>
        <w:t>应当具备相应的注册消防工程师资格，</w:t>
      </w:r>
      <w:r>
        <w:rPr>
          <w:rFonts w:hint="eastAsia" w:ascii="宋体" w:hAnsi="宋体" w:eastAsia="宋体" w:cs="宋体"/>
          <w:sz w:val="24"/>
          <w:szCs w:val="24"/>
        </w:rPr>
        <w:t>项目技术负责人应具备一级注册消防工程师资质证书，项目评价组成员应具备消防设施操作员中级（含）以上资质证书。（4）</w:t>
      </w:r>
      <w:r>
        <w:rPr>
          <w:rFonts w:hint="eastAsia" w:ascii="宋体" w:hAnsi="宋体" w:eastAsia="宋体" w:cs="宋体"/>
          <w:sz w:val="24"/>
          <w:szCs w:val="24"/>
          <w:lang w:val="en-US" w:eastAsia="zh-CN"/>
        </w:rPr>
        <w:t>消防安全评估报告所列的</w:t>
      </w:r>
      <w:r>
        <w:rPr>
          <w:rFonts w:hint="eastAsia" w:ascii="宋体" w:hAnsi="宋体" w:eastAsia="宋体" w:cs="宋体"/>
          <w:sz w:val="24"/>
          <w:szCs w:val="24"/>
          <w:u w:val="single"/>
          <w:lang w:val="en-US" w:eastAsia="zh-CN"/>
        </w:rPr>
        <w:t>项目负责人及项目组成员必须参与现场评估工作。（5）</w:t>
      </w:r>
      <w:r>
        <w:rPr>
          <w:rFonts w:hint="eastAsia" w:ascii="宋体" w:hAnsi="宋体" w:eastAsia="宋体" w:cs="宋体"/>
          <w:sz w:val="24"/>
          <w:szCs w:val="24"/>
        </w:rPr>
        <w:t>所有项目组成员均为乙方单位在社会消防技术服务机构信息系统中备案人员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并在签约前</w:t>
      </w:r>
      <w:r>
        <w:rPr>
          <w:rFonts w:hint="eastAsia" w:ascii="宋体" w:hAnsi="宋体" w:eastAsia="宋体" w:cs="宋体"/>
          <w:sz w:val="24"/>
          <w:szCs w:val="24"/>
        </w:rPr>
        <w:t>提供</w:t>
      </w:r>
      <w:r>
        <w:rPr>
          <w:rFonts w:hint="eastAsia" w:ascii="宋体" w:hAnsi="宋体" w:eastAsia="宋体" w:cs="宋体"/>
          <w:sz w:val="24"/>
          <w:szCs w:val="24"/>
          <w:lang w:val="en-US" w:eastAsia="zh-CN"/>
        </w:rPr>
        <w:t>甲方加盖单位公章的</w:t>
      </w:r>
      <w:r>
        <w:rPr>
          <w:rFonts w:hint="eastAsia" w:ascii="宋体" w:hAnsi="宋体" w:eastAsia="宋体" w:cs="宋体"/>
          <w:sz w:val="24"/>
          <w:szCs w:val="24"/>
        </w:rPr>
        <w:t>相关</w:t>
      </w:r>
      <w:r>
        <w:rPr>
          <w:rFonts w:hint="eastAsia" w:ascii="宋体" w:hAnsi="宋体" w:eastAsia="宋体" w:cs="宋体"/>
          <w:sz w:val="24"/>
          <w:szCs w:val="24"/>
          <w:lang w:val="en-US" w:eastAsia="zh-CN"/>
        </w:rPr>
        <w:t>人员</w:t>
      </w:r>
      <w:r>
        <w:rPr>
          <w:rFonts w:hint="eastAsia" w:ascii="宋体" w:hAnsi="宋体" w:eastAsia="宋体" w:cs="宋体"/>
          <w:sz w:val="24"/>
          <w:szCs w:val="24"/>
        </w:rPr>
        <w:t>证书复印件、网站</w:t>
      </w:r>
      <w:r>
        <w:rPr>
          <w:rFonts w:hint="eastAsia" w:ascii="宋体" w:hAnsi="宋体" w:eastAsia="宋体" w:cs="宋体"/>
          <w:sz w:val="24"/>
          <w:szCs w:val="24"/>
          <w:lang w:val="en-US" w:eastAsia="zh-CN"/>
        </w:rPr>
        <w:t>查询</w:t>
      </w:r>
      <w:r>
        <w:rPr>
          <w:rFonts w:hint="eastAsia" w:ascii="宋体" w:hAnsi="宋体" w:eastAsia="宋体" w:cs="宋体"/>
          <w:sz w:val="24"/>
          <w:szCs w:val="24"/>
        </w:rPr>
        <w:t>截图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保证真实有效</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乙方（含乙方作业人员）保证具有签订、履行本合同的合法有效资质和能力。无论乙方该等资质或能力因何原因发生变更、失效或终止，包括但不限于乙方发生破产、清算被吊销或注销营业执照、被列为失信被执行人等情形，乙方保证在3日内以书面形式通知甲方，并及时采取有效补救措施。否则，甲方有权单方解除合同，且不承担任何损失或责任。</w:t>
      </w:r>
    </w:p>
    <w:p>
      <w:pPr>
        <w:pageBreakBefore w:val="0"/>
        <w:kinsoku/>
        <w:wordWrap/>
        <w:overflowPunct/>
        <w:topLinePunct w:val="0"/>
        <w:autoSpaceDE/>
        <w:autoSpaceDN/>
        <w:bidi w:val="0"/>
        <w:spacing w:line="360" w:lineRule="auto"/>
        <w:ind w:firstLine="482" w:firstLineChars="200"/>
        <w:contextualSpacing/>
        <w:outlineLvl w:val="0"/>
        <w:rPr>
          <w:rFonts w:hint="eastAsia" w:ascii="宋体" w:hAnsi="宋体" w:eastAsia="宋体" w:cs="宋体"/>
          <w:b/>
          <w:sz w:val="24"/>
          <w:szCs w:val="24"/>
        </w:rPr>
      </w:pPr>
      <w:r>
        <w:rPr>
          <w:rFonts w:hint="eastAsia" w:ascii="宋体" w:hAnsi="宋体" w:eastAsia="宋体" w:cs="宋体"/>
          <w:b/>
          <w:sz w:val="24"/>
          <w:szCs w:val="24"/>
        </w:rPr>
        <w:t>第四条    费用及其支付：</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1.总建筑面积：</w:t>
      </w:r>
      <w:r>
        <w:rPr>
          <w:rFonts w:hint="eastAsia" w:ascii="宋体" w:hAnsi="宋体" w:eastAsia="宋体" w:cs="宋体"/>
          <w:sz w:val="24"/>
          <w:szCs w:val="24"/>
          <w:u w:val="single"/>
        </w:rPr>
        <w:t>134000</w:t>
      </w:r>
      <w:r>
        <w:rPr>
          <w:rFonts w:hint="eastAsia" w:ascii="宋体" w:hAnsi="宋体" w:eastAsia="宋体" w:cs="宋体"/>
          <w:sz w:val="24"/>
          <w:szCs w:val="24"/>
        </w:rPr>
        <w:t>平方米，合同总金额为¥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）；其中不含税价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元，税率</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rPr>
        <w:t>，税金为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元。该合同价款包括所有设备材料费、评审验收会费用、人工费、管理费、报告编制费、税费以及可能存在的漏项等所有费用在内，为全包价。</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2.由甲方向乙方转账支付。具体支付方式和时间如下：</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（1）合同签订生效、甲方收到乙方发票后5个工作日内，甲方支付合同总价的50%计¥</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w:t>
      </w:r>
      <w:r>
        <w:rPr>
          <w:rFonts w:hint="eastAsia" w:ascii="宋体" w:hAnsi="宋体" w:eastAsia="宋体" w:cs="宋体"/>
          <w:sz w:val="24"/>
          <w:szCs w:val="24"/>
          <w:u w:val="single"/>
        </w:rPr>
        <w:t>（大写：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（2）乙方向甲方提交报告且达到甲方要求，双方确认无误后5个工作日内，甲方支付合同总价50%计¥</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w:t>
      </w:r>
      <w:r>
        <w:rPr>
          <w:rFonts w:hint="eastAsia" w:ascii="宋体" w:hAnsi="宋体" w:eastAsia="宋体" w:cs="宋体"/>
          <w:sz w:val="24"/>
          <w:szCs w:val="24"/>
          <w:u w:val="single"/>
        </w:rPr>
        <w:t>（大写：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（3）乙方需在甲方以银行转账方式支付款项前，向甲方提供等额增值税</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%的专用/普通发票。</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3.乙方收款银行名称、地址和账号为：</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rPr>
      </w:pPr>
      <w:r>
        <w:rPr>
          <w:rFonts w:hint="eastAsia" w:ascii="宋体" w:hAnsi="宋体" w:eastAsia="宋体" w:cs="宋体"/>
          <w:sz w:val="24"/>
          <w:szCs w:val="24"/>
        </w:rPr>
        <w:t>公司名称：</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银行名称：</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地    址：</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账    号：</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税    号：</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联 行 号：</w:t>
      </w:r>
      <w:r>
        <w:rPr>
          <w:rFonts w:hint="eastAsia" w:ascii="宋体" w:hAnsi="宋体" w:eastAsia="宋体" w:cs="宋体"/>
          <w:sz w:val="24"/>
          <w:szCs w:val="24"/>
          <w:u w:val="single"/>
          <w:lang w:val="en-US" w:eastAsia="zh-CN"/>
        </w:rPr>
        <w:t xml:space="preserve">           </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lang w:val="en-US" w:eastAsia="zh-CN"/>
        </w:rPr>
      </w:pPr>
      <w:r>
        <w:rPr>
          <w:rFonts w:hint="eastAsia" w:ascii="宋体" w:hAnsi="宋体" w:eastAsia="宋体" w:cs="宋体"/>
          <w:sz w:val="24"/>
          <w:szCs w:val="24"/>
        </w:rPr>
        <w:t>办公地址及电话：</w:t>
      </w:r>
      <w:r>
        <w:rPr>
          <w:rFonts w:hint="eastAsia" w:ascii="宋体" w:hAnsi="宋体" w:eastAsia="宋体" w:cs="宋体"/>
          <w:sz w:val="24"/>
          <w:szCs w:val="24"/>
          <w:u w:val="single"/>
          <w:lang w:val="en-US" w:eastAsia="zh-CN"/>
        </w:rPr>
        <w:t xml:space="preserve">                </w:t>
      </w:r>
    </w:p>
    <w:p>
      <w:pPr>
        <w:pageBreakBefore w:val="0"/>
        <w:numPr>
          <w:ilvl w:val="0"/>
          <w:numId w:val="2"/>
        </w:numPr>
        <w:kinsoku/>
        <w:wordWrap/>
        <w:overflowPunct/>
        <w:topLinePunct w:val="0"/>
        <w:autoSpaceDE/>
        <w:autoSpaceDN/>
        <w:bidi w:val="0"/>
        <w:spacing w:line="360" w:lineRule="auto"/>
        <w:ind w:firstLine="482" w:firstLineChars="200"/>
        <w:contextualSpacing/>
        <w:outlineLvl w:val="0"/>
        <w:rPr>
          <w:rFonts w:hint="eastAsia" w:ascii="宋体" w:hAnsi="宋体" w:eastAsia="宋体" w:cs="宋体"/>
          <w:b/>
          <w:sz w:val="24"/>
          <w:szCs w:val="24"/>
        </w:rPr>
      </w:pPr>
      <w:r>
        <w:rPr>
          <w:rFonts w:hint="eastAsia" w:ascii="宋体" w:hAnsi="宋体" w:eastAsia="宋体" w:cs="宋体"/>
          <w:b/>
          <w:sz w:val="24"/>
          <w:szCs w:val="24"/>
        </w:rPr>
        <w:t xml:space="preserve"> 知识产权</w:t>
      </w:r>
    </w:p>
    <w:p>
      <w:pPr>
        <w:pageBreakBefore w:val="0"/>
        <w:kinsoku/>
        <w:wordWrap/>
        <w:overflowPunct/>
        <w:topLinePunct w:val="0"/>
        <w:autoSpaceDE/>
        <w:autoSpaceDN/>
        <w:bidi w:val="0"/>
        <w:spacing w:line="360" w:lineRule="auto"/>
        <w:ind w:firstLine="480" w:firstLineChars="200"/>
        <w:contextualSpacing/>
        <w:outlineLvl w:val="0"/>
        <w:rPr>
          <w:rFonts w:hint="eastAsia" w:ascii="宋体" w:hAnsi="宋体" w:eastAsia="宋体" w:cs="宋体"/>
          <w:bCs/>
          <w:sz w:val="24"/>
          <w:szCs w:val="24"/>
        </w:rPr>
      </w:pPr>
      <w:r>
        <w:rPr>
          <w:rFonts w:hint="eastAsia" w:ascii="宋体" w:hAnsi="宋体" w:eastAsia="宋体" w:cs="宋体"/>
          <w:bCs/>
          <w:sz w:val="24"/>
          <w:szCs w:val="24"/>
        </w:rPr>
        <w:t>1.本合同所取得的记录、数据、图片、报告等资料以及技术服务工作成果，除乙方背景知识产权外，其知识产权归甲方单独享有和行使，乙方可享有署名权（如有）及持有工作成果有关资料副本的权利（仅供乙方归档使用）。未经甲方许可，乙方不得擅自向第三方披露，不得自行使用或用于本合同以外的目的。</w:t>
      </w:r>
    </w:p>
    <w:p>
      <w:pPr>
        <w:pageBreakBefore w:val="0"/>
        <w:kinsoku/>
        <w:wordWrap/>
        <w:overflowPunct/>
        <w:topLinePunct w:val="0"/>
        <w:autoSpaceDE/>
        <w:autoSpaceDN/>
        <w:bidi w:val="0"/>
        <w:spacing w:line="360" w:lineRule="auto"/>
        <w:ind w:firstLine="480" w:firstLineChars="200"/>
        <w:contextualSpacing/>
        <w:outlineLvl w:val="0"/>
        <w:rPr>
          <w:rFonts w:hint="eastAsia" w:ascii="宋体" w:hAnsi="宋体" w:eastAsia="宋体" w:cs="宋体"/>
          <w:b/>
          <w:sz w:val="24"/>
          <w:szCs w:val="24"/>
        </w:rPr>
      </w:pPr>
      <w:r>
        <w:rPr>
          <w:rFonts w:hint="eastAsia" w:ascii="宋体" w:hAnsi="宋体" w:eastAsia="宋体" w:cs="宋体"/>
          <w:bCs/>
          <w:sz w:val="24"/>
          <w:szCs w:val="24"/>
        </w:rPr>
        <w:t>2.乙方保证其交付给甲方的技术服务工作成果不侵犯任何第三方的知识产权，若任何第三方主张乙方向甲方交付的成果侵犯其知识产权的，由乙方负责处理前述第三方的权利主张并承担可能发生的一切责任和费用；如因此给甲方造成损失的，乙方还应承担相应的赔偿责任。</w:t>
      </w:r>
    </w:p>
    <w:p>
      <w:pPr>
        <w:pageBreakBefore w:val="0"/>
        <w:numPr>
          <w:ilvl w:val="0"/>
          <w:numId w:val="2"/>
        </w:numPr>
        <w:kinsoku/>
        <w:wordWrap/>
        <w:overflowPunct/>
        <w:topLinePunct w:val="0"/>
        <w:autoSpaceDE/>
        <w:autoSpaceDN/>
        <w:bidi w:val="0"/>
        <w:spacing w:line="360" w:lineRule="auto"/>
        <w:ind w:firstLine="482" w:firstLineChars="200"/>
        <w:contextualSpacing/>
        <w:outlineLvl w:val="0"/>
        <w:rPr>
          <w:rFonts w:hint="eastAsia" w:ascii="宋体" w:hAnsi="宋体" w:eastAsia="宋体" w:cs="宋体"/>
          <w:b/>
          <w:sz w:val="24"/>
          <w:szCs w:val="24"/>
        </w:rPr>
      </w:pPr>
      <w:r>
        <w:rPr>
          <w:rFonts w:hint="eastAsia" w:ascii="宋体" w:hAnsi="宋体" w:eastAsia="宋体" w:cs="宋体"/>
          <w:b/>
          <w:sz w:val="24"/>
          <w:szCs w:val="24"/>
        </w:rPr>
        <w:t>技术情报和资料保密</w:t>
      </w:r>
    </w:p>
    <w:p>
      <w:pPr>
        <w:pageBreakBefore w:val="0"/>
        <w:widowControl/>
        <w:kinsoku/>
        <w:wordWrap/>
        <w:overflowPunct/>
        <w:topLinePunct w:val="0"/>
        <w:autoSpaceDE/>
        <w:autoSpaceDN/>
        <w:bidi w:val="0"/>
        <w:spacing w:line="360" w:lineRule="auto"/>
        <w:ind w:firstLine="480" w:firstLineChars="200"/>
        <w:contextualSpacing/>
        <w:jc w:val="left"/>
        <w:outlineLvl w:val="0"/>
        <w:rPr>
          <w:rFonts w:hint="eastAsia" w:ascii="宋体" w:hAnsi="宋体" w:eastAsia="宋体" w:cs="宋体"/>
          <w:bCs/>
          <w:sz w:val="24"/>
          <w:szCs w:val="24"/>
        </w:rPr>
      </w:pPr>
      <w:r>
        <w:rPr>
          <w:rFonts w:hint="eastAsia" w:ascii="宋体" w:hAnsi="宋体" w:eastAsia="宋体" w:cs="宋体"/>
          <w:bCs/>
          <w:sz w:val="24"/>
          <w:szCs w:val="24"/>
        </w:rPr>
        <w:t>1.双方承担对另一方提供的技术情报和资料进行保密的义务，并采取相应的保密措施。未经对方书面同意，另一方不得披露给任何第三方，不得用于本合同以外的其他目的。</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2.涉密人员范围</w:t>
      </w:r>
      <w:r>
        <w:rPr>
          <w:rFonts w:hint="eastAsia" w:ascii="宋体" w:hAnsi="宋体" w:eastAsia="宋体" w:cs="宋体"/>
          <w:sz w:val="24"/>
          <w:szCs w:val="24"/>
          <w:u w:val="single"/>
        </w:rPr>
        <w:t>：甲乙双方所有参与本项目的人员</w:t>
      </w:r>
      <w:r>
        <w:rPr>
          <w:rFonts w:hint="eastAsia" w:ascii="宋体" w:hAnsi="宋体" w:eastAsia="宋体" w:cs="宋体"/>
          <w:sz w:val="24"/>
          <w:szCs w:val="24"/>
        </w:rPr>
        <w:t>。</w:t>
      </w:r>
    </w:p>
    <w:p>
      <w:pPr>
        <w:pageBreakBefore w:val="0"/>
        <w:widowControl/>
        <w:kinsoku/>
        <w:wordWrap/>
        <w:overflowPunct/>
        <w:topLinePunct w:val="0"/>
        <w:autoSpaceDE/>
        <w:autoSpaceDN/>
        <w:bidi w:val="0"/>
        <w:spacing w:line="360" w:lineRule="auto"/>
        <w:ind w:firstLine="480" w:firstLineChars="200"/>
        <w:contextualSpacing/>
        <w:jc w:val="left"/>
        <w:outlineLvl w:val="0"/>
        <w:rPr>
          <w:rFonts w:hint="eastAsia" w:ascii="宋体" w:hAnsi="宋体" w:eastAsia="宋体" w:cs="宋体"/>
          <w:sz w:val="24"/>
          <w:szCs w:val="24"/>
        </w:rPr>
      </w:pPr>
      <w:r>
        <w:rPr>
          <w:rFonts w:hint="eastAsia" w:ascii="宋体" w:hAnsi="宋体" w:eastAsia="宋体" w:cs="宋体"/>
          <w:sz w:val="24"/>
          <w:szCs w:val="24"/>
        </w:rPr>
        <w:t>3.保密期限：</w:t>
      </w:r>
      <w:r>
        <w:rPr>
          <w:rFonts w:hint="eastAsia" w:ascii="宋体" w:hAnsi="宋体" w:eastAsia="宋体" w:cs="宋体"/>
          <w:sz w:val="24"/>
          <w:szCs w:val="24"/>
          <w:u w:val="single"/>
        </w:rPr>
        <w:t>直至保密信息并非由于甲方的披露而为公众所知为止。</w:t>
      </w:r>
      <w:r>
        <w:rPr>
          <w:rFonts w:hint="eastAsia" w:ascii="宋体" w:hAnsi="宋体" w:eastAsia="宋体" w:cs="宋体"/>
          <w:sz w:val="24"/>
          <w:szCs w:val="24"/>
        </w:rPr>
        <w:t>即</w:t>
      </w:r>
      <w:r>
        <w:rPr>
          <w:rFonts w:hint="eastAsia" w:ascii="宋体" w:hAnsi="宋体" w:eastAsia="宋体" w:cs="宋体"/>
          <w:bCs/>
          <w:sz w:val="24"/>
          <w:szCs w:val="24"/>
        </w:rPr>
        <w:t>双方的保密义务不因本合同解除、终止或履行完毕等原因而免除。</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4.泄密责任：</w:t>
      </w:r>
      <w:r>
        <w:rPr>
          <w:rFonts w:hint="eastAsia" w:ascii="宋体" w:hAnsi="宋体" w:eastAsia="宋体" w:cs="宋体"/>
          <w:sz w:val="24"/>
          <w:szCs w:val="24"/>
          <w:u w:val="single"/>
        </w:rPr>
        <w:t>按《中华人民共和国民法典》相关条款承担违约责任。</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sz w:val="24"/>
          <w:szCs w:val="24"/>
        </w:rPr>
      </w:pPr>
      <w:r>
        <w:rPr>
          <w:rFonts w:hint="eastAsia" w:ascii="宋体" w:hAnsi="宋体" w:eastAsia="宋体" w:cs="宋体"/>
          <w:b/>
          <w:sz w:val="24"/>
          <w:szCs w:val="24"/>
        </w:rPr>
        <w:t>第七条   本合同的变更必须由双方协商一致，并以书面形式确定</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第八条   双方确定，按以下标准和方式对乙方提交的技术服务工作成果进行验收：</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u w:val="single"/>
        </w:rPr>
      </w:pPr>
      <w:r>
        <w:rPr>
          <w:rFonts w:hint="eastAsia" w:ascii="宋体" w:hAnsi="宋体" w:eastAsia="宋体" w:cs="宋体"/>
          <w:sz w:val="24"/>
          <w:szCs w:val="24"/>
        </w:rPr>
        <w:t>1.乙方提交技术服务工作成果的形式：</w:t>
      </w:r>
      <w:r>
        <w:rPr>
          <w:rFonts w:hint="eastAsia" w:ascii="宋体" w:hAnsi="宋体" w:eastAsia="宋体" w:cs="宋体"/>
          <w:sz w:val="24"/>
          <w:szCs w:val="24"/>
          <w:u w:val="single"/>
        </w:rPr>
        <w:t>消防安全评估报告纸质版一式3份，电子版1份</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2.技术服务工作成果的验收标准：（1）</w:t>
      </w:r>
      <w:r>
        <w:rPr>
          <w:rFonts w:hint="eastAsia" w:ascii="宋体" w:hAnsi="宋体" w:eastAsia="宋体" w:cs="宋体"/>
          <w:sz w:val="24"/>
          <w:szCs w:val="24"/>
          <w:u w:val="single"/>
        </w:rPr>
        <w:t>符合国家相关消防法律法规、技术规范要求及强制标准；（2）招标文件要求、投标文件承诺、合同约定；(3)本项目最终成果为《北京清华长庚医院消防安全评估报告》，评估范围及报告质量须符合“北京市医院管理中心关于推进市属医院消防安全评估工作的通知”中列示的要求（本合同附件3、附件4中列示条目）。与甲方医院相关的评估报告内容</w:t>
      </w:r>
      <w:r>
        <w:rPr>
          <w:rFonts w:hint="eastAsia" w:ascii="宋体" w:hAnsi="宋体" w:eastAsia="宋体" w:cs="宋体"/>
          <w:sz w:val="24"/>
          <w:szCs w:val="24"/>
          <w:u w:val="single"/>
          <w:lang w:val="en-US" w:eastAsia="zh-CN"/>
        </w:rPr>
        <w:t>完整、</w:t>
      </w:r>
      <w:r>
        <w:rPr>
          <w:rFonts w:hint="eastAsia" w:ascii="宋体" w:hAnsi="宋体" w:eastAsia="宋体" w:cs="宋体"/>
          <w:sz w:val="24"/>
          <w:szCs w:val="24"/>
          <w:u w:val="single"/>
        </w:rPr>
        <w:t>科学严谨，须符合国家法律法规及标准规范的要求，符合医院实际需求，能够切实提高医院消防安全管理水平；（4）所出具评消防安全评估报告需经专家论证并按要求修改后通过甲方审核验收。</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Cs/>
          <w:sz w:val="24"/>
          <w:szCs w:val="24"/>
        </w:rPr>
      </w:pPr>
      <w:r>
        <w:rPr>
          <w:rFonts w:hint="eastAsia" w:ascii="宋体" w:hAnsi="宋体" w:eastAsia="宋体" w:cs="宋体"/>
          <w:b/>
          <w:sz w:val="24"/>
          <w:szCs w:val="24"/>
        </w:rPr>
        <w:t>第九条  双方确定，按以下约定承担各自的违约责任：</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1.双方应当全面履行本合同中约定的义务，因一方违约给另一方造成经济损失的，违约方应当向守约方进行损失赔偿。</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2.甲方违反本合同第四条约定逾期支付应付合同价款的，每逾期一日须按逾期金额的千分之三向乙方加付违约金，逾期20日及以上的，乙方有权暂停受托工作且不承担任何损失或责任。</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3.乙方应按时保质的向甲方交付各阶段工作成果，乙方逾期交付各阶段工作成果的，每逾期一日，须按合同总金额的千分之三支付违约金，逾期20日及以上的，甲方有权单方解除合同、追回已付款项并按合同总金额的10%收取违约金。</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4.如乙方在完成委托工作时出现弄虚作假情况、不履行本合同或履行不符合约定要求的，甲方有权追回已付款项，如乙方行为造成甲方损失的，甲方有权要求赔偿并追究乙方相关责任人员的法律责任。</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5.未经甲方许可，乙方擅自转包或分包本合同项下任何服务或工作的，甲方有权自乙方前述违约行为发生之日起解除本合同，要求乙方按照本合同总金额的30%支付违约金和赔偿给甲方造成的损失。</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第十条  双方确定，在本合同有效期内，甲方指定为甲方项目联系人，乙方指定</w:t>
      </w:r>
      <w:r>
        <w:rPr>
          <w:rFonts w:hint="eastAsia" w:ascii="宋体" w:hAnsi="宋体" w:eastAsia="宋体" w:cs="宋体"/>
          <w:b/>
          <w:sz w:val="24"/>
          <w:szCs w:val="24"/>
          <w:u w:val="single"/>
        </w:rPr>
        <w:t xml:space="preserve"> </w:t>
      </w:r>
      <w:r>
        <w:rPr>
          <w:rFonts w:hint="eastAsia" w:ascii="宋体" w:hAnsi="宋体" w:eastAsia="宋体" w:cs="宋体"/>
          <w:b/>
          <w:sz w:val="24"/>
          <w:szCs w:val="24"/>
          <w:u w:val="single"/>
          <w:lang w:val="en-US" w:eastAsia="zh-CN"/>
        </w:rPr>
        <w:t xml:space="preserve">    </w:t>
      </w:r>
      <w:r>
        <w:rPr>
          <w:rFonts w:hint="eastAsia" w:ascii="宋体" w:hAnsi="宋体" w:eastAsia="宋体" w:cs="宋体"/>
          <w:b/>
          <w:sz w:val="24"/>
          <w:szCs w:val="24"/>
          <w:u w:val="single"/>
        </w:rPr>
        <w:t xml:space="preserve"> </w:t>
      </w:r>
      <w:r>
        <w:rPr>
          <w:rFonts w:hint="eastAsia" w:ascii="宋体" w:hAnsi="宋体" w:eastAsia="宋体" w:cs="宋体"/>
          <w:b/>
          <w:sz w:val="24"/>
          <w:szCs w:val="24"/>
        </w:rPr>
        <w:t>为项目负责人、</w:t>
      </w:r>
      <w:r>
        <w:rPr>
          <w:rFonts w:hint="eastAsia" w:ascii="宋体" w:hAnsi="宋体" w:eastAsia="宋体" w:cs="宋体"/>
          <w:b/>
          <w:sz w:val="24"/>
          <w:szCs w:val="24"/>
          <w:u w:val="single"/>
          <w:lang w:val="en-US" w:eastAsia="zh-CN"/>
        </w:rPr>
        <w:t xml:space="preserve">         </w:t>
      </w:r>
      <w:r>
        <w:rPr>
          <w:rFonts w:hint="eastAsia" w:ascii="宋体" w:hAnsi="宋体" w:eastAsia="宋体" w:cs="宋体"/>
          <w:b/>
          <w:sz w:val="24"/>
          <w:szCs w:val="24"/>
          <w:u w:val="single"/>
        </w:rPr>
        <w:t xml:space="preserve"> </w:t>
      </w:r>
      <w:r>
        <w:rPr>
          <w:rFonts w:hint="eastAsia" w:ascii="宋体" w:hAnsi="宋体" w:eastAsia="宋体" w:cs="宋体"/>
          <w:b/>
          <w:sz w:val="24"/>
          <w:szCs w:val="24"/>
        </w:rPr>
        <w:t>为技术负责人。</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如有一方变更项目主要负责人员的，应当及时以书面形式通知另一方。未及时通知并影响本合同履行或造成损失的，应承担相应的责任。</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第十一条  廉政责任</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1.甲乙双方保证：不以任何形式为官方有关人士或任何第三方或签约各方之间提供（或谋求）任何形式的贿赂、不正当利益等，包括但不限于：报销应由其自行支付的费用；投资入股、购买或装修住房、为个人借款或买卖股票、债券等提供方便；以任何理由安排宴请、健身、旅游、消费、娱乐等活动；购置或提供通讯工具、交通工具、礼品、食品和其他用品；谋取其他不正当利益或为此提供方便等。</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2.甲方工作人员如违反本条第1款的，乙方应予以拒绝并有责任如实向甲方纪检监察部门反映情况，以便依据有关党纪法规和制度规定予以处理，涉嫌违法的，移送司法机关处理；乙方工作人员如违反本条第1款的，一经发现，甲方有权终止本合同，由乙方承担合同终止导致的损失赔偿责任，并将乙方列入「不合格供应商清单」，甲方在未来至少三年内将不再与乙方发生业务往来，同时向有关部门报告。</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第十二条  双方确定，出现下列情形，致使本合同的履行成为不必要或不可能的，可以协商解除本合同：</w:t>
      </w:r>
    </w:p>
    <w:p>
      <w:pPr>
        <w:pageBreakBefore w:val="0"/>
        <w:kinsoku/>
        <w:wordWrap/>
        <w:overflowPunct/>
        <w:topLinePunct w:val="0"/>
        <w:autoSpaceDE/>
        <w:autoSpaceDN/>
        <w:bidi w:val="0"/>
        <w:spacing w:line="360" w:lineRule="auto"/>
        <w:ind w:left="540" w:leftChars="257" w:firstLine="48" w:firstLineChars="20"/>
        <w:contextualSpacing/>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.发生不可抗力因素；</w:t>
      </w:r>
    </w:p>
    <w:p>
      <w:pPr>
        <w:pageBreakBefore w:val="0"/>
        <w:kinsoku/>
        <w:wordWrap/>
        <w:overflowPunct/>
        <w:topLinePunct w:val="0"/>
        <w:autoSpaceDE/>
        <w:autoSpaceDN/>
        <w:bidi w:val="0"/>
        <w:spacing w:after="120" w:line="360" w:lineRule="auto"/>
        <w:ind w:left="540" w:leftChars="257" w:firstLine="48" w:firstLineChars="20"/>
        <w:contextualSpacing/>
        <w:rPr>
          <w:rFonts w:hint="eastAsia" w:ascii="宋体" w:hAnsi="宋体" w:eastAsia="宋体" w:cs="宋体"/>
          <w:sz w:val="24"/>
          <w:szCs w:val="24"/>
          <w:u w:val="single"/>
        </w:rPr>
      </w:pPr>
      <w:r>
        <w:rPr>
          <w:rFonts w:hint="eastAsia" w:ascii="宋体" w:hAnsi="宋体" w:eastAsia="宋体" w:cs="宋体"/>
          <w:sz w:val="24"/>
          <w:szCs w:val="24"/>
        </w:rPr>
        <w:t>2.</w:t>
      </w:r>
      <w:r>
        <w:rPr>
          <w:rFonts w:hint="eastAsia" w:ascii="宋体" w:hAnsi="宋体" w:eastAsia="宋体" w:cs="宋体"/>
          <w:sz w:val="24"/>
          <w:szCs w:val="24"/>
          <w:u w:val="single"/>
        </w:rPr>
        <w:t>无。</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Cs/>
          <w:sz w:val="24"/>
          <w:szCs w:val="24"/>
        </w:rPr>
      </w:pPr>
      <w:r>
        <w:rPr>
          <w:rFonts w:hint="eastAsia" w:ascii="宋体" w:hAnsi="宋体" w:eastAsia="宋体" w:cs="宋体"/>
          <w:b/>
          <w:sz w:val="24"/>
          <w:szCs w:val="24"/>
        </w:rPr>
        <w:t xml:space="preserve">第十三条  </w:t>
      </w:r>
      <w:r>
        <w:rPr>
          <w:rFonts w:hint="eastAsia" w:ascii="宋体" w:hAnsi="宋体" w:eastAsia="宋体" w:cs="宋体"/>
          <w:bCs/>
          <w:sz w:val="24"/>
          <w:szCs w:val="24"/>
        </w:rPr>
        <w:t>双方因履行本合同而发生的争议，应协商解决，可另行签订补充协议；补充协议和附件均为本合同的组成部分，具有同等的法律效力。协商不成的，任何一方依法可向有</w:t>
      </w:r>
      <w:r>
        <w:rPr>
          <w:rFonts w:hint="eastAsia" w:ascii="宋体" w:hAnsi="宋体" w:eastAsia="宋体" w:cs="宋体"/>
          <w:bCs/>
          <w:sz w:val="24"/>
          <w:szCs w:val="24"/>
          <w:u w:val="single"/>
        </w:rPr>
        <w:t>管辖权</w:t>
      </w:r>
      <w:r>
        <w:rPr>
          <w:rFonts w:hint="eastAsia" w:ascii="宋体" w:hAnsi="宋体" w:eastAsia="宋体" w:cs="宋体"/>
          <w:bCs/>
          <w:sz w:val="24"/>
          <w:szCs w:val="24"/>
        </w:rPr>
        <w:t>的人民法院起诉。</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Cs/>
          <w:sz w:val="24"/>
          <w:szCs w:val="24"/>
        </w:rPr>
      </w:pPr>
      <w:r>
        <w:rPr>
          <w:rFonts w:hint="eastAsia" w:ascii="宋体" w:hAnsi="宋体" w:eastAsia="宋体" w:cs="宋体"/>
          <w:b/>
          <w:sz w:val="24"/>
          <w:szCs w:val="24"/>
        </w:rPr>
        <w:t xml:space="preserve">第十四条  </w:t>
      </w:r>
      <w:r>
        <w:rPr>
          <w:rFonts w:hint="eastAsia" w:ascii="宋体" w:hAnsi="宋体" w:eastAsia="宋体" w:cs="宋体"/>
          <w:bCs/>
          <w:sz w:val="24"/>
          <w:szCs w:val="24"/>
        </w:rPr>
        <w:t>双方约定本合同其他相关事项为</w:t>
      </w:r>
      <w:r>
        <w:rPr>
          <w:rFonts w:hint="eastAsia" w:ascii="宋体" w:hAnsi="宋体" w:eastAsia="宋体" w:cs="宋体"/>
          <w:bCs/>
          <w:sz w:val="24"/>
          <w:szCs w:val="24"/>
          <w:u w:val="single"/>
        </w:rPr>
        <w:t>乙方对出具的</w:t>
      </w:r>
      <w:r>
        <w:rPr>
          <w:rFonts w:hint="eastAsia" w:ascii="宋体" w:hAnsi="宋体" w:eastAsia="宋体" w:cs="宋体"/>
          <w:sz w:val="24"/>
          <w:szCs w:val="24"/>
          <w:u w:val="single"/>
        </w:rPr>
        <w:t>《消防安全评估报告》等</w:t>
      </w:r>
      <w:r>
        <w:rPr>
          <w:rFonts w:hint="eastAsia" w:ascii="宋体" w:hAnsi="宋体" w:eastAsia="宋体" w:cs="宋体"/>
          <w:bCs/>
          <w:sz w:val="24"/>
          <w:szCs w:val="24"/>
          <w:u w:val="single"/>
        </w:rPr>
        <w:t>技术服务成果的质量负责并承担法律责任</w:t>
      </w:r>
      <w:r>
        <w:rPr>
          <w:rFonts w:hint="eastAsia" w:ascii="宋体" w:hAnsi="宋体" w:eastAsia="宋体" w:cs="宋体"/>
          <w:bCs/>
          <w:sz w:val="24"/>
          <w:szCs w:val="24"/>
        </w:rPr>
        <w:t>。</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
          <w:sz w:val="24"/>
          <w:szCs w:val="24"/>
        </w:rPr>
      </w:pPr>
      <w:r>
        <w:rPr>
          <w:rFonts w:hint="eastAsia" w:ascii="宋体" w:hAnsi="宋体" w:eastAsia="宋体" w:cs="宋体"/>
          <w:b/>
          <w:sz w:val="24"/>
          <w:szCs w:val="24"/>
        </w:rPr>
        <w:t xml:space="preserve">第十五条  </w:t>
      </w:r>
      <w:r>
        <w:rPr>
          <w:rFonts w:hint="eastAsia" w:ascii="宋体" w:hAnsi="宋体" w:eastAsia="宋体" w:cs="宋体"/>
          <w:bCs/>
          <w:sz w:val="24"/>
          <w:szCs w:val="24"/>
        </w:rPr>
        <w:t>有关本合同履行的任何书面通知或往来文件应当以专人送交、传真、挂号信或特快专递的方式递交。上述通知或往来文件应当按照合同文首的各方通讯地址和联系信息送达。如专人递交的通知在专人递交之时视为有效送达；如以邮寄方式发送，以发件人寄出邮件后3日视为送达日期(无论收件人实际收件时间、是否实际收到、无法送达或退件)；以电子邮件形式发出的通知，在传送日后第一个工作日视为有效送达。如以传真形式送达，在发出传真且发送方的传输报告显示所有传真均已被接受方接受时，视为有效送达。</w:t>
      </w:r>
    </w:p>
    <w:p>
      <w:pPr>
        <w:pageBreakBefore w:val="0"/>
        <w:kinsoku/>
        <w:wordWrap/>
        <w:overflowPunct/>
        <w:topLinePunct w:val="0"/>
        <w:autoSpaceDE/>
        <w:autoSpaceDN/>
        <w:bidi w:val="0"/>
        <w:spacing w:line="360" w:lineRule="auto"/>
        <w:ind w:firstLine="482" w:firstLineChars="200"/>
        <w:contextualSpacing/>
        <w:rPr>
          <w:rFonts w:hint="eastAsia" w:ascii="宋体" w:hAnsi="宋体" w:eastAsia="宋体" w:cs="宋体"/>
          <w:bCs/>
          <w:sz w:val="24"/>
          <w:szCs w:val="24"/>
        </w:rPr>
      </w:pPr>
      <w:r>
        <w:rPr>
          <w:rFonts w:hint="eastAsia" w:ascii="宋体" w:hAnsi="宋体" w:eastAsia="宋体" w:cs="宋体"/>
          <w:b/>
          <w:sz w:val="24"/>
          <w:szCs w:val="24"/>
        </w:rPr>
        <w:t xml:space="preserve">第十六条  </w:t>
      </w:r>
      <w:r>
        <w:rPr>
          <w:rFonts w:hint="eastAsia" w:ascii="宋体" w:hAnsi="宋体" w:eastAsia="宋体" w:cs="宋体"/>
          <w:bCs/>
          <w:sz w:val="24"/>
          <w:szCs w:val="24"/>
        </w:rPr>
        <w:t>本合同经双方签字盖章后生效。本合同一式陆份，甲乙双方各执叁份，具有同等法律效力，合同附件为本合同的有效组成部分，本合同共有四个附件：</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附件1《评估服务所需提供资料清单》；</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附件2《团队服务人员名单》；</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Cs/>
          <w:sz w:val="24"/>
          <w:szCs w:val="24"/>
        </w:rPr>
      </w:pPr>
      <w:r>
        <w:rPr>
          <w:rFonts w:hint="eastAsia" w:ascii="宋体" w:hAnsi="宋体" w:eastAsia="宋体" w:cs="宋体"/>
          <w:bCs/>
          <w:sz w:val="24"/>
          <w:szCs w:val="24"/>
        </w:rPr>
        <w:t>附件3《北京市卫生健康系统大排查大整治消防安全检查要点》；</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b/>
          <w:sz w:val="24"/>
          <w:szCs w:val="24"/>
        </w:rPr>
      </w:pPr>
      <w:r>
        <w:rPr>
          <w:rFonts w:hint="eastAsia" w:ascii="宋体" w:hAnsi="宋体" w:eastAsia="宋体" w:cs="宋体"/>
          <w:bCs/>
          <w:sz w:val="24"/>
          <w:szCs w:val="24"/>
        </w:rPr>
        <w:t>附件4《市属医院特定场所消防安全管理要点》。</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r>
        <w:rPr>
          <w:rFonts w:hint="eastAsia" w:ascii="宋体" w:hAnsi="宋体" w:eastAsia="宋体" w:cs="宋体"/>
          <w:sz w:val="24"/>
          <w:szCs w:val="24"/>
        </w:rPr>
        <w:t>【本页无正文，为甲乙双方“北京清华长庚医院 2024年度消防安全评估服务”项目《技术服务合同》签署页。】</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甲方：北京清华长庚医院（盖章）</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法定代表人/委托代理人：（签名）</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项目联系人：</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contextualSpacing/>
        <w:jc w:val="center"/>
        <w:rPr>
          <w:rFonts w:hint="eastAsia" w:ascii="宋体" w:hAnsi="宋体" w:eastAsia="宋体" w:cs="宋体"/>
          <w:sz w:val="24"/>
          <w:szCs w:val="24"/>
        </w:rPr>
      </w:pPr>
      <w:r>
        <w:rPr>
          <w:rFonts w:hint="eastAsia" w:ascii="宋体" w:hAnsi="宋体" w:eastAsia="宋体" w:cs="宋体"/>
          <w:sz w:val="24"/>
          <w:szCs w:val="24"/>
        </w:rPr>
        <w:t xml:space="preserve">                        年      月      日</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p>
    <w:p>
      <w:pPr>
        <w:pageBreakBefore w:val="0"/>
        <w:kinsoku/>
        <w:wordWrap/>
        <w:overflowPunct/>
        <w:topLinePunct w:val="0"/>
        <w:autoSpaceDE/>
        <w:autoSpaceDN/>
        <w:bidi w:val="0"/>
        <w:spacing w:line="360" w:lineRule="auto"/>
        <w:ind w:firstLine="480" w:firstLineChars="200"/>
        <w:contextualSpacing/>
        <w:jc w:val="left"/>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（盖章）</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法定代表人/委托代理人：（签名）</w:t>
      </w:r>
    </w:p>
    <w:p>
      <w:pPr>
        <w:pageBreakBefore w:val="0"/>
        <w:kinsoku/>
        <w:wordWrap/>
        <w:overflowPunct/>
        <w:topLinePunct w:val="0"/>
        <w:autoSpaceDE/>
        <w:autoSpaceDN/>
        <w:bidi w:val="0"/>
        <w:spacing w:line="360" w:lineRule="auto"/>
        <w:ind w:firstLine="480" w:firstLineChars="200"/>
        <w:contextualSpacing/>
        <w:rPr>
          <w:rFonts w:hint="eastAsia" w:ascii="宋体" w:hAnsi="宋体" w:eastAsia="宋体" w:cs="宋体"/>
          <w:sz w:val="24"/>
          <w:szCs w:val="24"/>
        </w:rPr>
      </w:pPr>
      <w:r>
        <w:rPr>
          <w:rFonts w:hint="eastAsia" w:ascii="宋体" w:hAnsi="宋体" w:eastAsia="宋体" w:cs="宋体"/>
          <w:sz w:val="24"/>
          <w:szCs w:val="24"/>
        </w:rPr>
        <w:t>项目联系人：</w:t>
      </w:r>
    </w:p>
    <w:p>
      <w:pPr>
        <w:pageBreakBefore w:val="0"/>
        <w:kinsoku/>
        <w:wordWrap/>
        <w:overflowPunct/>
        <w:topLinePunct w:val="0"/>
        <w:autoSpaceDE/>
        <w:autoSpaceDN/>
        <w:bidi w:val="0"/>
        <w:spacing w:line="360" w:lineRule="auto"/>
        <w:ind w:firstLine="480" w:firstLineChars="200"/>
        <w:contextualSpacing/>
        <w:jc w:val="center"/>
        <w:rPr>
          <w:rFonts w:hint="eastAsia" w:ascii="宋体" w:hAnsi="宋体" w:eastAsia="宋体" w:cs="宋体"/>
          <w:sz w:val="24"/>
          <w:szCs w:val="24"/>
        </w:rPr>
      </w:pPr>
      <w:r>
        <w:rPr>
          <w:rFonts w:hint="eastAsia" w:ascii="宋体" w:hAnsi="宋体" w:eastAsia="宋体" w:cs="宋体"/>
          <w:sz w:val="24"/>
          <w:szCs w:val="24"/>
        </w:rPr>
        <w:t xml:space="preserve">                        年      月      日</w:t>
      </w:r>
    </w:p>
    <w:p>
      <w:pPr>
        <w:pageBreakBefore w:val="0"/>
        <w:kinsoku/>
        <w:wordWrap/>
        <w:overflowPunct/>
        <w:topLinePunct w:val="0"/>
        <w:autoSpaceDE/>
        <w:autoSpaceDN/>
        <w:bidi w:val="0"/>
        <w:spacing w:line="360" w:lineRule="auto"/>
        <w:contextualSpacing/>
        <w:rPr>
          <w:rFonts w:hint="eastAsia" w:ascii="宋体" w:hAnsi="宋体" w:eastAsia="宋体" w:cs="宋体"/>
          <w:sz w:val="24"/>
          <w:szCs w:val="24"/>
        </w:rPr>
      </w:pPr>
    </w:p>
    <w:p>
      <w:pPr>
        <w:pageBreakBefore w:val="0"/>
        <w:shd w:val="clear" w:color="000000" w:fill="FFFFFF"/>
        <w:kinsoku/>
        <w:wordWrap/>
        <w:overflowPunct/>
        <w:topLinePunct w:val="0"/>
        <w:autoSpaceDE/>
        <w:autoSpaceDN/>
        <w:bidi w:val="0"/>
        <w:spacing w:before="100" w:beforeAutospacing="1" w:after="100" w:afterAutospacing="1"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信息登记表</w:t>
      </w:r>
    </w:p>
    <w:tbl>
      <w:tblPr>
        <w:tblStyle w:val="33"/>
        <w:tblW w:w="8510" w:type="dxa"/>
        <w:tblInd w:w="0" w:type="dxa"/>
        <w:tblLayout w:type="fixed"/>
        <w:tblCellMar>
          <w:top w:w="0" w:type="dxa"/>
          <w:left w:w="108" w:type="dxa"/>
          <w:bottom w:w="0" w:type="dxa"/>
          <w:right w:w="108" w:type="dxa"/>
        </w:tblCellMar>
      </w:tblPr>
      <w:tblGrid>
        <w:gridCol w:w="1103"/>
        <w:gridCol w:w="1137"/>
        <w:gridCol w:w="1350"/>
        <w:gridCol w:w="1125"/>
        <w:gridCol w:w="1362"/>
        <w:gridCol w:w="2433"/>
      </w:tblGrid>
      <w:tr>
        <w:tblPrEx>
          <w:tblCellMar>
            <w:top w:w="0" w:type="dxa"/>
            <w:left w:w="108" w:type="dxa"/>
            <w:bottom w:w="0" w:type="dxa"/>
            <w:right w:w="108" w:type="dxa"/>
          </w:tblCellMar>
        </w:tblPrEx>
        <w:trPr>
          <w:trHeight w:val="851" w:hRule="atLeast"/>
        </w:trPr>
        <w:tc>
          <w:tcPr>
            <w:tcW w:w="110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甲 方</w:t>
            </w:r>
          </w:p>
        </w:tc>
        <w:tc>
          <w:tcPr>
            <w:tcW w:w="2487" w:type="dxa"/>
            <w:gridSpan w:val="2"/>
            <w:tcBorders>
              <w:top w:val="single" w:color="auto" w:sz="4" w:space="0"/>
              <w:left w:val="nil"/>
              <w:bottom w:val="single" w:color="auto" w:sz="4" w:space="0"/>
              <w:right w:val="single" w:color="000000"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北京清华长庚医院</w:t>
            </w:r>
          </w:p>
        </w:tc>
        <w:tc>
          <w:tcPr>
            <w:tcW w:w="1125"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乙  方</w:t>
            </w:r>
          </w:p>
        </w:tc>
        <w:tc>
          <w:tcPr>
            <w:tcW w:w="3795" w:type="dxa"/>
            <w:gridSpan w:val="2"/>
            <w:tcBorders>
              <w:top w:val="single" w:color="auto" w:sz="4" w:space="0"/>
              <w:left w:val="nil"/>
              <w:bottom w:val="single" w:color="auto" w:sz="4" w:space="0"/>
              <w:right w:val="single" w:color="000000"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北京中安质环技术评价中心有限公司</w:t>
            </w:r>
          </w:p>
        </w:tc>
      </w:tr>
      <w:tr>
        <w:tblPrEx>
          <w:tblCellMar>
            <w:top w:w="0" w:type="dxa"/>
            <w:left w:w="108" w:type="dxa"/>
            <w:bottom w:w="0" w:type="dxa"/>
            <w:right w:w="108" w:type="dxa"/>
          </w:tblCellMar>
        </w:tblPrEx>
        <w:trPr>
          <w:trHeight w:val="1496" w:hRule="atLeast"/>
        </w:trPr>
        <w:tc>
          <w:tcPr>
            <w:tcW w:w="1103" w:type="dxa"/>
            <w:vMerge w:val="restart"/>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通信信息</w:t>
            </w: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地  址</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北京市昌平区立汤路168号</w:t>
            </w:r>
          </w:p>
        </w:tc>
        <w:tc>
          <w:tcPr>
            <w:tcW w:w="1125" w:type="dxa"/>
            <w:vMerge w:val="restart"/>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通信信息</w:t>
            </w: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地  址</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邮  编</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102218</w:t>
            </w: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邮  编</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lang w:eastAsia="zh-CN"/>
              </w:rPr>
            </w:pP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电  话</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lang w:eastAsia="zh-CN"/>
              </w:rPr>
            </w:pP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电  话</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邮  箱</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wangdayewy@tsinghua.edu.cn</w:t>
            </w: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邮  箱</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186" w:hRule="atLeast"/>
        </w:trPr>
        <w:tc>
          <w:tcPr>
            <w:tcW w:w="1103" w:type="dxa"/>
            <w:vMerge w:val="restart"/>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开票信息</w:t>
            </w: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单位名称</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北京清华长庚医院</w:t>
            </w:r>
          </w:p>
        </w:tc>
        <w:tc>
          <w:tcPr>
            <w:tcW w:w="1125" w:type="dxa"/>
            <w:vMerge w:val="restart"/>
            <w:tcBorders>
              <w:top w:val="nil"/>
              <w:left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收款信息</w:t>
            </w: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账户名称</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851"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纳税人识别号</w:t>
            </w:r>
          </w:p>
        </w:tc>
        <w:tc>
          <w:tcPr>
            <w:tcW w:w="1350" w:type="dxa"/>
            <w:tcBorders>
              <w:top w:val="nil"/>
              <w:left w:val="nil"/>
              <w:bottom w:val="single" w:color="auto" w:sz="4" w:space="0"/>
              <w:right w:val="single" w:color="auto" w:sz="4" w:space="0"/>
            </w:tcBorders>
            <w:vAlign w:val="center"/>
          </w:tcPr>
          <w:p>
            <w:pPr>
              <w:pStyle w:val="17"/>
              <w:pageBreakBefore w:val="0"/>
              <w:kinsoku/>
              <w:wordWrap/>
              <w:overflowPunct/>
              <w:topLinePunct w:val="0"/>
              <w:autoSpaceDE/>
              <w:autoSpaceDN/>
              <w:bidi w:val="0"/>
              <w:spacing w:line="360" w:lineRule="auto"/>
              <w:textAlignment w:val="baseline"/>
              <w:rPr>
                <w:rFonts w:hint="eastAsia" w:ascii="宋体" w:hAnsi="宋体" w:eastAsia="宋体" w:cs="宋体"/>
                <w:color w:val="000000"/>
                <w:sz w:val="24"/>
                <w:szCs w:val="24"/>
              </w:rPr>
            </w:pPr>
            <w:r>
              <w:rPr>
                <w:rFonts w:hint="eastAsia" w:ascii="宋体" w:hAnsi="宋体" w:eastAsia="宋体" w:cs="宋体"/>
                <w:sz w:val="24"/>
                <w:szCs w:val="24"/>
              </w:rPr>
              <w:t>12110000318301495P</w:t>
            </w:r>
          </w:p>
        </w:tc>
        <w:tc>
          <w:tcPr>
            <w:tcW w:w="1125" w:type="dxa"/>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账  号</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158"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地  址</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北京市昌平区立汤路168号</w:t>
            </w:r>
          </w:p>
        </w:tc>
        <w:tc>
          <w:tcPr>
            <w:tcW w:w="1125" w:type="dxa"/>
            <w:vMerge w:val="continue"/>
            <w:tcBorders>
              <w:left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开户行</w:t>
            </w:r>
          </w:p>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名  称</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61"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联行号</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1125" w:type="dxa"/>
            <w:vMerge w:val="continue"/>
            <w:tcBorders>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联行号</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741"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电  话</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1125" w:type="dxa"/>
            <w:vMerge w:val="restart"/>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资质信息</w:t>
            </w:r>
          </w:p>
        </w:tc>
        <w:tc>
          <w:tcPr>
            <w:tcW w:w="1362" w:type="dxa"/>
            <w:vMerge w:val="restart"/>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工商营业统一社会信用代码</w:t>
            </w:r>
          </w:p>
        </w:tc>
        <w:tc>
          <w:tcPr>
            <w:tcW w:w="2433" w:type="dxa"/>
            <w:vMerge w:val="restart"/>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29"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开户行</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北京银行太阳宫支行</w:t>
            </w: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vMerge w:val="continue"/>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2433" w:type="dxa"/>
            <w:vMerge w:val="continue"/>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865" w:hRule="atLeast"/>
        </w:trPr>
        <w:tc>
          <w:tcPr>
            <w:tcW w:w="1103" w:type="dxa"/>
            <w:vMerge w:val="continue"/>
            <w:tcBorders>
              <w:top w:val="nil"/>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137"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账  号</w:t>
            </w:r>
          </w:p>
        </w:tc>
        <w:tc>
          <w:tcPr>
            <w:tcW w:w="1350"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20000028396500002202843</w:t>
            </w:r>
          </w:p>
        </w:tc>
        <w:tc>
          <w:tcPr>
            <w:tcW w:w="1125" w:type="dxa"/>
            <w:vMerge w:val="continue"/>
            <w:tcBorders>
              <w:top w:val="nil"/>
              <w:left w:val="single" w:color="auto" w:sz="4" w:space="0"/>
              <w:bottom w:val="single" w:color="000000"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c>
          <w:tcPr>
            <w:tcW w:w="1362"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是否一般纳税人</w:t>
            </w:r>
          </w:p>
        </w:tc>
        <w:tc>
          <w:tcPr>
            <w:tcW w:w="2433" w:type="dxa"/>
            <w:tcBorders>
              <w:top w:val="nil"/>
              <w:left w:val="nil"/>
              <w:bottom w:val="single" w:color="auto" w:sz="4" w:space="0"/>
              <w:right w:val="single" w:color="auto" w:sz="4" w:space="0"/>
            </w:tcBorders>
            <w:vAlign w:val="center"/>
          </w:tcPr>
          <w:p>
            <w:pPr>
              <w:pageBreakBefore w:val="0"/>
              <w:kinsoku/>
              <w:wordWrap/>
              <w:overflowPunct/>
              <w:topLinePunct w:val="0"/>
              <w:autoSpaceDE/>
              <w:autoSpaceDN/>
              <w:bidi w:val="0"/>
              <w:spacing w:line="360" w:lineRule="auto"/>
              <w:jc w:val="left"/>
              <w:rPr>
                <w:rFonts w:hint="eastAsia" w:ascii="宋体" w:hAnsi="宋体" w:eastAsia="宋体" w:cs="宋体"/>
                <w:color w:val="000000"/>
                <w:sz w:val="24"/>
                <w:szCs w:val="24"/>
              </w:rPr>
            </w:pP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outlineLvl w:val="0"/>
        <w:rPr>
          <w:rFonts w:hint="eastAsia" w:ascii="宋体" w:hAnsi="宋体" w:eastAsia="宋体" w:cs="宋体"/>
          <w:sz w:val="24"/>
          <w:szCs w:val="24"/>
        </w:rPr>
      </w:pPr>
    </w:p>
    <w:p>
      <w:pPr>
        <w:pageBreakBefore w:val="0"/>
        <w:kinsoku/>
        <w:wordWrap/>
        <w:overflowPunct/>
        <w:topLinePunct w:val="0"/>
        <w:autoSpaceDE/>
        <w:autoSpaceDN/>
        <w:bidi w:val="0"/>
        <w:spacing w:line="360" w:lineRule="auto"/>
        <w:contextualSpacing/>
        <w:rPr>
          <w:rFonts w:hint="eastAsia" w:ascii="宋体" w:hAnsi="宋体" w:eastAsia="宋体" w:cs="宋体"/>
          <w:bCs/>
          <w:sz w:val="24"/>
          <w:szCs w:val="24"/>
        </w:rPr>
      </w:pPr>
      <w:r>
        <w:rPr>
          <w:rFonts w:hint="eastAsia" w:ascii="宋体" w:hAnsi="宋体" w:eastAsia="宋体" w:cs="宋体"/>
          <w:bCs/>
          <w:sz w:val="24"/>
          <w:szCs w:val="24"/>
        </w:rPr>
        <w:t>附件1：</w:t>
      </w:r>
    </w:p>
    <w:p>
      <w:pPr>
        <w:pageBreakBefore w:val="0"/>
        <w:kinsoku/>
        <w:wordWrap/>
        <w:overflowPunct/>
        <w:topLinePunct w:val="0"/>
        <w:autoSpaceDE/>
        <w:autoSpaceDN/>
        <w:bidi w:val="0"/>
        <w:spacing w:before="312" w:beforeLines="100" w:after="312" w:afterLines="100" w:line="360" w:lineRule="auto"/>
        <w:jc w:val="center"/>
        <w:rPr>
          <w:rFonts w:hint="eastAsia" w:ascii="宋体" w:hAnsi="宋体" w:eastAsia="宋体" w:cs="宋体"/>
          <w:b/>
          <w:sz w:val="24"/>
          <w:szCs w:val="24"/>
        </w:rPr>
      </w:pPr>
      <w:r>
        <w:rPr>
          <w:rFonts w:hint="eastAsia" w:ascii="宋体" w:hAnsi="宋体" w:eastAsia="宋体" w:cs="宋体"/>
          <w:bCs/>
          <w:sz w:val="24"/>
          <w:szCs w:val="24"/>
        </w:rPr>
        <w:t>评估服务所需提供资料清单</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营业执照、统一社会信用代码等单位证明文件。</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经过审核同意或备案抽查合格的建设工程消防设计、竣工验收图纸，消防设计文件以及相关资料。</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行政机关下发的法律文书：</w:t>
      </w:r>
    </w:p>
    <w:p>
      <w:pPr>
        <w:pageBreakBefore w:val="0"/>
        <w:numPr>
          <w:ilvl w:val="0"/>
          <w:numId w:val="4"/>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建设工程消防设计审核文书或备案凭证；</w:t>
      </w:r>
    </w:p>
    <w:p>
      <w:pPr>
        <w:pageBreakBefore w:val="0"/>
        <w:numPr>
          <w:ilvl w:val="0"/>
          <w:numId w:val="4"/>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建设工程消防验收文书或备案抽查文书；</w:t>
      </w:r>
    </w:p>
    <w:p>
      <w:pPr>
        <w:pageBreakBefore w:val="0"/>
        <w:numPr>
          <w:ilvl w:val="0"/>
          <w:numId w:val="4"/>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公众聚集场所投入使用、营业消防安全检查法律文书；</w:t>
      </w:r>
    </w:p>
    <w:p>
      <w:pPr>
        <w:pageBreakBefore w:val="0"/>
        <w:numPr>
          <w:ilvl w:val="0"/>
          <w:numId w:val="4"/>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消防监督检查等其他法律文书。</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单位实施消防安全管理的文件和资料，主要包括：</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单位确定（变更）消防安全责任人、管理人、消防工作职能部门的文件；</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单位明确各部门、各岗位以及相关人员消防工作责任制的文件以及记录相应履职情况的资料；</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安全宣传培训、防火巡查检查、安全疏散设施管理、消防（控制室）值班、用火用电安全管理、专职和志愿消防队的组织管理、灭火和应急疏散预案演练等消防安全制度的文件，以及落实各项消防安全制度的记录；</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消防安全规程以及执行消防安全规程的记录；</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自动消防设施操作等依法需要持证上岗人员的执业证书；</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微型消防站的设置情况（包含人员、装备等）及管理文件、记录等；</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工作计划。包括：消防工作年度计划、培训计划、应急演练计划、消防设施维护保养计划；</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消防档案、消防宣传教育档案，档案应包括宣传影像资料、文字记录等内容；</w:t>
      </w:r>
    </w:p>
    <w:p>
      <w:pPr>
        <w:pageBreakBefore w:val="0"/>
        <w:numPr>
          <w:ilvl w:val="0"/>
          <w:numId w:val="5"/>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其他反映单位消防安全管理情况的文件和资料。</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建筑消防设施检测及维护保养资料，主要包括：</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 建筑消防设施定期检验检测的报告；</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建筑消防设施维护保养合同、维护保养报告；</w:t>
      </w:r>
    </w:p>
    <w:p>
      <w:pPr>
        <w:pageBreakBefore w:val="0"/>
        <w:numPr>
          <w:ilvl w:val="0"/>
          <w:numId w:val="6"/>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消防设施维修、改造的各项记录。</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反映消防产品（材料）质量的资料，主要包括：</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单位使用消防产品质量合格的证明文件；</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建筑内部装修材料质量合格文件，见证取样检验报告等；</w:t>
      </w:r>
    </w:p>
    <w:p>
      <w:pPr>
        <w:pageBreakBefore w:val="0"/>
        <w:numPr>
          <w:ilvl w:val="0"/>
          <w:numId w:val="7"/>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建筑外墙保温材料质量合格文件，检验报告等。</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安全评价报告、消防安全评估报告、消防设施汇总表、建构筑物总平面布局图、建构筑物一览表、消防设施布置图、安全出口布置图、消防重点部位位置图、近五年来火灾发生情况、生产企业的主要工艺、主要设备、主要物料、储存情况。</w:t>
      </w:r>
    </w:p>
    <w:p>
      <w:pPr>
        <w:pageBreakBefore w:val="0"/>
        <w:numPr>
          <w:ilvl w:val="0"/>
          <w:numId w:val="3"/>
        </w:numPr>
        <w:kinsoku/>
        <w:wordWrap/>
        <w:overflowPunct/>
        <w:topLinePunct w:val="0"/>
        <w:autoSpaceDE/>
        <w:autoSpaceDN/>
        <w:bidi w:val="0"/>
        <w:spacing w:line="360" w:lineRule="auto"/>
        <w:ind w:firstLine="0"/>
        <w:rPr>
          <w:rFonts w:hint="eastAsia" w:ascii="宋体" w:hAnsi="宋体" w:eastAsia="宋体" w:cs="宋体"/>
          <w:sz w:val="24"/>
          <w:szCs w:val="24"/>
        </w:rPr>
      </w:pPr>
      <w:r>
        <w:rPr>
          <w:rFonts w:hint="eastAsia" w:ascii="宋体" w:hAnsi="宋体" w:eastAsia="宋体" w:cs="宋体"/>
          <w:sz w:val="24"/>
          <w:szCs w:val="24"/>
        </w:rPr>
        <w:t>消防控制室内符合GB25506规定应保存的纸质和电于档案资料，该项资料现场检查前应准备好。具体内容如下：</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建(构)筑物竣工后的总平面布局图、建筑消防设施平面布置图、建筑消防设施系统图及安全出口布置图、重点部位位置图等；</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消防安全管理规章制度、应急灭火预案、应急疏散预案等；</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消防安全组织结构图，包括消防安全责任人、管理人、专职、义务消防人员等内容；</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消防安全培训记录、灭火和应急疏散预案的演练记录；</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值班情况、消防安全检查情况及巡查情况的记录；</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消防设施一览表，包括消防设施的类型、数量、状态等内容；</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消防系统控制逻辑关系说明、设备使用说明书、系统操作规程、系统和设备维护保养制度等；</w:t>
      </w:r>
    </w:p>
    <w:p>
      <w:pPr>
        <w:pageBreakBefore w:val="0"/>
        <w:numPr>
          <w:ilvl w:val="0"/>
          <w:numId w:val="8"/>
        </w:numPr>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设备运行状况、接报警记录、火灾处理情况、设备检修检测报告等资料，这些资料应能定期保存和归档。</w:t>
      </w:r>
    </w:p>
    <w:p>
      <w:pPr>
        <w:pageBreakBefore w:val="0"/>
        <w:kinsoku/>
        <w:wordWrap/>
        <w:overflowPunct/>
        <w:topLinePunct w:val="0"/>
        <w:autoSpaceDE/>
        <w:autoSpaceDN/>
        <w:bidi w:val="0"/>
        <w:spacing w:line="360" w:lineRule="auto"/>
        <w:ind w:firstLine="480"/>
        <w:rPr>
          <w:rFonts w:hint="eastAsia" w:ascii="宋体" w:hAnsi="宋体" w:eastAsia="宋体" w:cs="宋体"/>
          <w:color w:val="000000"/>
          <w:sz w:val="24"/>
          <w:szCs w:val="24"/>
          <w:shd w:val="clear" w:color="auto" w:fill="FFFFFF"/>
        </w:rPr>
      </w:pPr>
    </w:p>
    <w:p>
      <w:pPr>
        <w:pageBreakBefore w:val="0"/>
        <w:kinsoku/>
        <w:wordWrap/>
        <w:overflowPunct/>
        <w:topLinePunct w:val="0"/>
        <w:autoSpaceDE/>
        <w:autoSpaceDN/>
        <w:bidi w:val="0"/>
        <w:spacing w:line="360" w:lineRule="auto"/>
        <w:ind w:firstLine="480"/>
        <w:rPr>
          <w:rFonts w:hint="eastAsia"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注：委托单位应对所提供资料的真实性负责</w:t>
      </w:r>
    </w:p>
    <w:p>
      <w:pPr>
        <w:pageBreakBefore w:val="0"/>
        <w:kinsoku/>
        <w:wordWrap/>
        <w:overflowPunct/>
        <w:topLinePunct w:val="0"/>
        <w:autoSpaceDE/>
        <w:autoSpaceDN/>
        <w:bidi w:val="0"/>
        <w:spacing w:line="360" w:lineRule="auto"/>
        <w:ind w:firstLine="480"/>
        <w:rPr>
          <w:rFonts w:hint="eastAsia" w:ascii="宋体" w:hAnsi="宋体" w:eastAsia="宋体" w:cs="宋体"/>
          <w:b/>
          <w:bCs/>
          <w:color w:val="000000"/>
          <w:sz w:val="24"/>
          <w:szCs w:val="24"/>
          <w:shd w:val="clear" w:color="auto" w:fill="FFFFFF"/>
        </w:rPr>
      </w:pPr>
    </w:p>
    <w:p>
      <w:pPr>
        <w:pageBreakBefore w:val="0"/>
        <w:kinsoku/>
        <w:wordWrap/>
        <w:overflowPunct/>
        <w:topLinePunct w:val="0"/>
        <w:autoSpaceDE/>
        <w:autoSpaceDN/>
        <w:bidi w:val="0"/>
        <w:spacing w:line="360" w:lineRule="auto"/>
        <w:ind w:firstLine="480"/>
        <w:rPr>
          <w:rFonts w:hint="eastAsia" w:ascii="宋体" w:hAnsi="宋体" w:eastAsia="宋体" w:cs="宋体"/>
          <w:b/>
          <w:bCs/>
          <w:color w:val="000000"/>
          <w:sz w:val="24"/>
          <w:szCs w:val="24"/>
          <w:shd w:val="clear" w:color="auto" w:fill="FFFFFF"/>
        </w:rPr>
      </w:pPr>
    </w:p>
    <w:p>
      <w:pPr>
        <w:pageBreakBefore w:val="0"/>
        <w:kinsoku/>
        <w:wordWrap/>
        <w:overflowPunct/>
        <w:topLinePunct w:val="0"/>
        <w:autoSpaceDE/>
        <w:autoSpaceDN/>
        <w:bidi w:val="0"/>
        <w:spacing w:line="360" w:lineRule="auto"/>
        <w:ind w:firstLine="480"/>
        <w:rPr>
          <w:rFonts w:hint="eastAsia"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附件2：</w:t>
      </w:r>
    </w:p>
    <w:p>
      <w:pPr>
        <w:pageBreakBefore w:val="0"/>
        <w:kinsoku/>
        <w:wordWrap/>
        <w:overflowPunct/>
        <w:topLinePunct w:val="0"/>
        <w:autoSpaceDE/>
        <w:autoSpaceDN/>
        <w:bidi w:val="0"/>
        <w:spacing w:line="360" w:lineRule="auto"/>
        <w:ind w:firstLine="480"/>
        <w:jc w:val="center"/>
        <w:rPr>
          <w:rFonts w:hint="eastAsia" w:ascii="宋体" w:hAnsi="宋体" w:eastAsia="宋体" w:cs="宋体"/>
          <w:b/>
          <w:bCs/>
          <w:color w:val="000000"/>
          <w:sz w:val="24"/>
          <w:szCs w:val="24"/>
          <w:shd w:val="clear" w:color="auto" w:fill="FFFFFF"/>
        </w:rPr>
      </w:pPr>
      <w:r>
        <w:rPr>
          <w:rFonts w:hint="eastAsia" w:ascii="宋体" w:hAnsi="宋体" w:eastAsia="宋体" w:cs="宋体"/>
          <w:b/>
          <w:bCs/>
          <w:color w:val="000000"/>
          <w:sz w:val="24"/>
          <w:szCs w:val="24"/>
          <w:shd w:val="clear" w:color="auto" w:fill="FFFFFF"/>
        </w:rPr>
        <w:t>团队服务人员名单</w:t>
      </w:r>
    </w:p>
    <w:tbl>
      <w:tblPr>
        <w:tblStyle w:val="33"/>
        <w:tblW w:w="859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313"/>
        <w:gridCol w:w="5306"/>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序号</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姓名</w:t>
            </w: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资质证书</w:t>
            </w:r>
          </w:p>
        </w:tc>
        <w:tc>
          <w:tcPr>
            <w:tcW w:w="1235"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bidi="ar"/>
              </w:rPr>
              <w:t>拟担职责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1235"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2</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3</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restart"/>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4</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sz w:val="24"/>
                <w:szCs w:val="24"/>
              </w:rPr>
              <w:t>5</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6</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7</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8</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9</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10</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11</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8"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12</w:t>
            </w:r>
          </w:p>
        </w:tc>
        <w:tc>
          <w:tcPr>
            <w:tcW w:w="1313"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kern w:val="0"/>
                <w:sz w:val="24"/>
                <w:szCs w:val="24"/>
                <w:lang w:bidi="ar"/>
              </w:rPr>
            </w:pPr>
          </w:p>
        </w:tc>
        <w:tc>
          <w:tcPr>
            <w:tcW w:w="5306" w:type="dxa"/>
            <w:vAlign w:val="center"/>
          </w:tcPr>
          <w:p>
            <w:pPr>
              <w:pageBreakBefore w:val="0"/>
              <w:widowControl/>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c>
          <w:tcPr>
            <w:tcW w:w="1235" w:type="dxa"/>
            <w:vMerge w:val="continue"/>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sz w:val="24"/>
                <w:szCs w:val="24"/>
              </w:rPr>
            </w:pP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*上表中人员为可参与本项目的全部人员名单，按当天工作内容在清单中进行选派进场人员，保障</w:t>
      </w:r>
      <w:r>
        <w:rPr>
          <w:rFonts w:hint="eastAsia" w:ascii="宋体" w:hAnsi="宋体" w:eastAsia="宋体" w:cs="宋体"/>
          <w:sz w:val="24"/>
          <w:szCs w:val="24"/>
          <w:lang w:bidi="en-US"/>
        </w:rPr>
        <w:t>项目组成员不少于3人，所有参与项目的人员均按统一评估标准开展工作。</w:t>
      </w:r>
      <w:r>
        <w:rPr>
          <w:rFonts w:hint="eastAsia" w:ascii="宋体" w:hAnsi="宋体" w:eastAsia="宋体" w:cs="宋体"/>
          <w:sz w:val="24"/>
          <w:szCs w:val="24"/>
        </w:rPr>
        <w:t>项目负责人</w:t>
      </w:r>
      <w:r>
        <w:rPr>
          <w:rFonts w:hint="eastAsia" w:ascii="宋体" w:hAnsi="宋体" w:eastAsia="宋体" w:cs="宋体"/>
          <w:sz w:val="24"/>
          <w:szCs w:val="24"/>
          <w:lang w:bidi="en-US"/>
        </w:rPr>
        <w:t>应当具备相应的注册消防工程师资格，</w:t>
      </w:r>
      <w:r>
        <w:rPr>
          <w:rFonts w:hint="eastAsia" w:ascii="宋体" w:hAnsi="宋体" w:eastAsia="宋体" w:cs="宋体"/>
          <w:sz w:val="24"/>
          <w:szCs w:val="24"/>
        </w:rPr>
        <w:t>项目技术负责人应具备一级注册消防工程师资质证书，项目评价组成员应具备消防设施操作员中级（含）以上资质证书。所有项目组成员均为本单位在社会消防技术服务机构信息系统中备案人员。</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sectPr>
          <w:footerReference r:id="rId3" w:type="default"/>
          <w:pgSz w:w="11906" w:h="16838"/>
          <w:pgMar w:top="1440" w:right="1800" w:bottom="1440" w:left="1800" w:header="851" w:footer="992" w:gutter="0"/>
          <w:cols w:space="425" w:num="1"/>
          <w:docGrid w:type="lines" w:linePitch="312" w:charSpace="0"/>
        </w:sectPr>
      </w:pPr>
    </w:p>
    <w:p>
      <w:pPr>
        <w:pageBreakBefore w:val="0"/>
        <w:kinsoku/>
        <w:wordWrap/>
        <w:overflowPunct/>
        <w:topLinePunct w:val="0"/>
        <w:autoSpaceDE/>
        <w:autoSpaceDN/>
        <w:bidi w:val="0"/>
        <w:spacing w:line="360" w:lineRule="auto"/>
        <w:contextualSpacing/>
        <w:outlineLvl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33695" cy="3129915"/>
            <wp:effectExtent l="0" t="0" r="14605" b="13335"/>
            <wp:docPr id="13" name="图片 13" descr="关于推进市属医院消防安全评估工作的通知（下发市属医院)(2)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推进市属医院消防安全评估工作的通知（下发市属医院)(2)_页面_09"/>
                    <pic:cNvPicPr>
                      <a:picLocks noChangeAspect="1"/>
                    </pic:cNvPicPr>
                  </pic:nvPicPr>
                  <pic:blipFill>
                    <a:blip r:embed="rId11"/>
                    <a:srcRect l="3375" t="11511" r="4148" b="2135"/>
                    <a:stretch>
                      <a:fillRect/>
                    </a:stretch>
                  </pic:blipFill>
                  <pic:spPr>
                    <a:xfrm>
                      <a:off x="0" y="0"/>
                      <a:ext cx="5433695" cy="312991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695950" cy="3770630"/>
            <wp:effectExtent l="0" t="0" r="0" b="1270"/>
            <wp:docPr id="12" name="图片 12" descr="关于推进市属医院消防安全评估工作的通知（下发市属医院)(2)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推进市属医院消防安全评估工作的通知（下发市属医院)(2)_页面_10"/>
                    <pic:cNvPicPr>
                      <a:picLocks noChangeAspect="1"/>
                    </pic:cNvPicPr>
                  </pic:nvPicPr>
                  <pic:blipFill>
                    <a:blip r:embed="rId12"/>
                    <a:srcRect l="4439" t="9505" r="4796" b="5542"/>
                    <a:stretch>
                      <a:fillRect/>
                    </a:stretch>
                  </pic:blipFill>
                  <pic:spPr>
                    <a:xfrm>
                      <a:off x="0" y="0"/>
                      <a:ext cx="5695950" cy="3770630"/>
                    </a:xfrm>
                    <a:prstGeom prst="rect">
                      <a:avLst/>
                    </a:prstGeom>
                  </pic:spPr>
                </pic:pic>
              </a:graphicData>
            </a:graphic>
          </wp:inline>
        </w:drawing>
      </w:r>
    </w:p>
    <w:p>
      <w:pPr>
        <w:pageBreakBefore w:val="0"/>
        <w:kinsoku/>
        <w:wordWrap/>
        <w:overflowPunct/>
        <w:topLinePunct w:val="0"/>
        <w:autoSpaceDE/>
        <w:autoSpaceDN/>
        <w:bidi w:val="0"/>
        <w:spacing w:line="360" w:lineRule="auto"/>
        <w:contextualSpacing/>
        <w:outlineLvl w:val="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524500" cy="3281045"/>
            <wp:effectExtent l="0" t="0" r="0" b="14605"/>
            <wp:docPr id="11" name="图片 11" descr="关于推进市属医院消防安全评估工作的通知（下发市属医院)(2)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推进市属医院消防安全评估工作的通知（下发市属医院)(2)_页面_11"/>
                    <pic:cNvPicPr>
                      <a:picLocks noChangeAspect="1"/>
                    </pic:cNvPicPr>
                  </pic:nvPicPr>
                  <pic:blipFill>
                    <a:blip r:embed="rId13"/>
                    <a:srcRect l="4542" t="12409" r="4057" b="3600"/>
                    <a:stretch>
                      <a:fillRect/>
                    </a:stretch>
                  </pic:blipFill>
                  <pic:spPr>
                    <a:xfrm>
                      <a:off x="0" y="0"/>
                      <a:ext cx="5524500" cy="328104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686425" cy="3728720"/>
            <wp:effectExtent l="0" t="0" r="9525" b="5080"/>
            <wp:docPr id="10" name="图片 10" descr="关于推进市属医院消防安全评估工作的通知（下发市属医院)(2)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推进市属医院消防安全评估工作的通知（下发市属医院)(2)_页面_12"/>
                    <pic:cNvPicPr>
                      <a:picLocks noChangeAspect="1"/>
                    </pic:cNvPicPr>
                  </pic:nvPicPr>
                  <pic:blipFill>
                    <a:blip r:embed="rId14"/>
                    <a:srcRect l="5998" t="12131" r="5222" b="5554"/>
                    <a:stretch>
                      <a:fillRect/>
                    </a:stretch>
                  </pic:blipFill>
                  <pic:spPr>
                    <a:xfrm>
                      <a:off x="0" y="0"/>
                      <a:ext cx="5686425" cy="372872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699125" cy="3910965"/>
            <wp:effectExtent l="0" t="0" r="15875" b="13335"/>
            <wp:docPr id="9" name="图片 9" descr="关于推进市属医院消防安全评估工作的通知（下发市属医院)(2)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推进市属医院消防安全评估工作的通知（下发市属医院)(2)_页面_13"/>
                    <pic:cNvPicPr>
                      <a:picLocks noChangeAspect="1"/>
                    </pic:cNvPicPr>
                  </pic:nvPicPr>
                  <pic:blipFill>
                    <a:blip r:embed="rId15"/>
                    <a:srcRect l="5998" t="12336" r="5222" b="5638"/>
                    <a:stretch>
                      <a:fillRect/>
                    </a:stretch>
                  </pic:blipFill>
                  <pic:spPr>
                    <a:xfrm>
                      <a:off x="0" y="0"/>
                      <a:ext cx="5699125" cy="391096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47995" cy="3347720"/>
            <wp:effectExtent l="0" t="0" r="14605" b="5080"/>
            <wp:docPr id="8" name="图片 8" descr="关于推进市属医院消防安全评估工作的通知（下发市属医院)(2)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推进市属医院消防安全评估工作的通知（下发市属医院)(2)_页面_14"/>
                    <pic:cNvPicPr>
                      <a:picLocks noChangeAspect="1"/>
                    </pic:cNvPicPr>
                  </pic:nvPicPr>
                  <pic:blipFill>
                    <a:blip r:embed="rId16"/>
                    <a:srcRect l="5572" t="11023" r="5367" b="4602"/>
                    <a:stretch>
                      <a:fillRect/>
                    </a:stretch>
                  </pic:blipFill>
                  <pic:spPr>
                    <a:xfrm>
                      <a:off x="0" y="0"/>
                      <a:ext cx="5547995" cy="334772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40375" cy="3202940"/>
            <wp:effectExtent l="0" t="0" r="3175" b="16510"/>
            <wp:docPr id="7" name="图片 7" descr="关于推进市属医院消防安全评估工作的通知（下发市属医院)(2)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推进市属医院消防安全评估工作的通知（下发市属医院)(2)_页面_15"/>
                    <pic:cNvPicPr>
                      <a:picLocks noChangeAspect="1"/>
                    </pic:cNvPicPr>
                  </pic:nvPicPr>
                  <pic:blipFill>
                    <a:blip r:embed="rId17"/>
                    <a:srcRect l="5291" t="11553" r="5648" b="6011"/>
                    <a:stretch>
                      <a:fillRect/>
                    </a:stretch>
                  </pic:blipFill>
                  <pic:spPr>
                    <a:xfrm>
                      <a:off x="0" y="0"/>
                      <a:ext cx="5540375" cy="320294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66410" cy="3066415"/>
            <wp:effectExtent l="0" t="0" r="15240" b="635"/>
            <wp:docPr id="6" name="图片 6" descr="关于推进市属医院消防安全评估工作的通知（下发市属医院)(2)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推进市属医院消防安全评估工作的通知（下发市属医院)(2)_页面_16"/>
                    <pic:cNvPicPr>
                      <a:picLocks noChangeAspect="1"/>
                    </pic:cNvPicPr>
                  </pic:nvPicPr>
                  <pic:blipFill>
                    <a:blip r:embed="rId18"/>
                    <a:srcRect l="6142" t="10806" r="5648" b="5975"/>
                    <a:stretch>
                      <a:fillRect/>
                    </a:stretch>
                  </pic:blipFill>
                  <pic:spPr>
                    <a:xfrm>
                      <a:off x="0" y="0"/>
                      <a:ext cx="5566410" cy="306641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27675" cy="3084195"/>
            <wp:effectExtent l="0" t="0" r="15875" b="1905"/>
            <wp:docPr id="5" name="图片 5" descr="关于推进市属医院消防安全评估工作的通知（下发市属医院)(2)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推进市属医院消防安全评估工作的通知（下发市属医院)(2)_页面_17"/>
                    <pic:cNvPicPr>
                      <a:picLocks noChangeAspect="1"/>
                    </pic:cNvPicPr>
                  </pic:nvPicPr>
                  <pic:blipFill>
                    <a:blip r:embed="rId19"/>
                    <a:srcRect l="4865" t="11336" r="5367" b="6541"/>
                    <a:stretch>
                      <a:fillRect/>
                    </a:stretch>
                  </pic:blipFill>
                  <pic:spPr>
                    <a:xfrm>
                      <a:off x="0" y="0"/>
                      <a:ext cx="5527675" cy="308419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617210" cy="3012440"/>
            <wp:effectExtent l="0" t="0" r="2540" b="16510"/>
            <wp:docPr id="4" name="图片 4" descr="关于推进市属医院消防安全评估工作的通知（下发市属医院)(2)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推进市属医院消防安全评估工作的通知（下发市属医院)(2)_页面_18"/>
                    <pic:cNvPicPr>
                      <a:picLocks noChangeAspect="1"/>
                    </pic:cNvPicPr>
                  </pic:nvPicPr>
                  <pic:blipFill>
                    <a:blip r:embed="rId20"/>
                    <a:srcRect l="5291" t="11746" r="5367" b="6529"/>
                    <a:stretch>
                      <a:fillRect/>
                    </a:stretch>
                  </pic:blipFill>
                  <pic:spPr>
                    <a:xfrm>
                      <a:off x="0" y="0"/>
                      <a:ext cx="5617210" cy="3012440"/>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625465" cy="3895725"/>
            <wp:effectExtent l="0" t="0" r="13335" b="9525"/>
            <wp:docPr id="3" name="图片 3" descr="关于推进市属医院消防安全评估工作的通知（下发市属医院)(2)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推进市属医院消防安全评估工作的通知（下发市属医院)(2)_页面_19"/>
                    <pic:cNvPicPr>
                      <a:picLocks noChangeAspect="1"/>
                    </pic:cNvPicPr>
                  </pic:nvPicPr>
                  <pic:blipFill>
                    <a:blip r:embed="rId21"/>
                    <a:srcRect l="5427" t="9746" r="4805" b="6192"/>
                    <a:stretch>
                      <a:fillRect/>
                    </a:stretch>
                  </pic:blipFill>
                  <pic:spPr>
                    <a:xfrm>
                      <a:off x="0" y="0"/>
                      <a:ext cx="5625465" cy="389572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34025" cy="3682365"/>
            <wp:effectExtent l="0" t="0" r="9525" b="13335"/>
            <wp:docPr id="2" name="图片 2" descr="关于推进市属医院消防安全评估工作的通知（下发市属医院)(2)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推进市属医院消防安全评估工作的通知（下发市属医院)(2)_页面_20"/>
                    <pic:cNvPicPr>
                      <a:picLocks noChangeAspect="1"/>
                    </pic:cNvPicPr>
                  </pic:nvPicPr>
                  <pic:blipFill>
                    <a:blip r:embed="rId22"/>
                    <a:srcRect l="5146" t="12047" r="5648" b="6409"/>
                    <a:stretch>
                      <a:fillRect/>
                    </a:stretch>
                  </pic:blipFill>
                  <pic:spPr>
                    <a:xfrm>
                      <a:off x="0" y="0"/>
                      <a:ext cx="5534025" cy="368236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383530" cy="4134485"/>
            <wp:effectExtent l="0" t="0" r="7620" b="18415"/>
            <wp:docPr id="1" name="图片 1" descr="关于推进市属医院消防安全评估工作的通知（下发市属医院)(2)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推进市属医院消防安全评估工作的通知（下发市属医院)(2)_页面_21"/>
                    <pic:cNvPicPr>
                      <a:picLocks noChangeAspect="1"/>
                    </pic:cNvPicPr>
                  </pic:nvPicPr>
                  <pic:blipFill>
                    <a:blip r:embed="rId23"/>
                    <a:srcRect l="5716" t="12035" r="6219" b="6096"/>
                    <a:stretch>
                      <a:fillRect/>
                    </a:stretch>
                  </pic:blipFill>
                  <pic:spPr>
                    <a:xfrm>
                      <a:off x="0" y="0"/>
                      <a:ext cx="5383530" cy="4134485"/>
                    </a:xfrm>
                    <a:prstGeom prst="rect">
                      <a:avLst/>
                    </a:prstGeom>
                  </pic:spPr>
                </pic:pic>
              </a:graphicData>
            </a:graphic>
          </wp:inline>
        </w:drawing>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numPr>
          <w:numId w:val="0"/>
        </w:numPr>
        <w:kinsoku/>
        <w:wordWrap/>
        <w:overflowPunct/>
        <w:topLinePunct w:val="0"/>
        <w:autoSpaceDE/>
        <w:autoSpaceDN/>
        <w:bidi w:val="0"/>
        <w:spacing w:line="360" w:lineRule="auto"/>
        <w:jc w:val="center"/>
        <w:rPr>
          <w:rFonts w:hint="eastAsia" w:ascii="宋体" w:hAnsi="宋体" w:eastAsia="宋体" w:cs="宋体"/>
          <w:sz w:val="24"/>
          <w:szCs w:val="24"/>
        </w:rPr>
      </w:pPr>
      <w:r>
        <w:rPr>
          <w:rFonts w:hint="eastAsia" w:ascii="宋体" w:hAnsi="宋体" w:eastAsia="宋体" w:cs="宋体"/>
          <w:sz w:val="36"/>
          <w:szCs w:val="36"/>
          <w:lang w:val="en-US" w:eastAsia="zh-CN"/>
        </w:rPr>
        <w:t xml:space="preserve">第五章 </w:t>
      </w:r>
      <w:r>
        <w:rPr>
          <w:rFonts w:hint="eastAsia" w:ascii="宋体" w:hAnsi="宋体" w:eastAsia="宋体" w:cs="宋体"/>
          <w:sz w:val="36"/>
          <w:szCs w:val="36"/>
        </w:rPr>
        <w:t>响应文件格式</w:t>
      </w:r>
    </w:p>
    <w:p>
      <w:pPr>
        <w:pageBreakBefore w:val="0"/>
        <w:tabs>
          <w:tab w:val="left" w:pos="2999"/>
        </w:tabs>
        <w:kinsoku/>
        <w:wordWrap/>
        <w:overflowPunct/>
        <w:topLinePunct w:val="0"/>
        <w:autoSpaceDE/>
        <w:autoSpaceDN/>
        <w:bidi w:val="0"/>
        <w:snapToGrid w:val="0"/>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sz w:val="24"/>
          <w:szCs w:val="24"/>
          <w:lang w:val="en-US" w:eastAsia="zh-CN"/>
        </w:rPr>
        <w:t xml:space="preserve">  </w:t>
      </w:r>
    </w:p>
    <w:p>
      <w:pPr>
        <w:pageBreakBefore w:val="0"/>
        <w:tabs>
          <w:tab w:val="left" w:pos="2999"/>
        </w:tabs>
        <w:kinsoku/>
        <w:wordWrap/>
        <w:overflowPunct/>
        <w:topLinePunct w:val="0"/>
        <w:autoSpaceDE/>
        <w:autoSpaceDN/>
        <w:bidi w:val="0"/>
        <w:snapToGrid w:val="0"/>
        <w:spacing w:line="360" w:lineRule="auto"/>
        <w:jc w:val="center"/>
        <w:rPr>
          <w:rFonts w:hint="eastAsia" w:ascii="宋体" w:hAnsi="宋体" w:eastAsia="宋体" w:cs="宋体"/>
          <w:sz w:val="24"/>
          <w:szCs w:val="24"/>
        </w:rPr>
      </w:pPr>
      <w:bookmarkStart w:id="5" w:name="_Hlk88513264"/>
      <w:r>
        <w:rPr>
          <w:rFonts w:hint="eastAsia" w:ascii="宋体" w:hAnsi="宋体" w:eastAsia="宋体" w:cs="宋体"/>
          <w:sz w:val="24"/>
          <w:szCs w:val="24"/>
        </w:rPr>
        <w:t>项目编号：</w:t>
      </w:r>
    </w:p>
    <w:bookmarkEnd w:id="5"/>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ind w:right="1"/>
        <w:jc w:val="center"/>
        <w:rPr>
          <w:rFonts w:hint="eastAsia" w:ascii="宋体" w:hAnsi="宋体" w:eastAsia="宋体" w:cs="宋体"/>
          <w:sz w:val="24"/>
          <w:szCs w:val="24"/>
        </w:rPr>
      </w:pPr>
      <w:r>
        <w:rPr>
          <w:rFonts w:hint="eastAsia" w:ascii="宋体" w:hAnsi="宋体" w:eastAsia="宋体" w:cs="宋体"/>
          <w:sz w:val="24"/>
          <w:szCs w:val="24"/>
        </w:rPr>
        <w:t>响应文件</w:t>
      </w: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Style w:val="69"/>
        <w:pageBreakBefore w:val="0"/>
        <w:tabs>
          <w:tab w:val="left" w:pos="3461"/>
          <w:tab w:val="left" w:pos="4162"/>
        </w:tabs>
        <w:kinsoku/>
        <w:wordWrap/>
        <w:overflowPunct/>
        <w:topLinePunct w:val="0"/>
        <w:autoSpaceDE/>
        <w:autoSpaceDN/>
        <w:bidi w:val="0"/>
        <w:snapToGrid w:val="0"/>
        <w:spacing w:after="0" w:line="360" w:lineRule="auto"/>
        <w:rPr>
          <w:rFonts w:hint="eastAsia" w:ascii="宋体" w:hAnsi="宋体" w:eastAsia="宋体" w:cs="宋体"/>
          <w:sz w:val="24"/>
          <w:szCs w:val="24"/>
        </w:rPr>
      </w:pPr>
    </w:p>
    <w:p>
      <w:pPr>
        <w:pageBreakBefore w:val="0"/>
        <w:tabs>
          <w:tab w:val="left" w:pos="4400"/>
        </w:tabs>
        <w:kinsoku/>
        <w:wordWrap/>
        <w:overflowPunct/>
        <w:topLinePunct w:val="0"/>
        <w:autoSpaceDE/>
        <w:autoSpaceDN/>
        <w:bidi w:val="0"/>
        <w:snapToGrid w:val="0"/>
        <w:spacing w:line="360" w:lineRule="auto"/>
        <w:ind w:left="1470" w:leftChars="700"/>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（盖单位章）</w:t>
      </w:r>
    </w:p>
    <w:p>
      <w:pPr>
        <w:pStyle w:val="69"/>
        <w:pageBreakBefore w:val="0"/>
        <w:tabs>
          <w:tab w:val="left" w:pos="2974"/>
          <w:tab w:val="left" w:pos="6965"/>
        </w:tabs>
        <w:kinsoku/>
        <w:wordWrap/>
        <w:overflowPunct/>
        <w:topLinePunct w:val="0"/>
        <w:autoSpaceDE/>
        <w:autoSpaceDN/>
        <w:bidi w:val="0"/>
        <w:snapToGrid w:val="0"/>
        <w:spacing w:after="0" w:line="360" w:lineRule="auto"/>
        <w:rPr>
          <w:rFonts w:hint="eastAsia" w:ascii="宋体" w:hAnsi="宋体" w:eastAsia="宋体" w:cs="宋体"/>
          <w:sz w:val="24"/>
          <w:szCs w:val="24"/>
          <w:lang w:eastAsia="zh-CN"/>
        </w:rPr>
      </w:pPr>
    </w:p>
    <w:p>
      <w:pPr>
        <w:pStyle w:val="69"/>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6" w:name="_Toc138689836"/>
      <w:r>
        <w:rPr>
          <w:rFonts w:hint="eastAsia" w:ascii="宋体" w:hAnsi="宋体" w:eastAsia="宋体" w:cs="宋体"/>
          <w:sz w:val="24"/>
          <w:szCs w:val="24"/>
        </w:rPr>
        <w:t>目录</w:t>
      </w:r>
      <w:bookmarkEnd w:id="6"/>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一、响应函</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二、法定代表人（单位负责人）身份证明</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二、授权委托书（适用于有委托代理人的情况）</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、资格审查资料</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、报价表</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、商务部分响应文件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、技术部分响应文件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、服务部分响应文件</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八、其他资料</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7" w:name="_Toc138689837"/>
      <w:r>
        <w:rPr>
          <w:rFonts w:hint="eastAsia" w:ascii="宋体" w:hAnsi="宋体" w:eastAsia="宋体" w:cs="宋体"/>
          <w:sz w:val="24"/>
          <w:szCs w:val="24"/>
        </w:rPr>
        <w:t>—、响应函</w:t>
      </w:r>
      <w:bookmarkEnd w:id="7"/>
    </w:p>
    <w:p>
      <w:pPr>
        <w:pStyle w:val="70"/>
        <w:pageBreakBefore w:val="0"/>
        <w:kinsoku/>
        <w:wordWrap/>
        <w:overflowPunct/>
        <w:topLinePunct w:val="0"/>
        <w:autoSpaceDE/>
        <w:autoSpaceDN/>
        <w:bidi w:val="0"/>
        <w:snapToGrid w:val="0"/>
        <w:spacing w:before="240" w:beforeLines="100" w:after="0" w:line="360" w:lineRule="auto"/>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参与</w:t>
      </w:r>
      <w:r>
        <w:rPr>
          <w:rFonts w:hint="eastAsia" w:ascii="宋体" w:hAnsi="宋体" w:eastAsia="宋体" w:cs="宋体"/>
          <w:sz w:val="24"/>
          <w:szCs w:val="24"/>
          <w:lang w:eastAsia="zh-CN"/>
        </w:rPr>
        <w:t>人名称）</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1</w:t>
      </w:r>
      <w:r>
        <w:rPr>
          <w:rFonts w:hint="eastAsia" w:ascii="宋体" w:hAnsi="宋体" w:eastAsia="宋体" w:cs="宋体"/>
          <w:sz w:val="24"/>
          <w:szCs w:val="24"/>
        </w:rPr>
        <w:t>.我方己仔细研究了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lang w:eastAsia="zh-CN"/>
        </w:rPr>
        <w:t>（项目名称）</w:t>
      </w:r>
      <w:r>
        <w:rPr>
          <w:rFonts w:hint="eastAsia" w:ascii="宋体" w:hAnsi="宋体" w:eastAsia="宋体" w:cs="宋体"/>
          <w:sz w:val="24"/>
          <w:szCs w:val="24"/>
          <w:lang w:val="en-US" w:eastAsia="zh-CN"/>
        </w:rPr>
        <w:t>遴选</w:t>
      </w:r>
      <w:r>
        <w:rPr>
          <w:rFonts w:hint="eastAsia" w:ascii="宋体" w:hAnsi="宋体" w:eastAsia="宋体" w:cs="宋体"/>
          <w:sz w:val="24"/>
          <w:szCs w:val="24"/>
        </w:rPr>
        <w:t>文件的全部内容，愿意以</w:t>
      </w:r>
      <w:bookmarkStart w:id="8" w:name="_Hlk81653005"/>
      <w:r>
        <w:rPr>
          <w:rFonts w:hint="eastAsia" w:ascii="宋体" w:hAnsi="宋体" w:eastAsia="宋体" w:cs="宋体"/>
          <w:sz w:val="24"/>
          <w:szCs w:val="24"/>
        </w:rPr>
        <w:t>含税价人民币（大写）</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）的报价（其中增值税税</w:t>
      </w:r>
      <w:r>
        <w:rPr>
          <w:rFonts w:hint="eastAsia" w:ascii="宋体" w:hAnsi="宋体" w:eastAsia="宋体" w:cs="宋体"/>
          <w:sz w:val="24"/>
          <w:szCs w:val="24"/>
          <w:lang w:eastAsia="zh-CN"/>
        </w:rPr>
        <w:t>率</w:t>
      </w:r>
      <w:r>
        <w:rPr>
          <w:rFonts w:hint="eastAsia" w:ascii="宋体" w:hAnsi="宋体" w:eastAsia="宋体" w:cs="宋体"/>
          <w:sz w:val="24"/>
          <w:szCs w:val="24"/>
        </w:rPr>
        <w:t>为</w:t>
      </w:r>
      <w:r>
        <w:rPr>
          <w:rFonts w:hint="eastAsia" w:ascii="宋体" w:hAnsi="宋体" w:eastAsia="宋体" w:cs="宋体"/>
          <w:sz w:val="24"/>
          <w:szCs w:val="24"/>
          <w:lang w:eastAsia="zh-CN"/>
        </w:rPr>
        <w:t>：</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bookmarkEnd w:id="8"/>
      <w:r>
        <w:rPr>
          <w:rFonts w:hint="eastAsia" w:ascii="宋体" w:hAnsi="宋体" w:eastAsia="宋体" w:cs="宋体"/>
          <w:sz w:val="24"/>
          <w:szCs w:val="24"/>
        </w:rPr>
        <w:t>提供本项目服务，并按合同约定履行义务。</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2</w:t>
      </w:r>
      <w:r>
        <w:rPr>
          <w:rFonts w:hint="eastAsia" w:ascii="宋体" w:hAnsi="宋体" w:eastAsia="宋体" w:cs="宋体"/>
          <w:sz w:val="24"/>
          <w:szCs w:val="24"/>
        </w:rPr>
        <w:t>.我方的响应文件包括下列内容：</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（1）响应函</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法定代表人（单位负责人）身份证明；</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eastAsia="宋体" w:cs="宋体"/>
          <w:sz w:val="24"/>
          <w:szCs w:val="24"/>
        </w:rPr>
        <w:t>授权委托书</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（3）联合体协议书（如有）</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（4）响应保证金（如有）</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（5）报价表</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（6）商务和技术偏差表</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（7）资格审查资料</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（8）响应方案</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响应文件的上述组成部分如存在内容不一致的，以响应函为准。</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3.我方承诺除商务和技术偏差表列出的偏差外</w:t>
      </w:r>
      <w:r>
        <w:rPr>
          <w:rFonts w:hint="eastAsia" w:ascii="宋体" w:hAnsi="宋体" w:eastAsia="宋体" w:cs="宋体"/>
          <w:sz w:val="24"/>
          <w:szCs w:val="24"/>
          <w:lang w:eastAsia="zh-CN"/>
        </w:rPr>
        <w:t>，</w:t>
      </w:r>
      <w:r>
        <w:rPr>
          <w:rFonts w:hint="eastAsia" w:ascii="宋体" w:hAnsi="宋体" w:eastAsia="宋体" w:cs="宋体"/>
          <w:sz w:val="24"/>
          <w:szCs w:val="24"/>
        </w:rPr>
        <w:t>我方响应招标文件的全部要求。</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4.我方承诺在招标文件规定的响应文件有效期内不撤销响应文件。</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5.如我方成交，我方承诺：</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（1）在收到成交通知后，在规定的期限内与你方签订合同；</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（2）在合同约定的期限内完成合同规定的全部义务。</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6.我方在此声明，所递交的响应文件及有关资料内容完整、真实和准确。</w:t>
      </w:r>
    </w:p>
    <w:p>
      <w:pPr>
        <w:pStyle w:val="70"/>
        <w:pageBreakBefore w:val="0"/>
        <w:tabs>
          <w:tab w:val="left" w:leader="underscore" w:pos="2400"/>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bookmarkStart w:id="9" w:name="_Hlk79330213"/>
      <w:r>
        <w:rPr>
          <w:rFonts w:hint="eastAsia" w:ascii="宋体" w:hAnsi="宋体" w:eastAsia="宋体" w:cs="宋体"/>
          <w:sz w:val="24"/>
          <w:szCs w:val="24"/>
        </w:rPr>
        <w:t>7.</w:t>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其他补充说明</w:t>
      </w:r>
      <w:r>
        <w:rPr>
          <w:rFonts w:hint="eastAsia" w:ascii="宋体" w:hAnsi="宋体" w:eastAsia="宋体" w:cs="宋体"/>
          <w:sz w:val="24"/>
          <w:szCs w:val="24"/>
        </w:rPr>
        <w:t>）</w:t>
      </w:r>
    </w:p>
    <w:bookmarkEnd w:id="9"/>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leader="underscore"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lang w:eastAsia="zh-CN"/>
        </w:rPr>
      </w:pPr>
      <w:bookmarkStart w:id="10" w:name="_Hlk79330239"/>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（盖单位章</w:t>
      </w:r>
      <w:r>
        <w:rPr>
          <w:rFonts w:hint="eastAsia" w:ascii="宋体" w:hAnsi="宋体" w:eastAsia="宋体" w:cs="宋体"/>
          <w:sz w:val="24"/>
          <w:szCs w:val="24"/>
          <w:lang w:eastAsia="zh-CN"/>
        </w:rPr>
        <w:t>）</w:t>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法定代表人（单位负责人）或其授权的代理人：</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（签字</w:t>
      </w:r>
      <w:r>
        <w:rPr>
          <w:rFonts w:hint="eastAsia" w:ascii="宋体" w:hAnsi="宋体" w:eastAsia="宋体" w:cs="宋体"/>
          <w:sz w:val="24"/>
          <w:szCs w:val="24"/>
          <w:lang w:eastAsia="zh-CN"/>
        </w:rPr>
        <w:t>或盖人名章</w:t>
      </w:r>
      <w:r>
        <w:rPr>
          <w:rFonts w:hint="eastAsia" w:ascii="宋体" w:hAnsi="宋体" w:eastAsia="宋体" w:cs="宋体"/>
          <w:sz w:val="24"/>
          <w:szCs w:val="24"/>
        </w:rPr>
        <w:t>）</w:t>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lang w:eastAsia="zh-CN"/>
        </w:rPr>
        <w:t>电话：</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传真：</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lang w:eastAsia="zh-CN"/>
        </w:rPr>
        <w:t>邮政编码：</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10"/>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bookmarkStart w:id="11" w:name="_Toc19105773"/>
      <w:bookmarkStart w:id="12" w:name="_Toc19715221"/>
      <w:bookmarkStart w:id="13" w:name="_Toc79948061"/>
      <w:bookmarkStart w:id="14" w:name="_Toc138689838"/>
      <w:bookmarkStart w:id="15" w:name="_Hlk79945751"/>
      <w:r>
        <w:rPr>
          <w:rFonts w:hint="eastAsia" w:ascii="宋体" w:hAnsi="宋体" w:eastAsia="宋体" w:cs="宋体"/>
          <w:sz w:val="24"/>
          <w:szCs w:val="24"/>
        </w:rPr>
        <w:t>二、法定代表人（单位负责人）身份证明</w:t>
      </w:r>
      <w:bookmarkEnd w:id="11"/>
      <w:bookmarkEnd w:id="12"/>
      <w:bookmarkEnd w:id="13"/>
      <w:bookmarkEnd w:id="14"/>
    </w:p>
    <w:p>
      <w:pPr>
        <w:pStyle w:val="12"/>
        <w:pageBreakBefore w:val="0"/>
        <w:tabs>
          <w:tab w:val="left" w:pos="3928"/>
        </w:tabs>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供应商名称：</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性别：</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年龄：</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职务：</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系</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（供应商名称）的法定代表人（单位负责人）。</w:t>
      </w: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rPr>
      </w:pPr>
      <w:r>
        <w:rPr>
          <w:rFonts w:hint="eastAsia" w:ascii="宋体" w:hAnsi="宋体" w:eastAsia="宋体" w:cs="宋体"/>
          <w:sz w:val="24"/>
          <w:szCs w:val="24"/>
        </w:rPr>
        <w:t>特此证明。</w:t>
      </w:r>
    </w:p>
    <w:tbl>
      <w:tblPr>
        <w:tblStyle w:val="34"/>
        <w:tblpPr w:leftFromText="180" w:rightFromText="180" w:vertAnchor="text" w:horzAnchor="page" w:tblpX="1781" w:tblpY="4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法定代表人身份证复印件</w:t>
            </w:r>
          </w:p>
        </w:tc>
      </w:tr>
    </w:tbl>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u w:val="single"/>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（盖章）</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15"/>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16" w:name="_Toc138689839"/>
      <w:r>
        <w:rPr>
          <w:rFonts w:hint="eastAsia" w:ascii="宋体" w:hAnsi="宋体" w:eastAsia="宋体" w:cs="宋体"/>
          <w:sz w:val="24"/>
          <w:szCs w:val="24"/>
        </w:rPr>
        <w:t>二、授权委托书</w:t>
      </w:r>
      <w:bookmarkEnd w:id="16"/>
    </w:p>
    <w:p>
      <w:pPr>
        <w:pStyle w:val="70"/>
        <w:pageBreakBefore w:val="0"/>
        <w:tabs>
          <w:tab w:val="left" w:pos="2587"/>
          <w:tab w:val="left" w:pos="4867"/>
          <w:tab w:val="left" w:pos="5597"/>
          <w:tab w:val="left" w:pos="6782"/>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pos="2587"/>
          <w:tab w:val="left" w:pos="4867"/>
          <w:tab w:val="left" w:pos="5597"/>
          <w:tab w:val="left" w:pos="6782"/>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bookmarkStart w:id="17" w:name="_Hlk88653372"/>
      <w:r>
        <w:rPr>
          <w:rFonts w:hint="eastAsia" w:ascii="宋体" w:hAnsi="宋体" w:eastAsia="宋体" w:cs="宋体"/>
          <w:sz w:val="24"/>
          <w:szCs w:val="24"/>
        </w:rPr>
        <w:t>本人</w:t>
      </w:r>
      <w:r>
        <w:rPr>
          <w:rFonts w:hint="eastAsia" w:ascii="宋体" w:hAnsi="宋体" w:eastAsia="宋体" w:cs="宋体"/>
          <w:sz w:val="24"/>
          <w:szCs w:val="24"/>
          <w:u w:val="single"/>
        </w:rPr>
        <w:tab/>
      </w:r>
      <w:r>
        <w:rPr>
          <w:rFonts w:hint="eastAsia" w:ascii="宋体" w:hAnsi="宋体" w:eastAsia="宋体" w:cs="宋体"/>
          <w:sz w:val="24"/>
          <w:szCs w:val="24"/>
        </w:rPr>
        <w:t>（姓名）系</w:t>
      </w:r>
      <w:r>
        <w:rPr>
          <w:rFonts w:hint="eastAsia" w:ascii="宋体" w:hAnsi="宋体" w:eastAsia="宋体" w:cs="宋体"/>
          <w:sz w:val="24"/>
          <w:szCs w:val="24"/>
          <w:u w:val="single"/>
        </w:rPr>
        <w:tab/>
      </w:r>
      <w:r>
        <w:rPr>
          <w:rFonts w:hint="eastAsia" w:ascii="宋体" w:hAnsi="宋体" w:eastAsia="宋体" w:cs="宋体"/>
          <w:sz w:val="24"/>
          <w:szCs w:val="24"/>
        </w:rPr>
        <w:t>（供应商名称）的法定代表人（单位负责人），现委托</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为我方代理人。代理人根据授权，以我方名义签署、澄清确认、递交、撤回、修改</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项目名称</w:t>
      </w:r>
      <w:r>
        <w:rPr>
          <w:rFonts w:hint="eastAsia" w:ascii="宋体" w:hAnsi="宋体" w:eastAsia="宋体" w:cs="宋体"/>
          <w:sz w:val="24"/>
          <w:szCs w:val="24"/>
        </w:rPr>
        <w:t>）响应文件、签订合同和处理有关事宜，其法律后果由我方承担。</w:t>
      </w:r>
    </w:p>
    <w:p>
      <w:pPr>
        <w:pStyle w:val="70"/>
        <w:pageBreakBefore w:val="0"/>
        <w:tabs>
          <w:tab w:val="left" w:pos="5875"/>
        </w:tabs>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委托期限：自本委托书签署之日起至</w:t>
      </w:r>
      <w:r>
        <w:rPr>
          <w:rFonts w:hint="eastAsia" w:ascii="宋体" w:hAnsi="宋体" w:eastAsia="宋体" w:cs="宋体"/>
          <w:sz w:val="24"/>
          <w:szCs w:val="24"/>
          <w:u w:val="single"/>
        </w:rPr>
        <w:tab/>
      </w:r>
      <w:r>
        <w:rPr>
          <w:rFonts w:hint="eastAsia" w:ascii="宋体" w:hAnsi="宋体" w:eastAsia="宋体" w:cs="宋体"/>
          <w:sz w:val="24"/>
          <w:szCs w:val="24"/>
        </w:rPr>
        <w:t>（</w:t>
      </w:r>
      <w:r>
        <w:rPr>
          <w:rFonts w:hint="eastAsia" w:ascii="宋体" w:hAnsi="宋体" w:eastAsia="宋体" w:cs="宋体"/>
          <w:sz w:val="24"/>
          <w:szCs w:val="24"/>
          <w:lang w:val="en-US"/>
        </w:rPr>
        <w:t>项目名称</w:t>
      </w:r>
      <w:r>
        <w:rPr>
          <w:rFonts w:hint="eastAsia" w:ascii="宋体" w:hAnsi="宋体" w:eastAsia="宋体" w:cs="宋体"/>
          <w:sz w:val="24"/>
          <w:szCs w:val="24"/>
        </w:rPr>
        <w:t>）招标项目签订招标合同之日止。</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代理人无转委托权。</w:t>
      </w:r>
    </w:p>
    <w:tbl>
      <w:tblPr>
        <w:tblStyle w:val="34"/>
        <w:tblpPr w:leftFromText="180" w:rightFromText="180" w:vertAnchor="text" w:horzAnchor="page" w:tblpX="1781" w:tblpY="4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法定代表人身份证复印件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trPr>
        <w:tc>
          <w:tcPr>
            <w:tcW w:w="8052" w:type="dxa"/>
          </w:tcPr>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p>
          <w:p>
            <w:pPr>
              <w:pStyle w:val="12"/>
              <w:pageBreakBefore w:val="0"/>
              <w:kinsoku/>
              <w:wordWrap/>
              <w:overflowPunct/>
              <w:topLinePunct w:val="0"/>
              <w:autoSpaceDE/>
              <w:autoSpaceDN/>
              <w:bidi w:val="0"/>
              <w:spacing w:line="360" w:lineRule="auto"/>
              <w:rPr>
                <w:rFonts w:hint="eastAsia" w:ascii="宋体" w:hAnsi="宋体" w:eastAsia="宋体" w:cs="宋体"/>
                <w:color w:val="BFBFBF" w:themeColor="background1" w:themeShade="BF"/>
                <w:sz w:val="24"/>
                <w:szCs w:val="24"/>
              </w:rPr>
            </w:pPr>
            <w:r>
              <w:rPr>
                <w:rFonts w:hint="eastAsia" w:ascii="宋体" w:hAnsi="宋体" w:eastAsia="宋体" w:cs="宋体"/>
                <w:color w:val="BFBFBF" w:themeColor="background1" w:themeShade="BF"/>
                <w:sz w:val="24"/>
                <w:szCs w:val="24"/>
              </w:rPr>
              <w:t>被授权人身份证复印件</w:t>
            </w:r>
          </w:p>
        </w:tc>
      </w:tr>
    </w:tbl>
    <w:p>
      <w:pPr>
        <w:pStyle w:val="70"/>
        <w:pageBreakBefore w:val="0"/>
        <w:kinsoku/>
        <w:wordWrap/>
        <w:overflowPunct/>
        <w:topLinePunct w:val="0"/>
        <w:autoSpaceDE/>
        <w:autoSpaceDN/>
        <w:bidi w:val="0"/>
        <w:snapToGrid w:val="0"/>
        <w:spacing w:after="0" w:line="360" w:lineRule="auto"/>
        <w:jc w:val="left"/>
        <w:rPr>
          <w:rFonts w:hint="eastAsia" w:ascii="宋体" w:hAnsi="宋体" w:eastAsia="宋体" w:cs="宋体"/>
          <w:sz w:val="24"/>
          <w:szCs w:val="24"/>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bookmarkStart w:id="18" w:name="_Hlk79330393"/>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r>
        <w:rPr>
          <w:rFonts w:hint="eastAsia" w:ascii="宋体" w:hAnsi="宋体" w:eastAsia="宋体" w:cs="宋体"/>
          <w:sz w:val="24"/>
          <w:szCs w:val="24"/>
        </w:rPr>
        <w:t>委托代理人：</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（签字</w:t>
      </w:r>
      <w:r>
        <w:rPr>
          <w:rFonts w:hint="eastAsia" w:ascii="宋体" w:hAnsi="宋体" w:eastAsia="宋体" w:cs="宋体"/>
          <w:sz w:val="24"/>
          <w:szCs w:val="24"/>
          <w:lang w:eastAsia="zh-CN"/>
        </w:rPr>
        <w:t>或盖人名章</w:t>
      </w:r>
      <w:r>
        <w:rPr>
          <w:rFonts w:hint="eastAsia" w:ascii="宋体" w:hAnsi="宋体" w:eastAsia="宋体" w:cs="宋体"/>
          <w:sz w:val="24"/>
          <w:szCs w:val="24"/>
        </w:rPr>
        <w:t>）</w:t>
      </w:r>
    </w:p>
    <w:p>
      <w:pPr>
        <w:pStyle w:val="70"/>
        <w:pageBreakBefore w:val="0"/>
        <w:tabs>
          <w:tab w:val="left" w:pos="2400"/>
        </w:tabs>
        <w:kinsoku/>
        <w:wordWrap/>
        <w:overflowPunct/>
        <w:topLinePunct w:val="0"/>
        <w:autoSpaceDE/>
        <w:autoSpaceDN/>
        <w:bidi w:val="0"/>
        <w:snapToGrid w:val="0"/>
        <w:spacing w:after="0" w:line="360" w:lineRule="auto"/>
        <w:jc w:val="left"/>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u w:val="single"/>
        </w:rPr>
        <w:tab/>
      </w:r>
    </w:p>
    <w:p>
      <w:pPr>
        <w:pStyle w:val="70"/>
        <w:pageBreakBefore w:val="0"/>
        <w:tabs>
          <w:tab w:val="left" w:pos="571"/>
          <w:tab w:val="left" w:pos="1445"/>
          <w:tab w:val="left" w:pos="1704"/>
          <w:tab w:val="left" w:pos="1904"/>
          <w:tab w:val="left" w:pos="2275"/>
        </w:tabs>
        <w:kinsoku/>
        <w:wordWrap/>
        <w:overflowPunct/>
        <w:topLinePunct w:val="0"/>
        <w:autoSpaceDE/>
        <w:autoSpaceDN/>
        <w:bidi w:val="0"/>
        <w:snapToGrid w:val="0"/>
        <w:spacing w:after="0" w:line="360" w:lineRule="auto"/>
        <w:jc w:val="left"/>
        <w:rPr>
          <w:rFonts w:hint="eastAsia" w:ascii="宋体" w:hAnsi="宋体" w:eastAsia="宋体" w:cs="宋体"/>
          <w:sz w:val="24"/>
          <w:szCs w:val="24"/>
          <w:u w:val="single"/>
        </w:rPr>
      </w:pPr>
    </w:p>
    <w:p>
      <w:pPr>
        <w:pStyle w:val="70"/>
        <w:pageBreakBefore w:val="0"/>
        <w:kinsoku/>
        <w:wordWrap/>
        <w:overflowPunct/>
        <w:topLinePunct w:val="0"/>
        <w:autoSpaceDE/>
        <w:autoSpaceDN/>
        <w:bidi w:val="0"/>
        <w:snapToGrid w:val="0"/>
        <w:spacing w:after="0" w:line="360" w:lineRule="auto"/>
        <w:ind w:left="5250" w:leftChars="2500"/>
        <w:jc w:val="left"/>
        <w:rPr>
          <w:rFonts w:hint="eastAsia"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bookmarkEnd w:id="17"/>
    <w:bookmarkEnd w:id="18"/>
    <w:p>
      <w:pPr>
        <w:pStyle w:val="3"/>
        <w:pageBreakBefore w:val="0"/>
        <w:numPr>
          <w:ilvl w:val="0"/>
          <w:numId w:val="9"/>
        </w:numPr>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资格审查资料</w:t>
      </w:r>
    </w:p>
    <w:p>
      <w:pPr>
        <w:pStyle w:val="4"/>
        <w:pageBreakBefore w:val="0"/>
        <w:kinsoku/>
        <w:wordWrap/>
        <w:overflowPunct/>
        <w:topLinePunct w:val="0"/>
        <w:autoSpaceDE/>
        <w:autoSpaceDN/>
        <w:bidi w:val="0"/>
        <w:spacing w:line="360" w:lineRule="auto"/>
        <w:jc w:val="left"/>
        <w:rPr>
          <w:rFonts w:hint="eastAsia" w:ascii="宋体" w:hAnsi="宋体" w:eastAsia="宋体" w:cs="宋体"/>
          <w:sz w:val="24"/>
          <w:szCs w:val="24"/>
        </w:rPr>
      </w:pPr>
      <w:r>
        <w:rPr>
          <w:rFonts w:hint="eastAsia" w:ascii="宋体" w:hAnsi="宋体" w:eastAsia="宋体" w:cs="宋体"/>
          <w:sz w:val="24"/>
          <w:szCs w:val="24"/>
        </w:rPr>
        <w:t>（一）基本情况</w:t>
      </w:r>
    </w:p>
    <w:p>
      <w:pPr>
        <w:pageBreakBefore w:val="0"/>
        <w:kinsoku/>
        <w:wordWrap/>
        <w:overflowPunct/>
        <w:topLinePunct w:val="0"/>
        <w:autoSpaceDE/>
        <w:autoSpaceDN/>
        <w:bidi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1、中华人民共和国境内注册的独立法人，具备工商行政主管部门核发的有效营业执照（或事业单位法人证书），</w:t>
      </w:r>
      <w:r>
        <w:rPr>
          <w:rFonts w:hint="eastAsia" w:ascii="宋体" w:hAnsi="宋体" w:eastAsia="宋体" w:cs="宋体"/>
          <w:sz w:val="24"/>
          <w:szCs w:val="24"/>
          <w:lang w:val="en-US" w:eastAsia="zh-CN"/>
        </w:rPr>
        <w:t>提供复印件并加盖公章</w:t>
      </w:r>
      <w:r>
        <w:rPr>
          <w:rFonts w:hint="eastAsia" w:ascii="宋体" w:hAnsi="宋体" w:eastAsia="宋体" w:cs="宋体"/>
          <w:sz w:val="24"/>
          <w:szCs w:val="24"/>
        </w:rPr>
        <w:t>；</w:t>
      </w:r>
    </w:p>
    <w:p>
      <w:pPr>
        <w:pageBreakBefore w:val="0"/>
        <w:kinsoku/>
        <w:wordWrap/>
        <w:overflowPunct/>
        <w:topLinePunct w:val="0"/>
        <w:autoSpaceDE/>
        <w:autoSpaceDN/>
        <w:bidi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供应商需在应急管理部消防救援局备案，且企业备案信息应包含消防安全评估，备案信息可在应急管理部消防救援局官网（https://www.119.gov.cn/），社会消防技术服务机构信息系统中查询</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3、①未被国家企业信用信息公示系统列入严重违法失信企业名单；②未在“信用中国”网站被列入失信被执行人名单；③在近三年内供应商及其法定代表人、拟委任的项目负责人无行贿犯罪行为。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供应商应提供上一年度的审计报告（含财务报表）或近六个月内银行出具的有效资信证明作为证明文件（加盖单位公章）。</w:t>
      </w:r>
    </w:p>
    <w:p>
      <w:pPr>
        <w:pStyle w:val="3"/>
        <w:pageBreakBefore w:val="0"/>
        <w:numPr>
          <w:ilvl w:val="0"/>
          <w:numId w:val="9"/>
        </w:numPr>
        <w:kinsoku/>
        <w:wordWrap/>
        <w:overflowPunct/>
        <w:topLinePunct w:val="0"/>
        <w:autoSpaceDE/>
        <w:autoSpaceDN/>
        <w:bidi w:val="0"/>
        <w:snapToGrid w:val="0"/>
        <w:spacing w:line="360" w:lineRule="auto"/>
        <w:ind w:lef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报价单</w:t>
      </w:r>
    </w:p>
    <w:p>
      <w:pPr>
        <w:pageBreakBefore w:val="0"/>
        <w:numPr>
          <w:ilvl w:val="0"/>
          <w:numId w:val="10"/>
        </w:numPr>
        <w:tabs>
          <w:tab w:val="left" w:pos="709"/>
        </w:tabs>
        <w:kinsoku/>
        <w:wordWrap/>
        <w:overflowPunct/>
        <w:topLinePunct w:val="0"/>
        <w:autoSpaceDE/>
        <w:autoSpaceDN/>
        <w:bidi w:val="0"/>
        <w:spacing w:line="360" w:lineRule="auto"/>
        <w:ind w:left="701" w:hanging="701"/>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报价单</w:t>
      </w:r>
    </w:p>
    <w:p>
      <w:pPr>
        <w:pageBreakBefore w:val="0"/>
        <w:widowControl w:val="0"/>
        <w:numPr>
          <w:numId w:val="0"/>
        </w:numPr>
        <w:tabs>
          <w:tab w:val="left" w:pos="709"/>
        </w:tabs>
        <w:kinsoku/>
        <w:wordWrap/>
        <w:overflowPunct/>
        <w:topLinePunct w:val="0"/>
        <w:autoSpaceDE/>
        <w:autoSpaceDN/>
        <w:bidi w:val="0"/>
        <w:spacing w:line="360" w:lineRule="auto"/>
        <w:jc w:val="both"/>
        <w:rPr>
          <w:rFonts w:hint="eastAsia" w:ascii="宋体" w:hAnsi="宋体" w:eastAsia="宋体" w:cs="宋体"/>
          <w:sz w:val="24"/>
          <w:szCs w:val="24"/>
          <w:lang w:val="en-US" w:eastAsia="zh-CN"/>
        </w:rPr>
      </w:pPr>
    </w:p>
    <w:p>
      <w:pPr>
        <w:pageBreakBefore w:val="0"/>
        <w:widowControl w:val="0"/>
        <w:numPr>
          <w:numId w:val="0"/>
        </w:numPr>
        <w:tabs>
          <w:tab w:val="left" w:pos="709"/>
        </w:tabs>
        <w:kinsoku/>
        <w:wordWrap/>
        <w:overflowPunct/>
        <w:topLinePunct w:val="0"/>
        <w:autoSpaceDE/>
        <w:autoSpaceDN/>
        <w:bidi w:val="0"/>
        <w:spacing w:line="360" w:lineRule="auto"/>
        <w:jc w:val="both"/>
        <w:rPr>
          <w:rFonts w:hint="eastAsia" w:ascii="宋体" w:hAnsi="宋体" w:eastAsia="宋体" w:cs="宋体"/>
          <w:sz w:val="24"/>
          <w:szCs w:val="24"/>
          <w:lang w:val="en-US" w:eastAsia="zh-CN"/>
        </w:rPr>
      </w:pPr>
    </w:p>
    <w:tbl>
      <w:tblPr>
        <w:tblW w:w="100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163"/>
        <w:gridCol w:w="1939"/>
        <w:gridCol w:w="1406"/>
        <w:gridCol w:w="1939"/>
        <w:gridCol w:w="1939"/>
        <w:gridCol w:w="16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8" w:hRule="atLeast"/>
        </w:trPr>
        <w:tc>
          <w:tcPr>
            <w:tcW w:w="1163"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93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项目面积（㎡）</w:t>
            </w:r>
          </w:p>
        </w:tc>
        <w:tc>
          <w:tcPr>
            <w:tcW w:w="140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项目成员数</w:t>
            </w:r>
          </w:p>
        </w:tc>
        <w:tc>
          <w:tcPr>
            <w:tcW w:w="193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主要负责人职称</w:t>
            </w:r>
          </w:p>
        </w:tc>
        <w:tc>
          <w:tcPr>
            <w:tcW w:w="1939"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技术负责人职称</w:t>
            </w:r>
          </w:p>
        </w:tc>
        <w:tc>
          <w:tcPr>
            <w:tcW w:w="1632"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项目报价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5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suppressLineNumbers w:val="0"/>
              <w:kinsoku/>
              <w:wordWrap/>
              <w:overflowPunct/>
              <w:topLinePunct w:val="0"/>
              <w:autoSpaceDE/>
              <w:autoSpaceDN/>
              <w:bidi w:val="0"/>
              <w:spacing w:line="360" w:lineRule="auto"/>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134000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pageBreakBefore w:val="0"/>
              <w:kinsoku/>
              <w:wordWrap/>
              <w:overflowPunct/>
              <w:topLinePunct w:val="0"/>
              <w:autoSpaceDE/>
              <w:autoSpaceDN/>
              <w:bidi w:val="0"/>
              <w:spacing w:line="360" w:lineRule="auto"/>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18" w:hRule="atLeast"/>
        </w:trPr>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pageBreakBefore w:val="0"/>
              <w:widowControl/>
              <w:numPr>
                <w:ilvl w:val="0"/>
                <w:numId w:val="11"/>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bdr w:val="none" w:color="auto" w:sz="0" w:space="0"/>
                <w:lang w:val="en-US" w:eastAsia="zh-CN" w:bidi="ar"/>
              </w:rPr>
            </w:pPr>
            <w:r>
              <w:rPr>
                <w:rFonts w:hint="eastAsia" w:ascii="宋体" w:hAnsi="宋体" w:eastAsia="宋体" w:cs="宋体"/>
                <w:i w:val="0"/>
                <w:iCs w:val="0"/>
                <w:color w:val="000000"/>
                <w:kern w:val="0"/>
                <w:sz w:val="24"/>
                <w:szCs w:val="24"/>
                <w:u w:val="none"/>
                <w:bdr w:val="none" w:color="auto" w:sz="0" w:space="0"/>
                <w:lang w:val="en-US" w:eastAsia="zh-CN" w:bidi="ar"/>
              </w:rPr>
              <w:t>我公司承诺本报价符合遴选文件“第二章 遴选需求”中的全部要求。</w:t>
            </w:r>
          </w:p>
          <w:p>
            <w:pPr>
              <w:keepNext w:val="0"/>
              <w:keepLines w:val="0"/>
              <w:pageBreakBefore w:val="0"/>
              <w:widowControl/>
              <w:numPr>
                <w:ilvl w:val="0"/>
                <w:numId w:val="11"/>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bdr w:val="none" w:color="auto" w:sz="0" w:space="0"/>
                <w:lang w:val="en-US" w:eastAsia="zh-CN" w:bidi="ar"/>
              </w:rPr>
            </w:pPr>
            <w:r>
              <w:rPr>
                <w:rFonts w:hint="eastAsia" w:ascii="宋体" w:hAnsi="宋体" w:eastAsia="宋体" w:cs="宋体"/>
                <w:i w:val="0"/>
                <w:iCs w:val="0"/>
                <w:color w:val="000000"/>
                <w:kern w:val="0"/>
                <w:sz w:val="24"/>
                <w:szCs w:val="24"/>
                <w:u w:val="none"/>
                <w:bdr w:val="none" w:color="auto" w:sz="0" w:space="0"/>
                <w:lang w:val="en-US" w:eastAsia="zh-CN" w:bidi="ar"/>
              </w:rPr>
              <w:t>评估报告科学严谨，符合国家法律法规及标准规范的要求，符合医院实际需求，</w:t>
            </w:r>
          </w:p>
          <w:p>
            <w:pPr>
              <w:keepNext w:val="0"/>
              <w:keepLines w:val="0"/>
              <w:pageBreakBefore w:val="0"/>
              <w:widowControl/>
              <w:numPr>
                <w:numId w:val="0"/>
              </w:numPr>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4"/>
                <w:szCs w:val="24"/>
                <w:u w:val="none"/>
                <w:bdr w:val="none" w:color="auto" w:sz="0" w:space="0"/>
                <w:lang w:val="en-US" w:eastAsia="zh-CN" w:bidi="ar"/>
              </w:rPr>
            </w:pPr>
            <w:r>
              <w:rPr>
                <w:rFonts w:hint="eastAsia" w:ascii="宋体" w:hAnsi="宋体" w:eastAsia="宋体" w:cs="宋体"/>
                <w:i w:val="0"/>
                <w:iCs w:val="0"/>
                <w:color w:val="000000"/>
                <w:kern w:val="0"/>
                <w:sz w:val="24"/>
                <w:szCs w:val="24"/>
                <w:u w:val="none"/>
                <w:bdr w:val="none" w:color="auto" w:sz="0" w:space="0"/>
                <w:lang w:val="en-US" w:eastAsia="zh-CN" w:bidi="ar"/>
              </w:rPr>
              <w:t>能够切实提高消防安全管理水平。</w:t>
            </w:r>
          </w:p>
        </w:tc>
      </w:tr>
    </w:tbl>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widowControl w:val="0"/>
        <w:numPr>
          <w:ilvl w:val="0"/>
          <w:numId w:val="0"/>
        </w:numPr>
        <w:kinsoku/>
        <w:wordWrap/>
        <w:overflowPunct/>
        <w:topLinePunct w:val="0"/>
        <w:autoSpaceDE/>
        <w:autoSpaceDN/>
        <w:bidi w:val="0"/>
        <w:spacing w:line="360" w:lineRule="auto"/>
        <w:jc w:val="both"/>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bookmarkStart w:id="19" w:name="_Toc138689840"/>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四、商务部分</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1、资质认证：</w:t>
      </w:r>
      <w:r>
        <w:rPr>
          <w:rFonts w:hint="eastAsia" w:ascii="宋体" w:hAnsi="宋体" w:eastAsia="宋体" w:cs="宋体"/>
          <w:i w:val="0"/>
          <w:iCs w:val="0"/>
          <w:color w:val="000000"/>
          <w:kern w:val="0"/>
          <w:sz w:val="24"/>
          <w:szCs w:val="24"/>
          <w:u w:val="none"/>
          <w:lang w:val="en-US" w:eastAsia="zh-CN" w:bidi="ar"/>
        </w:rPr>
        <w:t>省一级消防协会颁发的会员证书及应急局颁发的安全评价资质证书，提供</w:t>
      </w:r>
      <w:r>
        <w:rPr>
          <w:rFonts w:hint="eastAsia" w:ascii="宋体" w:hAnsi="宋体" w:eastAsia="宋体" w:cs="宋体"/>
          <w:sz w:val="24"/>
          <w:szCs w:val="24"/>
        </w:rPr>
        <w:t>复印件</w:t>
      </w:r>
      <w:r>
        <w:rPr>
          <w:rFonts w:hint="eastAsia" w:ascii="宋体" w:hAnsi="宋体" w:eastAsia="宋体" w:cs="宋体"/>
          <w:sz w:val="24"/>
          <w:szCs w:val="24"/>
          <w:lang w:val="en-US" w:eastAsia="zh-CN"/>
        </w:rPr>
        <w:t>并加盖公章</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2、业绩情况：提供近三年从事过</w:t>
      </w:r>
      <w:r>
        <w:rPr>
          <w:rFonts w:hint="eastAsia" w:ascii="宋体" w:hAnsi="宋体" w:eastAsia="宋体" w:cs="宋体"/>
          <w:sz w:val="24"/>
          <w:szCs w:val="24"/>
          <w:lang w:val="en-US" w:eastAsia="zh-CN"/>
        </w:rPr>
        <w:t>类似检测项目</w:t>
      </w:r>
      <w:r>
        <w:rPr>
          <w:rFonts w:hint="eastAsia" w:ascii="宋体" w:hAnsi="宋体" w:eastAsia="宋体" w:cs="宋体"/>
          <w:sz w:val="24"/>
          <w:szCs w:val="24"/>
        </w:rPr>
        <w:t>合同复印件加盖公章，依合同内容情况填写项目情况表。</w:t>
      </w:r>
    </w:p>
    <w:tbl>
      <w:tblPr>
        <w:tblStyle w:val="33"/>
        <w:tblW w:w="9898" w:type="dxa"/>
        <w:jc w:val="center"/>
        <w:tblLayout w:type="fixed"/>
        <w:tblCellMar>
          <w:top w:w="0" w:type="dxa"/>
          <w:left w:w="10" w:type="dxa"/>
          <w:bottom w:w="0" w:type="dxa"/>
          <w:right w:w="10" w:type="dxa"/>
        </w:tblCellMar>
      </w:tblPr>
      <w:tblGrid>
        <w:gridCol w:w="1509"/>
        <w:gridCol w:w="1732"/>
        <w:gridCol w:w="2219"/>
        <w:gridCol w:w="2219"/>
        <w:gridCol w:w="2219"/>
      </w:tblGrid>
      <w:tr>
        <w:tblPrEx>
          <w:tblCellMar>
            <w:top w:w="0" w:type="dxa"/>
            <w:left w:w="10" w:type="dxa"/>
            <w:bottom w:w="0" w:type="dxa"/>
            <w:right w:w="10" w:type="dxa"/>
          </w:tblCellMar>
        </w:tblPrEx>
        <w:trPr>
          <w:trHeight w:val="560" w:hRule="exact"/>
          <w:jc w:val="center"/>
        </w:trPr>
        <w:tc>
          <w:tcPr>
            <w:tcW w:w="9898" w:type="dxa"/>
            <w:gridSpan w:val="5"/>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项目情况表</w:t>
            </w: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序号</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服务内容</w:t>
            </w: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委托人/发包人名称</w:t>
            </w: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项目金额</w:t>
            </w: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r>
        <w:tblPrEx>
          <w:tblCellMar>
            <w:top w:w="0" w:type="dxa"/>
            <w:left w:w="10" w:type="dxa"/>
            <w:bottom w:w="0" w:type="dxa"/>
            <w:right w:w="10" w:type="dxa"/>
          </w:tblCellMar>
        </w:tblPrEx>
        <w:trPr>
          <w:trHeight w:val="560" w:hRule="exact"/>
          <w:jc w:val="center"/>
        </w:trPr>
        <w:tc>
          <w:tcPr>
            <w:tcW w:w="1509"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73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eastAsia="zh-CN"/>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r>
        <w:tblPrEx>
          <w:tblCellMar>
            <w:top w:w="0" w:type="dxa"/>
            <w:left w:w="10" w:type="dxa"/>
            <w:bottom w:w="0" w:type="dxa"/>
            <w:right w:w="10" w:type="dxa"/>
          </w:tblCellMar>
        </w:tblPrEx>
        <w:trPr>
          <w:trHeight w:val="64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684"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76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473"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73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eastAsia="zh-TW"/>
              </w:rPr>
            </w:pPr>
          </w:p>
        </w:tc>
      </w:tr>
      <w:tr>
        <w:tblPrEx>
          <w:tblCellMar>
            <w:top w:w="0" w:type="dxa"/>
            <w:left w:w="10" w:type="dxa"/>
            <w:bottom w:w="0" w:type="dxa"/>
            <w:right w:w="10" w:type="dxa"/>
          </w:tblCellMar>
        </w:tblPrEx>
        <w:trPr>
          <w:trHeight w:val="570" w:hRule="exact"/>
          <w:jc w:val="center"/>
        </w:trPr>
        <w:tc>
          <w:tcPr>
            <w:tcW w:w="1509" w:type="dxa"/>
            <w:tcBorders>
              <w:top w:val="single" w:color="auto" w:sz="4" w:space="0"/>
              <w:left w:val="single" w:color="auto" w:sz="4" w:space="0"/>
              <w:bottom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c>
          <w:tcPr>
            <w:tcW w:w="395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c>
          <w:tcPr>
            <w:tcW w:w="2219"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tc>
      </w:tr>
    </w:tbl>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五、技术</w:t>
      </w:r>
      <w:bookmarkEnd w:id="19"/>
      <w:r>
        <w:rPr>
          <w:rFonts w:hint="eastAsia" w:ascii="宋体" w:hAnsi="宋体" w:eastAsia="宋体" w:cs="宋体"/>
          <w:sz w:val="24"/>
          <w:szCs w:val="24"/>
        </w:rPr>
        <w:t>部分</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kern w:val="2"/>
          <w:sz w:val="24"/>
          <w:szCs w:val="24"/>
          <w:lang w:eastAsia="zh-CN"/>
        </w:rPr>
        <w:t>标准制订：参加过消防安全国家、地方标准或行业标准编制工作。（提供证明资料</w:t>
      </w:r>
      <w:r>
        <w:rPr>
          <w:rFonts w:hint="eastAsia" w:ascii="宋体" w:hAnsi="宋体" w:eastAsia="宋体" w:cs="宋体"/>
          <w:kern w:val="2"/>
          <w:sz w:val="24"/>
          <w:szCs w:val="24"/>
          <w:lang w:val="en-US" w:eastAsia="zh-CN"/>
        </w:rPr>
        <w:t>并加盖公章</w:t>
      </w:r>
      <w:r>
        <w:rPr>
          <w:rFonts w:hint="eastAsia" w:ascii="宋体" w:hAnsi="宋体" w:eastAsia="宋体" w:cs="宋体"/>
          <w:kern w:val="2"/>
          <w:sz w:val="24"/>
          <w:szCs w:val="24"/>
          <w:lang w:eastAsia="zh-CN"/>
        </w:rPr>
        <w:t>）</w:t>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numPr>
          <w:ilvl w:val="0"/>
          <w:numId w:val="10"/>
        </w:numPr>
        <w:kinsoku/>
        <w:wordWrap/>
        <w:overflowPunct/>
        <w:topLinePunct w:val="0"/>
        <w:autoSpaceDE/>
        <w:autoSpaceDN/>
        <w:bidi w:val="0"/>
        <w:snapToGrid w:val="0"/>
        <w:spacing w:line="360" w:lineRule="auto"/>
        <w:ind w:left="701" w:leftChars="0" w:hanging="701" w:firstLineChars="0"/>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技术团队配置：</w:t>
      </w:r>
    </w:p>
    <w:p>
      <w:pPr>
        <w:pageBreakBefore w:val="0"/>
        <w:numPr>
          <w:numId w:val="0"/>
        </w:numPr>
        <w:kinsoku/>
        <w:wordWrap/>
        <w:overflowPunct/>
        <w:topLinePunct w:val="0"/>
        <w:autoSpaceDE/>
        <w:autoSpaceDN/>
        <w:bidi w:val="0"/>
        <w:snapToGrid w:val="0"/>
        <w:spacing w:line="360" w:lineRule="auto"/>
        <w:ind w:leftChars="0"/>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 xml:space="preserve"> 2.1</w:t>
      </w:r>
      <w:r>
        <w:rPr>
          <w:rFonts w:hint="eastAsia" w:ascii="宋体" w:hAnsi="宋体" w:eastAsia="宋体" w:cs="宋体"/>
          <w:kern w:val="2"/>
          <w:sz w:val="24"/>
          <w:szCs w:val="24"/>
          <w:lang w:eastAsia="zh-CN"/>
        </w:rPr>
        <w:t>项目负责人具备高工资格且承担过医院消防安全评估经验。</w:t>
      </w:r>
    </w:p>
    <w:p>
      <w:pPr>
        <w:pStyle w:val="4"/>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主要</w:t>
      </w:r>
      <w:r>
        <w:rPr>
          <w:rFonts w:hint="eastAsia" w:ascii="宋体" w:hAnsi="宋体" w:eastAsia="宋体" w:cs="宋体"/>
          <w:sz w:val="24"/>
          <w:szCs w:val="24"/>
          <w:lang w:val="en-US" w:eastAsia="zh-CN"/>
        </w:rPr>
        <w:t>负责</w:t>
      </w:r>
      <w:r>
        <w:rPr>
          <w:rFonts w:hint="eastAsia" w:ascii="宋体" w:hAnsi="宋体" w:eastAsia="宋体" w:cs="宋体"/>
          <w:sz w:val="24"/>
          <w:szCs w:val="24"/>
        </w:rPr>
        <w:t>人员简历表</w:t>
      </w:r>
    </w:p>
    <w:tbl>
      <w:tblPr>
        <w:tblStyle w:val="33"/>
        <w:tblW w:w="8277" w:type="dxa"/>
        <w:jc w:val="center"/>
        <w:tblLayout w:type="fixed"/>
        <w:tblCellMar>
          <w:top w:w="0" w:type="dxa"/>
          <w:left w:w="10" w:type="dxa"/>
          <w:bottom w:w="0" w:type="dxa"/>
          <w:right w:w="10" w:type="dxa"/>
        </w:tblCellMar>
      </w:tblPr>
      <w:tblGrid>
        <w:gridCol w:w="1072"/>
        <w:gridCol w:w="1106"/>
        <w:gridCol w:w="1368"/>
        <w:gridCol w:w="1364"/>
        <w:gridCol w:w="1775"/>
        <w:gridCol w:w="1592"/>
      </w:tblGrid>
      <w:tr>
        <w:tblPrEx>
          <w:tblCellMar>
            <w:top w:w="0" w:type="dxa"/>
            <w:left w:w="10" w:type="dxa"/>
            <w:bottom w:w="0" w:type="dxa"/>
            <w:right w:w="10" w:type="dxa"/>
          </w:tblCellMar>
        </w:tblPrEx>
        <w:trPr>
          <w:trHeight w:val="1062"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bookmarkStart w:id="20" w:name="_Hlk88508244"/>
            <w:r>
              <w:rPr>
                <w:rFonts w:hint="eastAsia" w:ascii="宋体" w:hAnsi="宋体" w:eastAsia="宋体" w:cs="宋体"/>
                <w:sz w:val="24"/>
                <w:szCs w:val="24"/>
              </w:rPr>
              <w:t>姓名</w:t>
            </w:r>
          </w:p>
        </w:tc>
        <w:tc>
          <w:tcPr>
            <w:tcW w:w="110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368"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年龄</w:t>
            </w:r>
          </w:p>
        </w:tc>
        <w:tc>
          <w:tcPr>
            <w:tcW w:w="136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774"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执业或职业</w:t>
            </w:r>
          </w:p>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资格证书名称</w:t>
            </w: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职称</w:t>
            </w:r>
          </w:p>
        </w:tc>
        <w:tc>
          <w:tcPr>
            <w:tcW w:w="3838" w:type="dxa"/>
            <w:gridSpan w:val="3"/>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774"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学历</w:t>
            </w: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工作年限</w:t>
            </w:r>
          </w:p>
        </w:tc>
        <w:tc>
          <w:tcPr>
            <w:tcW w:w="7205" w:type="dxa"/>
            <w:gridSpan w:val="5"/>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1429" w:hRule="exact"/>
          <w:jc w:val="center"/>
        </w:trPr>
        <w:tc>
          <w:tcPr>
            <w:tcW w:w="1072" w:type="dxa"/>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时间</w:t>
            </w:r>
          </w:p>
        </w:tc>
        <w:tc>
          <w:tcPr>
            <w:tcW w:w="5613" w:type="dxa"/>
            <w:gridSpan w:val="4"/>
            <w:tcBorders>
              <w:top w:val="single" w:color="auto" w:sz="4" w:space="0"/>
              <w:lef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参加过的类似项目</w:t>
            </w:r>
          </w:p>
        </w:tc>
        <w:tc>
          <w:tcPr>
            <w:tcW w:w="1592" w:type="dxa"/>
            <w:tcBorders>
              <w:top w:val="single" w:color="auto" w:sz="4" w:space="0"/>
              <w:left w:val="single" w:color="auto" w:sz="4" w:space="0"/>
              <w:right w:val="single" w:color="auto" w:sz="4" w:space="0"/>
            </w:tcBorders>
            <w:shd w:val="clear" w:color="auto" w:fill="FFFFFF"/>
            <w:vAlign w:val="center"/>
          </w:tcPr>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lang w:eastAsia="zh-CN"/>
              </w:rPr>
            </w:pPr>
            <w:r>
              <w:rPr>
                <w:rFonts w:hint="eastAsia" w:ascii="宋体" w:hAnsi="宋体" w:eastAsia="宋体" w:cs="宋体"/>
                <w:sz w:val="24"/>
                <w:szCs w:val="24"/>
              </w:rPr>
              <w:t>委托人/发包人</w:t>
            </w:r>
            <w:r>
              <w:rPr>
                <w:rFonts w:hint="eastAsia" w:ascii="宋体" w:hAnsi="宋体" w:eastAsia="宋体" w:cs="宋体"/>
                <w:sz w:val="24"/>
                <w:szCs w:val="24"/>
                <w:lang w:eastAsia="zh-CN"/>
              </w:rPr>
              <w:t>及</w:t>
            </w:r>
          </w:p>
          <w:p>
            <w:pPr>
              <w:pStyle w:val="71"/>
              <w:pageBreakBefore w:val="0"/>
              <w:kinsoku/>
              <w:wordWrap/>
              <w:overflowPunct/>
              <w:topLinePunct w:val="0"/>
              <w:autoSpaceDE/>
              <w:autoSpaceDN/>
              <w:bidi w:val="0"/>
              <w:snapToGrid w:val="0"/>
              <w:spacing w:after="0" w:line="360" w:lineRule="auto"/>
              <w:jc w:val="center"/>
              <w:rPr>
                <w:rFonts w:hint="eastAsia" w:ascii="宋体" w:hAnsi="宋体" w:eastAsia="宋体" w:cs="宋体"/>
                <w:sz w:val="24"/>
                <w:szCs w:val="24"/>
              </w:rPr>
            </w:pPr>
            <w:r>
              <w:rPr>
                <w:rFonts w:hint="eastAsia" w:ascii="宋体" w:hAnsi="宋体" w:eastAsia="宋体" w:cs="宋体"/>
                <w:sz w:val="24"/>
                <w:szCs w:val="24"/>
              </w:rPr>
              <w:t>联系电话</w:t>
            </w: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815" w:hRule="exact"/>
          <w:jc w:val="center"/>
        </w:trPr>
        <w:tc>
          <w:tcPr>
            <w:tcW w:w="1072"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5613" w:type="dxa"/>
            <w:gridSpan w:val="4"/>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c>
          <w:tcPr>
            <w:tcW w:w="1592"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napToGrid w:val="0"/>
              <w:spacing w:line="360" w:lineRule="auto"/>
              <w:jc w:val="center"/>
              <w:rPr>
                <w:rFonts w:hint="eastAsia" w:ascii="宋体" w:hAnsi="宋体" w:eastAsia="宋体" w:cs="宋体"/>
                <w:sz w:val="24"/>
                <w:szCs w:val="24"/>
              </w:rPr>
            </w:pPr>
          </w:p>
        </w:tc>
      </w:tr>
      <w:bookmarkEnd w:id="20"/>
    </w:tbl>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p>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注：要求在本表后附相关证明材料。</w:t>
      </w:r>
    </w:p>
    <w:p>
      <w:pPr>
        <w:pageBreakBefore w:val="0"/>
        <w:widowControl/>
        <w:kinsoku/>
        <w:wordWrap/>
        <w:overflowPunct/>
        <w:topLinePunct w:val="0"/>
        <w:autoSpaceDE/>
        <w:autoSpaceDN/>
        <w:bidi w:val="0"/>
        <w:spacing w:line="360" w:lineRule="auto"/>
        <w:rPr>
          <w:rFonts w:hint="eastAsia" w:ascii="宋体" w:hAnsi="宋体" w:eastAsia="宋体" w:cs="宋体"/>
          <w:sz w:val="24"/>
          <w:szCs w:val="24"/>
          <w:lang w:val="zh-TW" w:eastAsia="zh-TW" w:bidi="zh-TW"/>
        </w:rPr>
      </w:pPr>
    </w:p>
    <w:p>
      <w:pPr>
        <w:pStyle w:val="4"/>
        <w:pageBreakBefore w:val="0"/>
        <w:kinsoku/>
        <w:wordWrap/>
        <w:overflowPunct/>
        <w:topLinePunct w:val="0"/>
        <w:autoSpaceDE/>
        <w:autoSpaceDN/>
        <w:bidi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参与项目评价的项目组成员</w:t>
      </w:r>
      <w:r>
        <w:rPr>
          <w:rFonts w:hint="eastAsia" w:ascii="宋体" w:hAnsi="宋体" w:eastAsia="宋体" w:cs="宋体"/>
          <w:sz w:val="24"/>
          <w:szCs w:val="24"/>
          <w:lang w:val="en-US" w:eastAsia="zh-CN"/>
        </w:rPr>
        <w:t>的相关资质：</w:t>
      </w:r>
    </w:p>
    <w:p>
      <w:pPr>
        <w:pStyle w:val="4"/>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t>拟委任的主要人员汇总表</w:t>
      </w:r>
    </w:p>
    <w:tbl>
      <w:tblPr>
        <w:tblStyle w:val="33"/>
        <w:tblW w:w="8279" w:type="dxa"/>
        <w:jc w:val="center"/>
        <w:tblLayout w:type="fixed"/>
        <w:tblCellMar>
          <w:top w:w="0" w:type="dxa"/>
          <w:left w:w="10" w:type="dxa"/>
          <w:bottom w:w="0" w:type="dxa"/>
          <w:right w:w="10" w:type="dxa"/>
        </w:tblCellMar>
      </w:tblPr>
      <w:tblGrid>
        <w:gridCol w:w="614"/>
        <w:gridCol w:w="1405"/>
        <w:gridCol w:w="1354"/>
        <w:gridCol w:w="776"/>
        <w:gridCol w:w="4130"/>
      </w:tblGrid>
      <w:tr>
        <w:tblPrEx>
          <w:tblCellMar>
            <w:top w:w="0" w:type="dxa"/>
            <w:left w:w="10" w:type="dxa"/>
            <w:bottom w:w="0" w:type="dxa"/>
            <w:right w:w="10" w:type="dxa"/>
          </w:tblCellMar>
        </w:tblPrEx>
        <w:trPr>
          <w:trHeight w:val="570" w:hRule="exact"/>
          <w:jc w:val="center"/>
        </w:trPr>
        <w:tc>
          <w:tcPr>
            <w:tcW w:w="614"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bookmarkStart w:id="21" w:name="_Hlk88508222"/>
            <w:r>
              <w:rPr>
                <w:rFonts w:hint="eastAsia" w:ascii="宋体" w:hAnsi="宋体" w:eastAsia="宋体" w:cs="宋体"/>
                <w:b/>
                <w:bCs/>
                <w:sz w:val="24"/>
                <w:szCs w:val="24"/>
              </w:rPr>
              <w:t>序号</w:t>
            </w:r>
          </w:p>
        </w:tc>
        <w:tc>
          <w:tcPr>
            <w:tcW w:w="1405"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本项目任职</w:t>
            </w:r>
          </w:p>
        </w:tc>
        <w:tc>
          <w:tcPr>
            <w:tcW w:w="1354"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姓名</w:t>
            </w:r>
          </w:p>
        </w:tc>
        <w:tc>
          <w:tcPr>
            <w:tcW w:w="776" w:type="dxa"/>
            <w:vMerge w:val="restart"/>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职称</w:t>
            </w:r>
          </w:p>
        </w:tc>
        <w:tc>
          <w:tcPr>
            <w:tcW w:w="4130" w:type="dxa"/>
            <w:vMerge w:val="restart"/>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执业资格证明</w:t>
            </w:r>
          </w:p>
        </w:tc>
      </w:tr>
      <w:tr>
        <w:tblPrEx>
          <w:tblCellMar>
            <w:top w:w="0" w:type="dxa"/>
            <w:left w:w="10" w:type="dxa"/>
            <w:bottom w:w="0" w:type="dxa"/>
            <w:right w:w="10" w:type="dxa"/>
          </w:tblCellMar>
        </w:tblPrEx>
        <w:trPr>
          <w:trHeight w:val="561" w:hRule="exact"/>
          <w:jc w:val="center"/>
        </w:trPr>
        <w:tc>
          <w:tcPr>
            <w:tcW w:w="614"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vMerge w:val="continue"/>
            <w:tcBorders>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vMerge w:val="continue"/>
            <w:tcBorders>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7"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7"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02" w:hRule="exact"/>
          <w:jc w:val="center"/>
        </w:trPr>
        <w:tc>
          <w:tcPr>
            <w:tcW w:w="61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tr>
        <w:tblPrEx>
          <w:tblCellMar>
            <w:top w:w="0" w:type="dxa"/>
            <w:left w:w="10" w:type="dxa"/>
            <w:bottom w:w="0" w:type="dxa"/>
            <w:right w:w="10" w:type="dxa"/>
          </w:tblCellMar>
        </w:tblPrEx>
        <w:trPr>
          <w:trHeight w:val="512" w:hRule="exact"/>
          <w:jc w:val="center"/>
        </w:trPr>
        <w:tc>
          <w:tcPr>
            <w:tcW w:w="61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405"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1354"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776" w:type="dxa"/>
            <w:tcBorders>
              <w:top w:val="single" w:color="auto" w:sz="4" w:space="0"/>
              <w:left w:val="single" w:color="auto" w:sz="4" w:space="0"/>
              <w:bottom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c>
          <w:tcPr>
            <w:tcW w:w="4130" w:type="dxa"/>
            <w:tcBorders>
              <w:top w:val="single" w:color="auto" w:sz="4" w:space="0"/>
              <w:left w:val="single" w:color="auto" w:sz="4" w:space="0"/>
              <w:bottom w:val="single" w:color="auto" w:sz="4" w:space="0"/>
              <w:right w:val="single" w:color="auto" w:sz="4" w:space="0"/>
            </w:tcBorders>
            <w:shd w:val="clear" w:color="auto" w:fill="FFFFFF"/>
            <w:vAlign w:val="center"/>
          </w:tcPr>
          <w:p>
            <w:pPr>
              <w:pageBreakBefore w:val="0"/>
              <w:kinsoku/>
              <w:wordWrap/>
              <w:overflowPunct/>
              <w:topLinePunct w:val="0"/>
              <w:autoSpaceDE/>
              <w:autoSpaceDN/>
              <w:bidi w:val="0"/>
              <w:spacing w:line="360" w:lineRule="auto"/>
              <w:jc w:val="center"/>
              <w:rPr>
                <w:rFonts w:hint="eastAsia" w:ascii="宋体" w:hAnsi="宋体" w:eastAsia="宋体" w:cs="宋体"/>
                <w:sz w:val="24"/>
                <w:szCs w:val="24"/>
              </w:rPr>
            </w:pPr>
          </w:p>
        </w:tc>
      </w:tr>
      <w:bookmarkEnd w:id="21"/>
    </w:tbl>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p>
    <w:p>
      <w:pPr>
        <w:pStyle w:val="72"/>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注：要求在本表后附相关证明材料。</w:t>
      </w:r>
    </w:p>
    <w:p>
      <w:pPr>
        <w:pageBreakBefore w:val="0"/>
        <w:kinsoku/>
        <w:wordWrap/>
        <w:overflowPunct/>
        <w:topLinePunct w:val="0"/>
        <w:autoSpaceDE/>
        <w:autoSpaceDN/>
        <w:bidi w:val="0"/>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r>
        <w:rPr>
          <w:rFonts w:hint="eastAsia" w:ascii="宋体" w:hAnsi="宋体" w:eastAsia="宋体" w:cs="宋体"/>
          <w:sz w:val="24"/>
          <w:szCs w:val="24"/>
        </w:rPr>
        <w:t>六、服务部分</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1、前期准备方案：</w:t>
      </w:r>
      <w:r>
        <w:rPr>
          <w:rFonts w:hint="eastAsia" w:ascii="宋体" w:hAnsi="宋体" w:eastAsia="宋体" w:cs="宋体"/>
          <w:sz w:val="24"/>
          <w:szCs w:val="24"/>
          <w:lang w:val="en-US" w:eastAsia="zh-CN"/>
        </w:rPr>
        <w:t>包含准备方案和遵守院内规章承诺书（</w:t>
      </w:r>
      <w:r>
        <w:rPr>
          <w:rFonts w:hint="eastAsia" w:ascii="宋体" w:hAnsi="宋体" w:eastAsia="宋体" w:cs="宋体"/>
          <w:sz w:val="24"/>
          <w:szCs w:val="24"/>
        </w:rPr>
        <w:t>格式自拟</w:t>
      </w:r>
      <w:r>
        <w:rPr>
          <w:rFonts w:hint="eastAsia" w:ascii="宋体" w:hAnsi="宋体" w:eastAsia="宋体" w:cs="宋体"/>
          <w:sz w:val="24"/>
          <w:szCs w:val="24"/>
          <w:lang w:val="en-US" w:eastAsia="zh-CN"/>
        </w:rPr>
        <w:t>）</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i w:val="0"/>
          <w:iCs w:val="0"/>
          <w:color w:val="000000"/>
          <w:kern w:val="0"/>
          <w:sz w:val="24"/>
          <w:szCs w:val="24"/>
          <w:u w:val="none"/>
          <w:lang w:val="en-US" w:eastAsia="zh-CN" w:bidi="ar"/>
        </w:rPr>
        <w:t>评估服务方案</w:t>
      </w:r>
      <w:r>
        <w:rPr>
          <w:rFonts w:hint="eastAsia" w:ascii="宋体" w:hAnsi="宋体" w:eastAsia="宋体" w:cs="宋体"/>
          <w:sz w:val="24"/>
          <w:szCs w:val="24"/>
        </w:rPr>
        <w:t>：</w:t>
      </w:r>
      <w:r>
        <w:rPr>
          <w:rFonts w:hint="eastAsia" w:ascii="宋体" w:hAnsi="宋体" w:eastAsia="宋体" w:cs="宋体"/>
          <w:sz w:val="24"/>
          <w:szCs w:val="24"/>
          <w:lang w:val="en-US" w:eastAsia="zh-CN"/>
        </w:rPr>
        <w:t>（格式自拟））</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3、质量保障措施：格式自拟并提供承诺书（格式自拟）</w:t>
      </w: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Style w:val="3"/>
        <w:pageBreakBefore w:val="0"/>
        <w:kinsoku/>
        <w:wordWrap/>
        <w:overflowPunct/>
        <w:topLinePunct w:val="0"/>
        <w:autoSpaceDE/>
        <w:autoSpaceDN/>
        <w:bidi w:val="0"/>
        <w:snapToGrid w:val="0"/>
        <w:spacing w:line="360" w:lineRule="auto"/>
        <w:ind w:left="0"/>
        <w:jc w:val="center"/>
        <w:rPr>
          <w:rFonts w:hint="eastAsia" w:ascii="宋体" w:hAnsi="宋体" w:eastAsia="宋体" w:cs="宋体"/>
          <w:sz w:val="24"/>
          <w:szCs w:val="24"/>
        </w:rPr>
      </w:pPr>
      <w:bookmarkStart w:id="22" w:name="_Toc138689843"/>
      <w:r>
        <w:rPr>
          <w:rFonts w:hint="eastAsia" w:ascii="宋体" w:hAnsi="宋体" w:eastAsia="宋体" w:cs="宋体"/>
          <w:sz w:val="24"/>
          <w:szCs w:val="24"/>
          <w:lang w:val="en-US" w:eastAsia="zh-CN"/>
        </w:rPr>
        <w:t>七</w:t>
      </w:r>
      <w:r>
        <w:rPr>
          <w:rFonts w:hint="eastAsia" w:ascii="宋体" w:hAnsi="宋体" w:eastAsia="宋体" w:cs="宋体"/>
          <w:sz w:val="24"/>
          <w:szCs w:val="24"/>
        </w:rPr>
        <w:t>、</w:t>
      </w:r>
      <w:bookmarkEnd w:id="22"/>
      <w:r>
        <w:rPr>
          <w:rFonts w:hint="eastAsia" w:ascii="宋体" w:hAnsi="宋体" w:eastAsia="宋体" w:cs="宋体"/>
          <w:sz w:val="24"/>
          <w:szCs w:val="24"/>
        </w:rPr>
        <w:t>其他资料</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供应商需提交的其他资料。</w:t>
      </w:r>
    </w:p>
    <w:p>
      <w:pPr>
        <w:pStyle w:val="70"/>
        <w:pageBreakBefore w:val="0"/>
        <w:kinsoku/>
        <w:wordWrap/>
        <w:overflowPunct/>
        <w:topLinePunct w:val="0"/>
        <w:autoSpaceDE/>
        <w:autoSpaceDN/>
        <w:bidi w:val="0"/>
        <w:snapToGrid w:val="0"/>
        <w:spacing w:after="0" w:line="360" w:lineRule="auto"/>
        <w:ind w:firstLine="480" w:firstLineChars="200"/>
        <w:jc w:val="left"/>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pacing w:line="360" w:lineRule="auto"/>
        <w:rPr>
          <w:rFonts w:hint="eastAsia" w:ascii="宋体" w:hAnsi="宋体" w:eastAsia="宋体" w:cs="宋体"/>
          <w:sz w:val="24"/>
          <w:szCs w:val="24"/>
        </w:rPr>
      </w:pPr>
    </w:p>
    <w:p>
      <w:pPr>
        <w:pageBreakBefore w:val="0"/>
        <w:kinsoku/>
        <w:wordWrap/>
        <w:overflowPunct/>
        <w:topLinePunct w:val="0"/>
        <w:autoSpaceDE/>
        <w:autoSpaceDN/>
        <w:bidi w:val="0"/>
        <w:snapToGrid w:val="0"/>
        <w:spacing w:line="360" w:lineRule="auto"/>
        <w:rPr>
          <w:rFonts w:hint="eastAsia" w:ascii="宋体" w:hAnsi="宋体" w:eastAsia="宋体" w:cs="宋体"/>
          <w:sz w:val="24"/>
          <w:szCs w:val="24"/>
        </w:rPr>
      </w:pPr>
      <w:bookmarkStart w:id="23" w:name="_GoBack"/>
      <w:bookmarkEnd w:id="23"/>
    </w:p>
    <w:sectPr>
      <w:headerReference r:id="rId6" w:type="first"/>
      <w:footerReference r:id="rId9" w:type="first"/>
      <w:headerReference r:id="rId4" w:type="default"/>
      <w:footerReference r:id="rId7" w:type="default"/>
      <w:headerReference r:id="rId5" w:type="even"/>
      <w:footerReference r:id="rId8" w:type="even"/>
      <w:pgSz w:w="11906" w:h="16838"/>
      <w:pgMar w:top="1584" w:right="1584" w:bottom="1478" w:left="1576" w:header="850" w:footer="994"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2970103"/>
    </w:sdtPr>
    <w:sdtEndPr>
      <w:rPr>
        <w:rFonts w:ascii="Times New Roman" w:hAnsi="Times New Roman" w:cs="Times New Roman"/>
      </w:rPr>
    </w:sdtEndPr>
    <w:sdtContent>
      <w:p>
        <w:pPr>
          <w:pStyle w:val="2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w:t>
        </w:r>
        <w:r>
          <w:rPr>
            <w:rFonts w:ascii="Times New Roman" w:hAnsi="Times New Roman" w:cs="Times New Roman"/>
          </w:rPr>
          <w:fldChar w:fldCharType="end"/>
        </w:r>
      </w:p>
    </w:sdtContent>
  </w:sdt>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right" w:pos="8647"/>
        <w:tab w:val="clear" w:pos="8306"/>
      </w:tabs>
      <w:jc w:val="both"/>
      <w:rPr>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2C696C"/>
    <w:multiLevelType w:val="singleLevel"/>
    <w:tmpl w:val="8B2C696C"/>
    <w:lvl w:ilvl="0" w:tentative="0">
      <w:start w:val="1"/>
      <w:numFmt w:val="decimal"/>
      <w:suff w:val="nothing"/>
      <w:lvlText w:val="%1、"/>
      <w:lvlJc w:val="left"/>
    </w:lvl>
  </w:abstractNum>
  <w:abstractNum w:abstractNumId="1">
    <w:nsid w:val="96E7CA71"/>
    <w:multiLevelType w:val="singleLevel"/>
    <w:tmpl w:val="96E7CA71"/>
    <w:lvl w:ilvl="0" w:tentative="0">
      <w:start w:val="1"/>
      <w:numFmt w:val="decimal"/>
      <w:suff w:val="nothing"/>
      <w:lvlText w:val="%1）"/>
      <w:lvlJc w:val="left"/>
      <w:pPr>
        <w:ind w:left="0" w:firstLine="403"/>
      </w:pPr>
      <w:rPr>
        <w:rFonts w:hint="default"/>
      </w:rPr>
    </w:lvl>
  </w:abstractNum>
  <w:abstractNum w:abstractNumId="2">
    <w:nsid w:val="A28431FB"/>
    <w:multiLevelType w:val="singleLevel"/>
    <w:tmpl w:val="A28431FB"/>
    <w:lvl w:ilvl="0" w:tentative="0">
      <w:start w:val="1"/>
      <w:numFmt w:val="decimal"/>
      <w:suff w:val="nothing"/>
      <w:lvlText w:val="%1）"/>
      <w:lvlJc w:val="left"/>
      <w:pPr>
        <w:ind w:left="0" w:firstLine="403"/>
      </w:pPr>
      <w:rPr>
        <w:rFonts w:hint="default"/>
      </w:rPr>
    </w:lvl>
  </w:abstractNum>
  <w:abstractNum w:abstractNumId="3">
    <w:nsid w:val="AE70365E"/>
    <w:multiLevelType w:val="singleLevel"/>
    <w:tmpl w:val="AE70365E"/>
    <w:lvl w:ilvl="0" w:tentative="0">
      <w:start w:val="3"/>
      <w:numFmt w:val="chineseCounting"/>
      <w:suff w:val="nothing"/>
      <w:lvlText w:val="%1、"/>
      <w:lvlJc w:val="left"/>
      <w:rPr>
        <w:rFonts w:hint="eastAsia"/>
      </w:rPr>
    </w:lvl>
  </w:abstractNum>
  <w:abstractNum w:abstractNumId="4">
    <w:nsid w:val="BC49FC80"/>
    <w:multiLevelType w:val="singleLevel"/>
    <w:tmpl w:val="BC49FC80"/>
    <w:lvl w:ilvl="0" w:tentative="0">
      <w:start w:val="1"/>
      <w:numFmt w:val="decimal"/>
      <w:suff w:val="nothing"/>
      <w:lvlText w:val="%1、"/>
      <w:lvlJc w:val="left"/>
    </w:lvl>
  </w:abstractNum>
  <w:abstractNum w:abstractNumId="5">
    <w:nsid w:val="C76EF000"/>
    <w:multiLevelType w:val="singleLevel"/>
    <w:tmpl w:val="C76EF000"/>
    <w:lvl w:ilvl="0" w:tentative="0">
      <w:start w:val="1"/>
      <w:numFmt w:val="decimal"/>
      <w:suff w:val="nothing"/>
      <w:lvlText w:val="%1．"/>
      <w:lvlJc w:val="left"/>
      <w:pPr>
        <w:ind w:left="0" w:firstLine="400"/>
      </w:pPr>
      <w:rPr>
        <w:rFonts w:hint="default"/>
      </w:rPr>
    </w:lvl>
  </w:abstractNum>
  <w:abstractNum w:abstractNumId="6">
    <w:nsid w:val="0A82A472"/>
    <w:multiLevelType w:val="singleLevel"/>
    <w:tmpl w:val="0A82A472"/>
    <w:lvl w:ilvl="0" w:tentative="0">
      <w:start w:val="5"/>
      <w:numFmt w:val="chineseCounting"/>
      <w:suff w:val="space"/>
      <w:lvlText w:val="第%1条"/>
      <w:lvlJc w:val="left"/>
      <w:rPr>
        <w:rFonts w:hint="eastAsia"/>
      </w:rPr>
    </w:lvl>
  </w:abstractNum>
  <w:abstractNum w:abstractNumId="7">
    <w:nsid w:val="1488FC55"/>
    <w:multiLevelType w:val="singleLevel"/>
    <w:tmpl w:val="1488FC55"/>
    <w:lvl w:ilvl="0" w:tentative="0">
      <w:start w:val="1"/>
      <w:numFmt w:val="decimal"/>
      <w:suff w:val="nothing"/>
      <w:lvlText w:val="%1）"/>
      <w:lvlJc w:val="left"/>
      <w:pPr>
        <w:ind w:left="0" w:firstLine="403"/>
      </w:pPr>
      <w:rPr>
        <w:rFonts w:hint="default"/>
      </w:rPr>
    </w:lvl>
  </w:abstractNum>
  <w:abstractNum w:abstractNumId="8">
    <w:nsid w:val="45915370"/>
    <w:multiLevelType w:val="singleLevel"/>
    <w:tmpl w:val="45915370"/>
    <w:lvl w:ilvl="0" w:tentative="0">
      <w:start w:val="1"/>
      <w:numFmt w:val="decimal"/>
      <w:suff w:val="nothing"/>
      <w:lvlText w:val="%1）"/>
      <w:lvlJc w:val="left"/>
      <w:pPr>
        <w:ind w:left="0" w:firstLine="403"/>
      </w:pPr>
      <w:rPr>
        <w:rFonts w:hint="default"/>
      </w:rPr>
    </w:lvl>
  </w:abstractNum>
  <w:abstractNum w:abstractNumId="9">
    <w:nsid w:val="67B53205"/>
    <w:multiLevelType w:val="singleLevel"/>
    <w:tmpl w:val="67B53205"/>
    <w:lvl w:ilvl="0" w:tentative="0">
      <w:start w:val="1"/>
      <w:numFmt w:val="chineseCounting"/>
      <w:suff w:val="space"/>
      <w:lvlText w:val="第%1章"/>
      <w:lvlJc w:val="left"/>
      <w:rPr>
        <w:rFonts w:hint="eastAsia"/>
        <w:sz w:val="36"/>
        <w:szCs w:val="36"/>
      </w:rPr>
    </w:lvl>
  </w:abstractNum>
  <w:abstractNum w:abstractNumId="10">
    <w:nsid w:val="74519D00"/>
    <w:multiLevelType w:val="singleLevel"/>
    <w:tmpl w:val="74519D00"/>
    <w:lvl w:ilvl="0" w:tentative="0">
      <w:start w:val="1"/>
      <w:numFmt w:val="decimal"/>
      <w:suff w:val="nothing"/>
      <w:lvlText w:val="%1）"/>
      <w:lvlJc w:val="left"/>
      <w:pPr>
        <w:ind w:left="0" w:firstLine="403"/>
      </w:pPr>
      <w:rPr>
        <w:rFonts w:hint="default"/>
      </w:rPr>
    </w:lvl>
  </w:abstractNum>
  <w:num w:numId="1">
    <w:abstractNumId w:val="9"/>
  </w:num>
  <w:num w:numId="2">
    <w:abstractNumId w:val="6"/>
  </w:num>
  <w:num w:numId="3">
    <w:abstractNumId w:val="5"/>
  </w:num>
  <w:num w:numId="4">
    <w:abstractNumId w:val="2"/>
  </w:num>
  <w:num w:numId="5">
    <w:abstractNumId w:val="1"/>
  </w:num>
  <w:num w:numId="6">
    <w:abstractNumId w:val="8"/>
  </w:num>
  <w:num w:numId="7">
    <w:abstractNumId w:val="7"/>
  </w:num>
  <w:num w:numId="8">
    <w:abstractNumId w:val="10"/>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2"/>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kNzUwYWRlOTE0ZTYxZmU0YzMzNGMwNzJhMGYwNmUifQ=="/>
  </w:docVars>
  <w:rsids>
    <w:rsidRoot w:val="00172A27"/>
    <w:rsid w:val="00001FE1"/>
    <w:rsid w:val="00005992"/>
    <w:rsid w:val="00012F88"/>
    <w:rsid w:val="00022613"/>
    <w:rsid w:val="000242F1"/>
    <w:rsid w:val="00025617"/>
    <w:rsid w:val="00030F03"/>
    <w:rsid w:val="000318AF"/>
    <w:rsid w:val="000373AD"/>
    <w:rsid w:val="00051631"/>
    <w:rsid w:val="0005544E"/>
    <w:rsid w:val="00056163"/>
    <w:rsid w:val="00056519"/>
    <w:rsid w:val="00064FDC"/>
    <w:rsid w:val="00065A9C"/>
    <w:rsid w:val="000749FC"/>
    <w:rsid w:val="00076BB1"/>
    <w:rsid w:val="00083FCF"/>
    <w:rsid w:val="00085854"/>
    <w:rsid w:val="00085B17"/>
    <w:rsid w:val="000B64A4"/>
    <w:rsid w:val="000C296D"/>
    <w:rsid w:val="000D22B7"/>
    <w:rsid w:val="000D28F2"/>
    <w:rsid w:val="000D7ECA"/>
    <w:rsid w:val="000E532E"/>
    <w:rsid w:val="000F2C98"/>
    <w:rsid w:val="000F5329"/>
    <w:rsid w:val="00101104"/>
    <w:rsid w:val="00105A46"/>
    <w:rsid w:val="00106CF3"/>
    <w:rsid w:val="00124757"/>
    <w:rsid w:val="001331C5"/>
    <w:rsid w:val="00172A27"/>
    <w:rsid w:val="001801A6"/>
    <w:rsid w:val="00183052"/>
    <w:rsid w:val="00183E2A"/>
    <w:rsid w:val="001A7870"/>
    <w:rsid w:val="001D2967"/>
    <w:rsid w:val="001F5384"/>
    <w:rsid w:val="00212C3F"/>
    <w:rsid w:val="002147D1"/>
    <w:rsid w:val="00230057"/>
    <w:rsid w:val="00243779"/>
    <w:rsid w:val="002438AE"/>
    <w:rsid w:val="002558F6"/>
    <w:rsid w:val="002639C7"/>
    <w:rsid w:val="00277C03"/>
    <w:rsid w:val="00292079"/>
    <w:rsid w:val="002925C7"/>
    <w:rsid w:val="00294E01"/>
    <w:rsid w:val="002961D5"/>
    <w:rsid w:val="002B1D3D"/>
    <w:rsid w:val="002C37DE"/>
    <w:rsid w:val="002C7368"/>
    <w:rsid w:val="002D2E72"/>
    <w:rsid w:val="002D5F60"/>
    <w:rsid w:val="002F059A"/>
    <w:rsid w:val="002F101F"/>
    <w:rsid w:val="0030718B"/>
    <w:rsid w:val="00321C8C"/>
    <w:rsid w:val="00330CDA"/>
    <w:rsid w:val="003371E3"/>
    <w:rsid w:val="00351872"/>
    <w:rsid w:val="0036060A"/>
    <w:rsid w:val="00363316"/>
    <w:rsid w:val="00366D65"/>
    <w:rsid w:val="00374669"/>
    <w:rsid w:val="003836C4"/>
    <w:rsid w:val="003836EF"/>
    <w:rsid w:val="00384056"/>
    <w:rsid w:val="00385D02"/>
    <w:rsid w:val="003A1823"/>
    <w:rsid w:val="003A34FF"/>
    <w:rsid w:val="003A7162"/>
    <w:rsid w:val="003D4FB7"/>
    <w:rsid w:val="003D5439"/>
    <w:rsid w:val="003E04E4"/>
    <w:rsid w:val="003E2DDB"/>
    <w:rsid w:val="003F2F7A"/>
    <w:rsid w:val="003F5AFF"/>
    <w:rsid w:val="0040608C"/>
    <w:rsid w:val="00410A4A"/>
    <w:rsid w:val="004213D4"/>
    <w:rsid w:val="00422DFE"/>
    <w:rsid w:val="004327F1"/>
    <w:rsid w:val="00433C6F"/>
    <w:rsid w:val="00445136"/>
    <w:rsid w:val="0045224B"/>
    <w:rsid w:val="00461AF7"/>
    <w:rsid w:val="00464704"/>
    <w:rsid w:val="00480EA3"/>
    <w:rsid w:val="00485521"/>
    <w:rsid w:val="0049265C"/>
    <w:rsid w:val="00493BA9"/>
    <w:rsid w:val="00496505"/>
    <w:rsid w:val="00497BC2"/>
    <w:rsid w:val="004A2414"/>
    <w:rsid w:val="004A6A54"/>
    <w:rsid w:val="004B3059"/>
    <w:rsid w:val="004B59AB"/>
    <w:rsid w:val="004B6464"/>
    <w:rsid w:val="004E4713"/>
    <w:rsid w:val="004F154D"/>
    <w:rsid w:val="004F4BF9"/>
    <w:rsid w:val="00505CC1"/>
    <w:rsid w:val="00510E89"/>
    <w:rsid w:val="00514F77"/>
    <w:rsid w:val="00517BF6"/>
    <w:rsid w:val="005267D2"/>
    <w:rsid w:val="00533261"/>
    <w:rsid w:val="005410F6"/>
    <w:rsid w:val="00560286"/>
    <w:rsid w:val="00561863"/>
    <w:rsid w:val="00577675"/>
    <w:rsid w:val="00580934"/>
    <w:rsid w:val="0058398D"/>
    <w:rsid w:val="00586497"/>
    <w:rsid w:val="00586720"/>
    <w:rsid w:val="00591536"/>
    <w:rsid w:val="005A752F"/>
    <w:rsid w:val="005B2374"/>
    <w:rsid w:val="005C09E5"/>
    <w:rsid w:val="005C7CBA"/>
    <w:rsid w:val="005D0397"/>
    <w:rsid w:val="005D2440"/>
    <w:rsid w:val="005D31DB"/>
    <w:rsid w:val="005E14A4"/>
    <w:rsid w:val="0060525B"/>
    <w:rsid w:val="00606808"/>
    <w:rsid w:val="00610539"/>
    <w:rsid w:val="00635140"/>
    <w:rsid w:val="00640104"/>
    <w:rsid w:val="00644B49"/>
    <w:rsid w:val="00645C9B"/>
    <w:rsid w:val="00651373"/>
    <w:rsid w:val="00656B43"/>
    <w:rsid w:val="006643CE"/>
    <w:rsid w:val="00673646"/>
    <w:rsid w:val="00676B05"/>
    <w:rsid w:val="006A1110"/>
    <w:rsid w:val="006B2AC9"/>
    <w:rsid w:val="006B448B"/>
    <w:rsid w:val="006E3586"/>
    <w:rsid w:val="006E7235"/>
    <w:rsid w:val="006F68C8"/>
    <w:rsid w:val="00701419"/>
    <w:rsid w:val="00713E43"/>
    <w:rsid w:val="00750242"/>
    <w:rsid w:val="00754366"/>
    <w:rsid w:val="00756A97"/>
    <w:rsid w:val="00761BD7"/>
    <w:rsid w:val="0076715C"/>
    <w:rsid w:val="00790672"/>
    <w:rsid w:val="007910DE"/>
    <w:rsid w:val="007A1493"/>
    <w:rsid w:val="007A52E7"/>
    <w:rsid w:val="007B2C22"/>
    <w:rsid w:val="007B5A46"/>
    <w:rsid w:val="007C45F5"/>
    <w:rsid w:val="007E5016"/>
    <w:rsid w:val="007E50D8"/>
    <w:rsid w:val="008061E8"/>
    <w:rsid w:val="00811CD4"/>
    <w:rsid w:val="00814D1C"/>
    <w:rsid w:val="008267C7"/>
    <w:rsid w:val="00844FD7"/>
    <w:rsid w:val="008450DB"/>
    <w:rsid w:val="00851B28"/>
    <w:rsid w:val="00864D72"/>
    <w:rsid w:val="008658C4"/>
    <w:rsid w:val="00883588"/>
    <w:rsid w:val="00886CF7"/>
    <w:rsid w:val="008A0F1D"/>
    <w:rsid w:val="008A445B"/>
    <w:rsid w:val="008B2CDA"/>
    <w:rsid w:val="008C185F"/>
    <w:rsid w:val="008D0149"/>
    <w:rsid w:val="008D1843"/>
    <w:rsid w:val="008D75CE"/>
    <w:rsid w:val="008E0088"/>
    <w:rsid w:val="008F4036"/>
    <w:rsid w:val="008F62F5"/>
    <w:rsid w:val="00910F72"/>
    <w:rsid w:val="009143E0"/>
    <w:rsid w:val="00927A9E"/>
    <w:rsid w:val="00933405"/>
    <w:rsid w:val="00935D44"/>
    <w:rsid w:val="0095445A"/>
    <w:rsid w:val="00956CD7"/>
    <w:rsid w:val="009716AB"/>
    <w:rsid w:val="00982F90"/>
    <w:rsid w:val="0098629B"/>
    <w:rsid w:val="009A5EC2"/>
    <w:rsid w:val="009A6F0D"/>
    <w:rsid w:val="009C0637"/>
    <w:rsid w:val="009C58C2"/>
    <w:rsid w:val="009D7E79"/>
    <w:rsid w:val="009F61AB"/>
    <w:rsid w:val="00A046B2"/>
    <w:rsid w:val="00A101C2"/>
    <w:rsid w:val="00A13058"/>
    <w:rsid w:val="00A25753"/>
    <w:rsid w:val="00A274B2"/>
    <w:rsid w:val="00A34C81"/>
    <w:rsid w:val="00A3595C"/>
    <w:rsid w:val="00A36370"/>
    <w:rsid w:val="00A379BA"/>
    <w:rsid w:val="00A44EDE"/>
    <w:rsid w:val="00A4594C"/>
    <w:rsid w:val="00A4609D"/>
    <w:rsid w:val="00A5257A"/>
    <w:rsid w:val="00A5445D"/>
    <w:rsid w:val="00A55FB2"/>
    <w:rsid w:val="00A65493"/>
    <w:rsid w:val="00A777D0"/>
    <w:rsid w:val="00A81770"/>
    <w:rsid w:val="00A909B1"/>
    <w:rsid w:val="00A96DF9"/>
    <w:rsid w:val="00AA07C5"/>
    <w:rsid w:val="00AA6A9B"/>
    <w:rsid w:val="00AB17FA"/>
    <w:rsid w:val="00AB4261"/>
    <w:rsid w:val="00AC7B1F"/>
    <w:rsid w:val="00AD0B39"/>
    <w:rsid w:val="00AD3329"/>
    <w:rsid w:val="00AD722D"/>
    <w:rsid w:val="00AE6CF9"/>
    <w:rsid w:val="00AF141A"/>
    <w:rsid w:val="00B01EAC"/>
    <w:rsid w:val="00B06CBA"/>
    <w:rsid w:val="00B07429"/>
    <w:rsid w:val="00B22EF6"/>
    <w:rsid w:val="00B23455"/>
    <w:rsid w:val="00B239FD"/>
    <w:rsid w:val="00B23C3A"/>
    <w:rsid w:val="00B25F11"/>
    <w:rsid w:val="00B345B9"/>
    <w:rsid w:val="00B3531D"/>
    <w:rsid w:val="00B5248F"/>
    <w:rsid w:val="00B57F4B"/>
    <w:rsid w:val="00B6066D"/>
    <w:rsid w:val="00B80686"/>
    <w:rsid w:val="00B83B4A"/>
    <w:rsid w:val="00B8797F"/>
    <w:rsid w:val="00BA237A"/>
    <w:rsid w:val="00BA2A02"/>
    <w:rsid w:val="00BA7DB0"/>
    <w:rsid w:val="00BB67DE"/>
    <w:rsid w:val="00BC1427"/>
    <w:rsid w:val="00BC37B3"/>
    <w:rsid w:val="00BC5AED"/>
    <w:rsid w:val="00BC756E"/>
    <w:rsid w:val="00BD3924"/>
    <w:rsid w:val="00BD396B"/>
    <w:rsid w:val="00C008A4"/>
    <w:rsid w:val="00C035CB"/>
    <w:rsid w:val="00C11300"/>
    <w:rsid w:val="00C220A2"/>
    <w:rsid w:val="00C24D73"/>
    <w:rsid w:val="00C50A32"/>
    <w:rsid w:val="00C51623"/>
    <w:rsid w:val="00C5235B"/>
    <w:rsid w:val="00C6070C"/>
    <w:rsid w:val="00C62DBA"/>
    <w:rsid w:val="00C70180"/>
    <w:rsid w:val="00C70465"/>
    <w:rsid w:val="00C70A42"/>
    <w:rsid w:val="00C7470F"/>
    <w:rsid w:val="00C87898"/>
    <w:rsid w:val="00C940B2"/>
    <w:rsid w:val="00C942A6"/>
    <w:rsid w:val="00CC65E3"/>
    <w:rsid w:val="00CD690B"/>
    <w:rsid w:val="00CE36C8"/>
    <w:rsid w:val="00CE46E5"/>
    <w:rsid w:val="00CE7655"/>
    <w:rsid w:val="00D01A51"/>
    <w:rsid w:val="00D1168F"/>
    <w:rsid w:val="00D22E25"/>
    <w:rsid w:val="00D260C5"/>
    <w:rsid w:val="00D369E4"/>
    <w:rsid w:val="00D3748B"/>
    <w:rsid w:val="00D63669"/>
    <w:rsid w:val="00D750D3"/>
    <w:rsid w:val="00D83500"/>
    <w:rsid w:val="00D839CB"/>
    <w:rsid w:val="00D93C78"/>
    <w:rsid w:val="00DA1DEA"/>
    <w:rsid w:val="00DA4118"/>
    <w:rsid w:val="00DB70FA"/>
    <w:rsid w:val="00DB718D"/>
    <w:rsid w:val="00DC41F5"/>
    <w:rsid w:val="00DC6C50"/>
    <w:rsid w:val="00DE7117"/>
    <w:rsid w:val="00DF2ABD"/>
    <w:rsid w:val="00E100E0"/>
    <w:rsid w:val="00E23FB7"/>
    <w:rsid w:val="00E24E4E"/>
    <w:rsid w:val="00E26EEC"/>
    <w:rsid w:val="00E270AA"/>
    <w:rsid w:val="00E328C7"/>
    <w:rsid w:val="00E33F7C"/>
    <w:rsid w:val="00E34CCD"/>
    <w:rsid w:val="00E47CF1"/>
    <w:rsid w:val="00E5496A"/>
    <w:rsid w:val="00E61A8A"/>
    <w:rsid w:val="00E72B93"/>
    <w:rsid w:val="00E74B1E"/>
    <w:rsid w:val="00E8055F"/>
    <w:rsid w:val="00EA21BA"/>
    <w:rsid w:val="00EA2298"/>
    <w:rsid w:val="00EB0702"/>
    <w:rsid w:val="00EB59FD"/>
    <w:rsid w:val="00EC3D4F"/>
    <w:rsid w:val="00EC5020"/>
    <w:rsid w:val="00EE4409"/>
    <w:rsid w:val="00EE4E95"/>
    <w:rsid w:val="00EF2B7B"/>
    <w:rsid w:val="00EF664C"/>
    <w:rsid w:val="00F01EA2"/>
    <w:rsid w:val="00F0345C"/>
    <w:rsid w:val="00F12844"/>
    <w:rsid w:val="00F174C5"/>
    <w:rsid w:val="00F26182"/>
    <w:rsid w:val="00F32147"/>
    <w:rsid w:val="00F55985"/>
    <w:rsid w:val="00F80757"/>
    <w:rsid w:val="00F84DDF"/>
    <w:rsid w:val="00FA1CAF"/>
    <w:rsid w:val="00FA53BE"/>
    <w:rsid w:val="00FB1C2F"/>
    <w:rsid w:val="00FB70FE"/>
    <w:rsid w:val="00FD5EDE"/>
    <w:rsid w:val="00FE1398"/>
    <w:rsid w:val="00FE3D94"/>
    <w:rsid w:val="00FE48AF"/>
    <w:rsid w:val="00FF54CA"/>
    <w:rsid w:val="00FF7BC8"/>
    <w:rsid w:val="02771276"/>
    <w:rsid w:val="05340028"/>
    <w:rsid w:val="0D7B2DAD"/>
    <w:rsid w:val="11A10295"/>
    <w:rsid w:val="11D06ED1"/>
    <w:rsid w:val="21D64885"/>
    <w:rsid w:val="23CE05B5"/>
    <w:rsid w:val="2A4370E4"/>
    <w:rsid w:val="2EDA6975"/>
    <w:rsid w:val="34DA11CC"/>
    <w:rsid w:val="3D403240"/>
    <w:rsid w:val="3EE54331"/>
    <w:rsid w:val="48720605"/>
    <w:rsid w:val="49AE7812"/>
    <w:rsid w:val="49E360C7"/>
    <w:rsid w:val="4E036E8C"/>
    <w:rsid w:val="52BB2458"/>
    <w:rsid w:val="572F305D"/>
    <w:rsid w:val="652D670A"/>
    <w:rsid w:val="6EF80825"/>
    <w:rsid w:val="726826F5"/>
    <w:rsid w:val="76401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00" w:after="120" w:line="400" w:lineRule="exact"/>
      <w:jc w:val="left"/>
      <w:outlineLvl w:val="0"/>
    </w:pPr>
    <w:rPr>
      <w:b/>
      <w:bCs/>
      <w:color w:val="000000"/>
      <w:kern w:val="44"/>
      <w:sz w:val="30"/>
      <w:szCs w:val="44"/>
    </w:rPr>
  </w:style>
  <w:style w:type="paragraph" w:styleId="3">
    <w:name w:val="heading 2"/>
    <w:basedOn w:val="1"/>
    <w:next w:val="1"/>
    <w:qFormat/>
    <w:uiPriority w:val="0"/>
    <w:pPr>
      <w:keepNext/>
      <w:keepLines/>
      <w:tabs>
        <w:tab w:val="left" w:pos="668"/>
      </w:tabs>
      <w:adjustRightInd w:val="0"/>
      <w:spacing w:before="300" w:after="240" w:line="400" w:lineRule="exact"/>
      <w:ind w:left="8"/>
      <w:jc w:val="left"/>
      <w:textAlignment w:val="baseline"/>
      <w:outlineLvl w:val="1"/>
    </w:pPr>
    <w:rPr>
      <w:b/>
      <w:color w:val="000000"/>
      <w:kern w:val="0"/>
      <w:sz w:val="24"/>
      <w:szCs w:val="20"/>
    </w:rPr>
  </w:style>
  <w:style w:type="paragraph" w:styleId="4">
    <w:name w:val="heading 3"/>
    <w:basedOn w:val="1"/>
    <w:next w:val="1"/>
    <w:qFormat/>
    <w:uiPriority w:val="0"/>
    <w:pPr>
      <w:keepNext/>
      <w:adjustRightInd w:val="0"/>
      <w:snapToGrid w:val="0"/>
      <w:spacing w:line="440" w:lineRule="atLeast"/>
      <w:jc w:val="center"/>
      <w:outlineLvl w:val="2"/>
    </w:pPr>
    <w:rPr>
      <w:sz w:val="32"/>
    </w:rPr>
  </w:style>
  <w:style w:type="paragraph" w:styleId="5">
    <w:name w:val="heading 4"/>
    <w:basedOn w:val="1"/>
    <w:next w:val="1"/>
    <w:qFormat/>
    <w:uiPriority w:val="0"/>
    <w:pPr>
      <w:keepNext/>
      <w:adjustRightInd w:val="0"/>
      <w:snapToGrid w:val="0"/>
      <w:spacing w:line="440" w:lineRule="atLeast"/>
      <w:jc w:val="center"/>
      <w:outlineLvl w:val="3"/>
    </w:pPr>
    <w:rPr>
      <w:b/>
      <w:sz w:val="32"/>
      <w:szCs w:val="48"/>
    </w:rPr>
  </w:style>
  <w:style w:type="paragraph" w:styleId="6">
    <w:name w:val="heading 5"/>
    <w:basedOn w:val="1"/>
    <w:next w:val="1"/>
    <w:qFormat/>
    <w:uiPriority w:val="0"/>
    <w:pPr>
      <w:keepNext/>
      <w:tabs>
        <w:tab w:val="left" w:pos="2700"/>
        <w:tab w:val="left" w:pos="3150"/>
      </w:tabs>
      <w:spacing w:before="78" w:beforeLines="25" w:line="400" w:lineRule="exact"/>
      <w:jc w:val="center"/>
      <w:outlineLvl w:val="4"/>
    </w:pPr>
    <w:rPr>
      <w:b/>
      <w:bCs/>
      <w:sz w:val="28"/>
    </w:rPr>
  </w:style>
  <w:style w:type="paragraph" w:styleId="7">
    <w:name w:val="heading 6"/>
    <w:basedOn w:val="1"/>
    <w:next w:val="1"/>
    <w:qFormat/>
    <w:uiPriority w:val="0"/>
    <w:pPr>
      <w:keepNext/>
      <w:adjustRightInd w:val="0"/>
      <w:snapToGrid w:val="0"/>
      <w:spacing w:line="440" w:lineRule="atLeast"/>
      <w:jc w:val="center"/>
      <w:outlineLvl w:val="5"/>
    </w:pPr>
    <w:rPr>
      <w:b/>
      <w:caps/>
      <w:sz w:val="44"/>
    </w:rPr>
  </w:style>
  <w:style w:type="paragraph" w:styleId="8">
    <w:name w:val="heading 7"/>
    <w:basedOn w:val="1"/>
    <w:next w:val="1"/>
    <w:qFormat/>
    <w:uiPriority w:val="0"/>
    <w:pPr>
      <w:keepNext/>
      <w:keepLines/>
      <w:spacing w:before="240" w:after="64" w:line="32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0"/>
    <w:pPr>
      <w:ind w:left="1050"/>
      <w:jc w:val="left"/>
    </w:pPr>
    <w:rPr>
      <w:rFonts w:ascii="Calibri" w:hAnsi="Calibri"/>
      <w:sz w:val="20"/>
      <w:szCs w:val="20"/>
    </w:rPr>
  </w:style>
  <w:style w:type="paragraph" w:styleId="10">
    <w:name w:val="Document Map"/>
    <w:basedOn w:val="1"/>
    <w:qFormat/>
    <w:uiPriority w:val="0"/>
    <w:pPr>
      <w:shd w:val="clear" w:color="auto" w:fill="000080"/>
    </w:pPr>
  </w:style>
  <w:style w:type="paragraph" w:styleId="11">
    <w:name w:val="annotation text"/>
    <w:basedOn w:val="1"/>
    <w:link w:val="41"/>
    <w:qFormat/>
    <w:uiPriority w:val="0"/>
    <w:pPr>
      <w:jc w:val="left"/>
    </w:pPr>
  </w:style>
  <w:style w:type="paragraph" w:styleId="12">
    <w:name w:val="Body Text"/>
    <w:basedOn w:val="1"/>
    <w:qFormat/>
    <w:uiPriority w:val="0"/>
    <w:pPr>
      <w:adjustRightInd w:val="0"/>
      <w:snapToGrid w:val="0"/>
      <w:spacing w:line="440" w:lineRule="atLeast"/>
      <w:jc w:val="center"/>
    </w:pPr>
    <w:rPr>
      <w:rFonts w:eastAsia="黑体"/>
      <w:b/>
      <w:sz w:val="32"/>
    </w:rPr>
  </w:style>
  <w:style w:type="paragraph" w:styleId="13">
    <w:name w:val="Body Text Indent"/>
    <w:basedOn w:val="1"/>
    <w:qFormat/>
    <w:uiPriority w:val="0"/>
    <w:pPr>
      <w:spacing w:line="480" w:lineRule="auto"/>
      <w:ind w:left="359" w:leftChars="171"/>
    </w:pPr>
    <w:rPr>
      <w:sz w:val="24"/>
    </w:rPr>
  </w:style>
  <w:style w:type="paragraph" w:styleId="14">
    <w:name w:val="Block Text"/>
    <w:basedOn w:val="1"/>
    <w:qFormat/>
    <w:uiPriority w:val="0"/>
    <w:pPr>
      <w:tabs>
        <w:tab w:val="left" w:pos="576"/>
      </w:tabs>
      <w:autoSpaceDE w:val="0"/>
      <w:autoSpaceDN w:val="0"/>
      <w:adjustRightInd w:val="0"/>
      <w:spacing w:after="78" w:afterLines="25" w:line="400" w:lineRule="exact"/>
      <w:ind w:left="559" w:leftChars="266" w:right="23" w:rightChars="11" w:firstLine="2"/>
    </w:pPr>
    <w:rPr>
      <w:color w:val="000000"/>
      <w:sz w:val="24"/>
    </w:rPr>
  </w:style>
  <w:style w:type="paragraph" w:styleId="15">
    <w:name w:val="toc 5"/>
    <w:basedOn w:val="1"/>
    <w:next w:val="1"/>
    <w:qFormat/>
    <w:uiPriority w:val="0"/>
    <w:pPr>
      <w:ind w:left="630"/>
      <w:jc w:val="left"/>
    </w:pPr>
    <w:rPr>
      <w:rFonts w:ascii="Calibri" w:hAnsi="Calibri"/>
      <w:sz w:val="20"/>
      <w:szCs w:val="20"/>
    </w:rPr>
  </w:style>
  <w:style w:type="paragraph" w:styleId="16">
    <w:name w:val="toc 3"/>
    <w:basedOn w:val="1"/>
    <w:next w:val="1"/>
    <w:qFormat/>
    <w:uiPriority w:val="0"/>
    <w:pPr>
      <w:ind w:left="210"/>
      <w:jc w:val="left"/>
    </w:pPr>
    <w:rPr>
      <w:rFonts w:ascii="Calibri" w:hAnsi="Calibri"/>
      <w:sz w:val="20"/>
      <w:szCs w:val="20"/>
    </w:rPr>
  </w:style>
  <w:style w:type="paragraph" w:styleId="17">
    <w:name w:val="Plain Text"/>
    <w:basedOn w:val="1"/>
    <w:link w:val="42"/>
    <w:qFormat/>
    <w:uiPriority w:val="0"/>
    <w:pPr>
      <w:spacing w:before="40" w:after="40"/>
    </w:pPr>
    <w:rPr>
      <w:rFonts w:ascii="宋体" w:hAnsi="宋体"/>
      <w:sz w:val="18"/>
      <w:szCs w:val="20"/>
    </w:rPr>
  </w:style>
  <w:style w:type="paragraph" w:styleId="18">
    <w:name w:val="toc 8"/>
    <w:basedOn w:val="1"/>
    <w:next w:val="1"/>
    <w:qFormat/>
    <w:uiPriority w:val="0"/>
    <w:pPr>
      <w:ind w:left="1260"/>
      <w:jc w:val="left"/>
    </w:pPr>
    <w:rPr>
      <w:rFonts w:ascii="Calibri" w:hAnsi="Calibri"/>
      <w:sz w:val="20"/>
      <w:szCs w:val="20"/>
    </w:rPr>
  </w:style>
  <w:style w:type="paragraph" w:styleId="19">
    <w:name w:val="Date"/>
    <w:basedOn w:val="1"/>
    <w:next w:val="1"/>
    <w:qFormat/>
    <w:uiPriority w:val="0"/>
    <w:pPr>
      <w:ind w:left="100" w:leftChars="2500"/>
    </w:pPr>
    <w:rPr>
      <w:b/>
      <w:color w:val="000000"/>
      <w:sz w:val="24"/>
    </w:rPr>
  </w:style>
  <w:style w:type="paragraph" w:styleId="20">
    <w:name w:val="Body Text Indent 2"/>
    <w:basedOn w:val="1"/>
    <w:qFormat/>
    <w:uiPriority w:val="0"/>
    <w:pPr>
      <w:spacing w:line="480" w:lineRule="auto"/>
      <w:ind w:left="540" w:leftChars="257" w:firstLine="240" w:firstLineChars="100"/>
    </w:pPr>
    <w:rPr>
      <w:sz w:val="24"/>
    </w:rPr>
  </w:style>
  <w:style w:type="paragraph" w:styleId="21">
    <w:name w:val="Balloon Text"/>
    <w:basedOn w:val="1"/>
    <w:link w:val="43"/>
    <w:qFormat/>
    <w:uiPriority w:val="0"/>
    <w:rPr>
      <w:sz w:val="18"/>
      <w:szCs w:val="18"/>
    </w:rPr>
  </w:style>
  <w:style w:type="paragraph" w:styleId="22">
    <w:name w:val="footer"/>
    <w:basedOn w:val="1"/>
    <w:link w:val="44"/>
    <w:qFormat/>
    <w:uiPriority w:val="0"/>
    <w:pPr>
      <w:tabs>
        <w:tab w:val="center" w:pos="4153"/>
        <w:tab w:val="right" w:pos="8306"/>
      </w:tabs>
      <w:snapToGrid w:val="0"/>
      <w:jc w:val="left"/>
    </w:pPr>
    <w:rPr>
      <w:sz w:val="18"/>
      <w:szCs w:val="18"/>
    </w:rPr>
  </w:style>
  <w:style w:type="paragraph" w:styleId="23">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jc w:val="left"/>
    </w:pPr>
    <w:rPr>
      <w:rFonts w:ascii="Cambria" w:hAnsi="Cambria"/>
      <w:b/>
      <w:bCs/>
      <w:caps/>
      <w:sz w:val="24"/>
    </w:rPr>
  </w:style>
  <w:style w:type="paragraph" w:styleId="25">
    <w:name w:val="toc 4"/>
    <w:basedOn w:val="1"/>
    <w:next w:val="1"/>
    <w:qFormat/>
    <w:uiPriority w:val="0"/>
    <w:pPr>
      <w:ind w:left="420"/>
      <w:jc w:val="left"/>
    </w:pPr>
    <w:rPr>
      <w:rFonts w:ascii="Calibri" w:hAnsi="Calibri"/>
      <w:sz w:val="20"/>
      <w:szCs w:val="20"/>
    </w:rPr>
  </w:style>
  <w:style w:type="paragraph" w:styleId="26">
    <w:name w:val="toc 6"/>
    <w:basedOn w:val="1"/>
    <w:next w:val="1"/>
    <w:qFormat/>
    <w:uiPriority w:val="0"/>
    <w:pPr>
      <w:ind w:left="840"/>
      <w:jc w:val="left"/>
    </w:pPr>
    <w:rPr>
      <w:rFonts w:ascii="Calibri" w:hAnsi="Calibri"/>
      <w:sz w:val="20"/>
      <w:szCs w:val="20"/>
    </w:rPr>
  </w:style>
  <w:style w:type="paragraph" w:styleId="27">
    <w:name w:val="Body Text Indent 3"/>
    <w:basedOn w:val="1"/>
    <w:qFormat/>
    <w:uiPriority w:val="0"/>
    <w:pPr>
      <w:spacing w:line="420" w:lineRule="exact"/>
      <w:ind w:left="541" w:leftChars="257" w:hanging="1"/>
    </w:pPr>
    <w:rPr>
      <w:sz w:val="24"/>
    </w:rPr>
  </w:style>
  <w:style w:type="paragraph" w:styleId="28">
    <w:name w:val="toc 2"/>
    <w:basedOn w:val="1"/>
    <w:next w:val="1"/>
    <w:qFormat/>
    <w:uiPriority w:val="39"/>
    <w:pPr>
      <w:spacing w:before="240"/>
      <w:jc w:val="left"/>
    </w:pPr>
    <w:rPr>
      <w:rFonts w:ascii="Calibri" w:hAnsi="Calibri"/>
      <w:b/>
      <w:bCs/>
      <w:sz w:val="20"/>
      <w:szCs w:val="20"/>
    </w:rPr>
  </w:style>
  <w:style w:type="paragraph" w:styleId="29">
    <w:name w:val="toc 9"/>
    <w:basedOn w:val="1"/>
    <w:next w:val="1"/>
    <w:qFormat/>
    <w:uiPriority w:val="0"/>
    <w:pPr>
      <w:ind w:left="1470"/>
      <w:jc w:val="left"/>
    </w:pPr>
    <w:rPr>
      <w:rFonts w:ascii="Calibri" w:hAnsi="Calibri"/>
      <w:sz w:val="20"/>
      <w:szCs w:val="20"/>
    </w:rPr>
  </w:style>
  <w:style w:type="paragraph" w:styleId="30">
    <w:name w:val="Body Text 2"/>
    <w:basedOn w:val="1"/>
    <w:qFormat/>
    <w:uiPriority w:val="0"/>
    <w:pPr>
      <w:adjustRightInd w:val="0"/>
      <w:snapToGrid w:val="0"/>
      <w:spacing w:before="156" w:beforeLines="50" w:after="156" w:afterLines="50" w:line="300" w:lineRule="exact"/>
    </w:pPr>
    <w:rPr>
      <w:rFonts w:eastAsia="仿宋_GB2312"/>
      <w:bCs/>
      <w:sz w:val="24"/>
    </w:rPr>
  </w:style>
  <w:style w:type="paragraph" w:styleId="31">
    <w:name w:val="Normal (Web)"/>
    <w:basedOn w:val="1"/>
    <w:link w:val="46"/>
    <w:qFormat/>
    <w:uiPriority w:val="0"/>
    <w:pPr>
      <w:widowControl/>
      <w:spacing w:before="100" w:beforeAutospacing="1" w:after="100" w:afterAutospacing="1"/>
      <w:jc w:val="left"/>
    </w:pPr>
    <w:rPr>
      <w:rFonts w:ascii="宋体" w:hAnsi="宋体"/>
      <w:kern w:val="0"/>
      <w:sz w:val="24"/>
    </w:rPr>
  </w:style>
  <w:style w:type="paragraph" w:styleId="32">
    <w:name w:val="annotation subject"/>
    <w:basedOn w:val="11"/>
    <w:next w:val="11"/>
    <w:qFormat/>
    <w:uiPriority w:val="0"/>
    <w:rPr>
      <w:b/>
      <w:bCs/>
    </w:rPr>
  </w:style>
  <w:style w:type="table" w:styleId="34">
    <w:name w:val="Table Grid"/>
    <w:basedOn w:val="33"/>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22"/>
    <w:rPr>
      <w:b/>
      <w:bCs/>
    </w:rPr>
  </w:style>
  <w:style w:type="character" w:styleId="37">
    <w:name w:val="page number"/>
    <w:qFormat/>
    <w:uiPriority w:val="0"/>
  </w:style>
  <w:style w:type="character" w:styleId="38">
    <w:name w:val="Hyperlink"/>
    <w:qFormat/>
    <w:uiPriority w:val="99"/>
    <w:rPr>
      <w:color w:val="0000FF"/>
      <w:u w:val="single"/>
    </w:rPr>
  </w:style>
  <w:style w:type="character" w:styleId="39">
    <w:name w:val="annotation reference"/>
    <w:qFormat/>
    <w:uiPriority w:val="0"/>
    <w:rPr>
      <w:sz w:val="21"/>
      <w:szCs w:val="21"/>
    </w:rPr>
  </w:style>
  <w:style w:type="character" w:customStyle="1" w:styleId="40">
    <w:name w:val="标题 1 字符"/>
    <w:link w:val="2"/>
    <w:qFormat/>
    <w:uiPriority w:val="0"/>
    <w:rPr>
      <w:rFonts w:eastAsia="宋体"/>
      <w:b/>
      <w:bCs/>
      <w:color w:val="000000"/>
      <w:kern w:val="44"/>
      <w:sz w:val="30"/>
      <w:szCs w:val="44"/>
      <w:lang w:val="en-US" w:eastAsia="zh-CN" w:bidi="ar-SA"/>
    </w:rPr>
  </w:style>
  <w:style w:type="character" w:customStyle="1" w:styleId="41">
    <w:name w:val="批注文字 字符"/>
    <w:link w:val="11"/>
    <w:qFormat/>
    <w:uiPriority w:val="0"/>
    <w:rPr>
      <w:kern w:val="2"/>
      <w:sz w:val="21"/>
      <w:szCs w:val="24"/>
    </w:rPr>
  </w:style>
  <w:style w:type="character" w:customStyle="1" w:styleId="42">
    <w:name w:val="纯文本 字符"/>
    <w:link w:val="17"/>
    <w:qFormat/>
    <w:uiPriority w:val="0"/>
    <w:rPr>
      <w:rFonts w:ascii="宋体" w:hAnsi="宋体"/>
      <w:kern w:val="2"/>
      <w:sz w:val="18"/>
    </w:rPr>
  </w:style>
  <w:style w:type="character" w:customStyle="1" w:styleId="43">
    <w:name w:val="批注框文本 字符"/>
    <w:link w:val="21"/>
    <w:qFormat/>
    <w:uiPriority w:val="0"/>
    <w:rPr>
      <w:kern w:val="2"/>
      <w:sz w:val="18"/>
      <w:szCs w:val="18"/>
    </w:rPr>
  </w:style>
  <w:style w:type="character" w:customStyle="1" w:styleId="44">
    <w:name w:val="页脚 字符"/>
    <w:link w:val="22"/>
    <w:qFormat/>
    <w:uiPriority w:val="0"/>
    <w:rPr>
      <w:kern w:val="2"/>
      <w:sz w:val="18"/>
      <w:szCs w:val="18"/>
    </w:rPr>
  </w:style>
  <w:style w:type="character" w:customStyle="1" w:styleId="45">
    <w:name w:val="页眉 字符"/>
    <w:link w:val="23"/>
    <w:qFormat/>
    <w:uiPriority w:val="99"/>
    <w:rPr>
      <w:kern w:val="2"/>
      <w:sz w:val="18"/>
      <w:szCs w:val="18"/>
    </w:rPr>
  </w:style>
  <w:style w:type="character" w:customStyle="1" w:styleId="46">
    <w:name w:val="普通(网站) 字符"/>
    <w:link w:val="31"/>
    <w:qFormat/>
    <w:uiPriority w:val="0"/>
    <w:rPr>
      <w:rFonts w:ascii="宋体" w:hAnsi="宋体"/>
      <w:sz w:val="24"/>
      <w:szCs w:val="24"/>
    </w:rPr>
  </w:style>
  <w:style w:type="character" w:customStyle="1" w:styleId="47">
    <w:name w:val="内容 Char1"/>
    <w:link w:val="48"/>
    <w:qFormat/>
    <w:uiPriority w:val="0"/>
    <w:rPr>
      <w:rFonts w:ascii="宋体" w:hAnsi="宋体" w:eastAsia="宋体" w:cs="宋体"/>
      <w:kern w:val="2"/>
      <w:sz w:val="28"/>
      <w:szCs w:val="28"/>
      <w:lang w:val="en-US" w:eastAsia="zh-CN" w:bidi="ar-SA"/>
    </w:rPr>
  </w:style>
  <w:style w:type="paragraph" w:customStyle="1" w:styleId="48">
    <w:name w:val="内容"/>
    <w:basedOn w:val="1"/>
    <w:link w:val="47"/>
    <w:qFormat/>
    <w:uiPriority w:val="0"/>
    <w:pPr>
      <w:adjustRightInd w:val="0"/>
      <w:snapToGrid w:val="0"/>
      <w:spacing w:line="300" w:lineRule="auto"/>
      <w:ind w:firstLine="560" w:firstLineChars="200"/>
    </w:pPr>
    <w:rPr>
      <w:rFonts w:ascii="宋体" w:hAnsi="宋体" w:cs="宋体"/>
      <w:sz w:val="28"/>
      <w:szCs w:val="28"/>
    </w:rPr>
  </w:style>
  <w:style w:type="character" w:customStyle="1" w:styleId="49">
    <w:name w:val="章 Char"/>
    <w:qFormat/>
    <w:uiPriority w:val="0"/>
    <w:rPr>
      <w:rFonts w:ascii="方正小标宋简体" w:hAnsi="宋体" w:eastAsia="方正小标宋简体" w:cs="Times New Roman"/>
      <w:b/>
      <w:bCs/>
      <w:color w:val="000000"/>
      <w:kern w:val="44"/>
      <w:sz w:val="52"/>
      <w:szCs w:val="36"/>
    </w:rPr>
  </w:style>
  <w:style w:type="character" w:customStyle="1" w:styleId="50">
    <w:name w:val="标准段落 Char Char"/>
    <w:link w:val="51"/>
    <w:qFormat/>
    <w:uiPriority w:val="0"/>
    <w:rPr>
      <w:rFonts w:ascii="Calibri" w:hAnsi="Calibri"/>
      <w:kern w:val="2"/>
      <w:sz w:val="21"/>
      <w:szCs w:val="21"/>
    </w:rPr>
  </w:style>
  <w:style w:type="paragraph" w:customStyle="1" w:styleId="51">
    <w:name w:val="标准段落"/>
    <w:basedOn w:val="1"/>
    <w:link w:val="50"/>
    <w:qFormat/>
    <w:uiPriority w:val="0"/>
    <w:pPr>
      <w:spacing w:line="360" w:lineRule="auto"/>
      <w:ind w:firstLine="420" w:firstLineChars="200"/>
    </w:pPr>
    <w:rPr>
      <w:rFonts w:ascii="Calibri" w:hAnsi="Calibri"/>
      <w:szCs w:val="21"/>
    </w:rPr>
  </w:style>
  <w:style w:type="character" w:customStyle="1" w:styleId="52">
    <w:name w:val="标题4"/>
    <w:qFormat/>
    <w:uiPriority w:val="0"/>
    <w:rPr>
      <w:rFonts w:ascii="Times New Roman" w:hAnsi="Times New Roman" w:eastAsia="宋体"/>
      <w:sz w:val="24"/>
      <w:lang w:val="en-US"/>
    </w:rPr>
  </w:style>
  <w:style w:type="character" w:customStyle="1" w:styleId="53">
    <w:name w:val="样式 标题 2 + (符号) 宋体 小四 Char"/>
    <w:qFormat/>
    <w:uiPriority w:val="0"/>
    <w:rPr>
      <w:rFonts w:ascii="Arial" w:hAnsi="Arial" w:eastAsia="宋体"/>
      <w:b/>
      <w:bCs/>
      <w:kern w:val="2"/>
      <w:sz w:val="24"/>
      <w:szCs w:val="32"/>
      <w:lang w:val="en-US" w:eastAsia="zh-CN" w:bidi="ar-SA"/>
    </w:rPr>
  </w:style>
  <w:style w:type="paragraph" w:customStyle="1" w:styleId="54">
    <w:name w:val="文章正文"/>
    <w:basedOn w:val="1"/>
    <w:qFormat/>
    <w:uiPriority w:val="0"/>
    <w:pPr>
      <w:snapToGrid w:val="0"/>
      <w:spacing w:line="360" w:lineRule="auto"/>
      <w:ind w:firstLine="200" w:firstLineChars="200"/>
    </w:pPr>
    <w:rPr>
      <w:rFonts w:ascii="Arial" w:hAnsi="Arial" w:cs="Arial"/>
      <w:snapToGrid w:val="0"/>
      <w:kern w:val="0"/>
      <w:sz w:val="24"/>
    </w:rPr>
  </w:style>
  <w:style w:type="paragraph" w:customStyle="1" w:styleId="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Char"/>
    <w:basedOn w:val="1"/>
    <w:qFormat/>
    <w:uiPriority w:val="0"/>
    <w:rPr>
      <w:rFonts w:ascii="仿宋_GB2312" w:eastAsia="仿宋_GB2312"/>
      <w:b/>
      <w:sz w:val="32"/>
      <w:szCs w:val="32"/>
    </w:rPr>
  </w:style>
  <w:style w:type="paragraph" w:customStyle="1" w:styleId="57">
    <w:name w:val="Char1"/>
    <w:basedOn w:val="1"/>
    <w:qFormat/>
    <w:uiPriority w:val="0"/>
    <w:rPr>
      <w:rFonts w:ascii="仿宋_GB2312" w:eastAsia="仿宋_GB2312"/>
      <w:b/>
      <w:sz w:val="32"/>
      <w:szCs w:val="32"/>
    </w:rPr>
  </w:style>
  <w:style w:type="paragraph" w:customStyle="1" w:styleId="58">
    <w:name w:val="表格文字"/>
    <w:basedOn w:val="13"/>
    <w:qFormat/>
    <w:uiPriority w:val="0"/>
    <w:pPr>
      <w:spacing w:before="60" w:after="60" w:line="240" w:lineRule="auto"/>
      <w:ind w:left="0" w:leftChars="0"/>
    </w:pPr>
  </w:style>
  <w:style w:type="paragraph" w:styleId="59">
    <w:name w:val="List Paragraph"/>
    <w:basedOn w:val="1"/>
    <w:link w:val="60"/>
    <w:qFormat/>
    <w:uiPriority w:val="34"/>
    <w:pPr>
      <w:widowControl/>
      <w:ind w:left="720"/>
      <w:jc w:val="left"/>
    </w:pPr>
    <w:rPr>
      <w:rFonts w:ascii="宋体" w:hAnsi="宋体" w:cs="宋体"/>
      <w:kern w:val="0"/>
      <w:sz w:val="24"/>
    </w:rPr>
  </w:style>
  <w:style w:type="character" w:customStyle="1" w:styleId="60">
    <w:name w:val="列表段落 字符"/>
    <w:link w:val="59"/>
    <w:qFormat/>
    <w:uiPriority w:val="34"/>
    <w:rPr>
      <w:rFonts w:ascii="宋体" w:hAnsi="宋体" w:cs="宋体"/>
      <w:sz w:val="24"/>
      <w:szCs w:val="24"/>
    </w:rPr>
  </w:style>
  <w:style w:type="paragraph" w:customStyle="1" w:styleId="61">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2">
    <w:name w:val="样式一"/>
    <w:basedOn w:val="1"/>
    <w:qFormat/>
    <w:uiPriority w:val="0"/>
    <w:pPr>
      <w:autoSpaceDE w:val="0"/>
      <w:autoSpaceDN w:val="0"/>
      <w:adjustRightInd w:val="0"/>
      <w:spacing w:line="360" w:lineRule="auto"/>
      <w:textAlignment w:val="baseline"/>
    </w:pPr>
    <w:rPr>
      <w:rFonts w:ascii="宋体" w:hAnsi="宋体"/>
      <w:kern w:val="0"/>
      <w:sz w:val="24"/>
      <w:szCs w:val="20"/>
      <w:lang w:val="en-GB"/>
    </w:rPr>
  </w:style>
  <w:style w:type="paragraph" w:customStyle="1" w:styleId="63">
    <w:name w:val="Char Char5"/>
    <w:basedOn w:val="1"/>
    <w:qFormat/>
    <w:uiPriority w:val="0"/>
    <w:pPr>
      <w:widowControl/>
      <w:spacing w:after="160" w:line="240" w:lineRule="exact"/>
      <w:jc w:val="left"/>
    </w:pPr>
  </w:style>
  <w:style w:type="paragraph" w:customStyle="1" w:styleId="64">
    <w:name w:val="Char Char Char Char Char Char"/>
    <w:basedOn w:val="1"/>
    <w:qFormat/>
    <w:uiPriority w:val="0"/>
  </w:style>
  <w:style w:type="paragraph" w:customStyle="1" w:styleId="65">
    <w:name w:val="Char Char51"/>
    <w:basedOn w:val="1"/>
    <w:qFormat/>
    <w:uiPriority w:val="0"/>
    <w:pPr>
      <w:widowControl/>
      <w:spacing w:after="160" w:line="240" w:lineRule="exact"/>
      <w:jc w:val="left"/>
    </w:pPr>
  </w:style>
  <w:style w:type="paragraph" w:customStyle="1" w:styleId="66">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67">
    <w:name w:val="Heading 7 Char"/>
    <w:qFormat/>
    <w:locked/>
    <w:uiPriority w:val="0"/>
    <w:rPr>
      <w:rFonts w:ascii="Times New Roman" w:hAnsi="Times New Roman" w:eastAsia="宋体" w:cs="Times New Roman"/>
      <w:b/>
      <w:bCs/>
      <w:kern w:val="0"/>
      <w:sz w:val="24"/>
      <w:szCs w:val="24"/>
    </w:rPr>
  </w:style>
  <w:style w:type="paragraph" w:customStyle="1" w:styleId="68">
    <w:name w:val="正文1"/>
    <w:basedOn w:val="1"/>
    <w:qFormat/>
    <w:uiPriority w:val="0"/>
    <w:pPr>
      <w:overflowPunct w:val="0"/>
      <w:ind w:firstLine="480"/>
    </w:pPr>
    <w:rPr>
      <w:rFonts w:cs="宋体"/>
    </w:rPr>
  </w:style>
  <w:style w:type="paragraph" w:customStyle="1" w:styleId="69">
    <w:name w:val="Body text|3"/>
    <w:basedOn w:val="1"/>
    <w:qFormat/>
    <w:uiPriority w:val="0"/>
    <w:pPr>
      <w:spacing w:after="270"/>
    </w:pPr>
    <w:rPr>
      <w:rFonts w:ascii="宋体" w:hAnsi="宋体" w:cs="宋体"/>
      <w:sz w:val="28"/>
      <w:szCs w:val="28"/>
      <w:lang w:val="zh-TW" w:eastAsia="zh-TW" w:bidi="zh-TW"/>
    </w:rPr>
  </w:style>
  <w:style w:type="paragraph" w:customStyle="1" w:styleId="70">
    <w:name w:val="Body text|1"/>
    <w:basedOn w:val="1"/>
    <w:qFormat/>
    <w:uiPriority w:val="0"/>
    <w:pPr>
      <w:spacing w:after="2200"/>
      <w:jc w:val="center"/>
    </w:pPr>
    <w:rPr>
      <w:rFonts w:ascii="宋体" w:hAnsi="宋体" w:cs="宋体"/>
      <w:sz w:val="22"/>
      <w:szCs w:val="22"/>
      <w:lang w:val="zh-TW" w:eastAsia="zh-TW" w:bidi="zh-TW"/>
    </w:rPr>
  </w:style>
  <w:style w:type="paragraph" w:customStyle="1" w:styleId="71">
    <w:name w:val="Other|1"/>
    <w:basedOn w:val="1"/>
    <w:qFormat/>
    <w:uiPriority w:val="0"/>
    <w:pPr>
      <w:spacing w:after="270"/>
    </w:pPr>
    <w:rPr>
      <w:rFonts w:ascii="宋体" w:hAnsi="宋体" w:cs="宋体"/>
      <w:sz w:val="28"/>
      <w:szCs w:val="28"/>
      <w:lang w:val="zh-TW" w:eastAsia="zh-TW" w:bidi="zh-TW"/>
    </w:rPr>
  </w:style>
  <w:style w:type="paragraph" w:customStyle="1" w:styleId="72">
    <w:name w:val="Table caption|1"/>
    <w:basedOn w:val="1"/>
    <w:qFormat/>
    <w:uiPriority w:val="0"/>
    <w:rPr>
      <w:rFonts w:ascii="宋体" w:hAnsi="宋体" w:cs="宋体"/>
      <w:lang w:val="zh-TW" w:eastAsia="zh-TW" w:bidi="zh-TW"/>
    </w:rPr>
  </w:style>
  <w:style w:type="paragraph" w:customStyle="1" w:styleId="73">
    <w:name w:val="Header or footer|1"/>
    <w:basedOn w:val="1"/>
    <w:qFormat/>
    <w:uiPriority w:val="0"/>
    <w:rPr>
      <w:sz w:val="19"/>
      <w:szCs w:val="19"/>
      <w:lang w:val="zh-TW" w:eastAsia="zh-TW" w:bidi="zh-TW"/>
    </w:rPr>
  </w:style>
  <w:style w:type="character" w:customStyle="1" w:styleId="74">
    <w:name w:val="font31"/>
    <w:basedOn w:val="35"/>
    <w:uiPriority w:val="0"/>
    <w:rPr>
      <w:rFonts w:hint="eastAsia" w:ascii="宋体" w:hAnsi="宋体" w:eastAsia="宋体" w:cs="宋体"/>
      <w:color w:val="FF0000"/>
      <w:sz w:val="21"/>
      <w:szCs w:val="21"/>
      <w:u w:val="none"/>
    </w:rPr>
  </w:style>
  <w:style w:type="character" w:customStyle="1" w:styleId="75">
    <w:name w:val="font21"/>
    <w:basedOn w:val="35"/>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524</Words>
  <Characters>588</Characters>
  <Lines>36</Lines>
  <Paragraphs>10</Paragraphs>
  <TotalTime>4</TotalTime>
  <ScaleCrop>false</ScaleCrop>
  <LinksUpToDate>false</LinksUpToDate>
  <CharactersWithSpaces>599</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2025-03-31T14:02:00Z</dcterms:created>
  <dc:creator>xing</dc:creator>
  <cp:lastModifiedBy>user</cp:lastModifiedBy>
  <cp:lastPrinted>2025-03-29T06:08:00Z</cp:lastPrinted>
  <dcterms:modified xsi:type="dcterms:W3CDTF">2025-06-09T02:31:43Z</dcterms:modified>
  <dc:title>比选文件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1E3E50D2F3224906B83B3BED4C28CB5D_13</vt:lpwstr>
  </property>
  <property fmtid="{D5CDD505-2E9C-101B-9397-08002B2CF9AE}" pid="4" name="KSOTemplateDocerSaveRecord">
    <vt:lpwstr>eyJoZGlkIjoiZjAxYTBkMThjNDRkZjgwYjNiOGY0OTQzODQzNTczNGUifQ==</vt:lpwstr>
  </property>
</Properties>
</file>