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可以免费配合我院APP、HIS互联网诊疗业务开发进行接口开发，药品配送状态、位置数据互通；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有针对我院线上、线下门急诊、住诊出院患者药品邮寄的解决方案及宣传方案；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针对不同药品性质（汤药、冷藏药品、易碎药品、高价药品），提供有效解决方案；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负责药品的收揽、邮寄信息核对、打包等工作；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人力支持及安排：</w:t>
      </w:r>
    </w:p>
    <w:p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平均单日笔数小于100笔，设专人特定时间至我院进行药品交接、打包邮寄工作；</w:t>
      </w:r>
    </w:p>
    <w:p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平均单日笔数≥100笔，设专人全天在我院实时进行药品交接、打包邮寄工作；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配送时效性：</w:t>
      </w:r>
    </w:p>
    <w:p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京内：24小时到达</w:t>
      </w:r>
    </w:p>
    <w:p>
      <w:pPr>
        <w:widowControl w:val="0"/>
        <w:numPr>
          <w:ilvl w:val="1"/>
          <w:numId w:val="1"/>
        </w:numPr>
        <w:ind w:left="840" w:leftChars="0" w:hanging="420" w:firstLineChars="0"/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京外：48小时达到，部分边远地区不得晚于72小时；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针对邮寄过程中对发生药品丢失、损坏等异常情况发生后，有较为完善的处置预案；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8.现药品月邮寄数量预估400笔；</w:t>
      </w:r>
    </w:p>
    <w:p>
      <w:pPr>
        <w:widowControl w:val="0"/>
        <w:numPr>
          <w:ilvl w:val="-1"/>
          <w:numId w:val="0"/>
        </w:numPr>
        <w:jc w:val="both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9.有较为完善的冷链药品配送体系，温度全程监控，数据可导出推送至我院保存。</w:t>
      </w:r>
    </w:p>
    <w:p>
      <w:pPr>
        <w:widowControl w:val="0"/>
        <w:numPr>
          <w:ilvl w:val="-1"/>
          <w:numId w:val="0"/>
        </w:numPr>
        <w:jc w:val="both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10.有对我院未来药品邮寄方案进行整体的方案设计和硬件支持。</w:t>
      </w:r>
    </w:p>
    <w:p>
      <w:pPr>
        <w:rPr>
          <w:rFonts w:hint="eastAsia" w:ascii="华文宋体" w:hAnsi="华文宋体" w:eastAsia="华文宋体" w:cs="华文宋体"/>
          <w:lang w:eastAsia="zh-CN"/>
        </w:rPr>
      </w:pPr>
      <w:r>
        <w:rPr>
          <w:rFonts w:hint="eastAsia" w:ascii="华文宋体" w:hAnsi="华文宋体" w:eastAsia="华文宋体" w:cs="华文宋体"/>
          <w:lang w:eastAsia="zh-CN"/>
        </w:rPr>
        <w:br w:type="page"/>
      </w:r>
    </w:p>
    <w:tbl>
      <w:tblPr>
        <w:tblStyle w:val="5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投标报价/评标基准价）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根据投标人提供近三年（2022年1月至今）同类业绩进行打分，每有1个得2分，最高得10分。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业绩合同日期以合同签署日期为准，未标明合同签署日期的，评标委员会有权不予认可。</w:t>
            </w:r>
          </w:p>
          <w:p>
            <w:pPr>
              <w:pStyle w:val="4"/>
              <w:numPr>
                <w:ilvl w:val="-1"/>
                <w:numId w:val="0"/>
              </w:numPr>
              <w:ind w:left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3.需求文件中，一般要求(共计10条)负偏离扣3.5分，最低扣至0分。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2.人员构成比例合理性一般、专业齐备性一般，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3.人员配备基本不能够满足招标文件要求，构成比例合理性较差、专业不够齐备，人员经验欠丰富得1分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spacing w:line="360" w:lineRule="auto"/>
        <w:rPr>
          <w:rFonts w:hint="eastAsia" w:ascii="华文宋体" w:hAnsi="华文宋体" w:eastAsia="华文宋体" w:cs="华文宋体"/>
          <w:lang w:eastAsia="zh-CN"/>
        </w:rPr>
      </w:pPr>
    </w:p>
    <w:sectPr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B9CFFA"/>
    <w:multiLevelType w:val="multilevel"/>
    <w:tmpl w:val="0EB9CFF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11058AA3"/>
    <w:multiLevelType w:val="singleLevel"/>
    <w:tmpl w:val="11058A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A9"/>
    <w:rsid w:val="0010593B"/>
    <w:rsid w:val="00232191"/>
    <w:rsid w:val="00310EA9"/>
    <w:rsid w:val="00351EA5"/>
    <w:rsid w:val="003A0A13"/>
    <w:rsid w:val="003C6911"/>
    <w:rsid w:val="00463FFF"/>
    <w:rsid w:val="005E2F92"/>
    <w:rsid w:val="00BA6E69"/>
    <w:rsid w:val="00FE4775"/>
    <w:rsid w:val="0167795A"/>
    <w:rsid w:val="018C3431"/>
    <w:rsid w:val="01E53AAB"/>
    <w:rsid w:val="02415858"/>
    <w:rsid w:val="02975ACD"/>
    <w:rsid w:val="02E5364E"/>
    <w:rsid w:val="041901C7"/>
    <w:rsid w:val="046C21D0"/>
    <w:rsid w:val="04A80D30"/>
    <w:rsid w:val="05127341"/>
    <w:rsid w:val="05313213"/>
    <w:rsid w:val="0569336D"/>
    <w:rsid w:val="065E0402"/>
    <w:rsid w:val="06CB2FB4"/>
    <w:rsid w:val="06D21AEC"/>
    <w:rsid w:val="06E770E7"/>
    <w:rsid w:val="07351E20"/>
    <w:rsid w:val="07545496"/>
    <w:rsid w:val="079F5627"/>
    <w:rsid w:val="09C51A18"/>
    <w:rsid w:val="0A2574B3"/>
    <w:rsid w:val="0A3665F0"/>
    <w:rsid w:val="0A9919F0"/>
    <w:rsid w:val="0AA91C8A"/>
    <w:rsid w:val="0B0B0A2A"/>
    <w:rsid w:val="0B6039B7"/>
    <w:rsid w:val="0BE74F15"/>
    <w:rsid w:val="0D902138"/>
    <w:rsid w:val="0DC0001E"/>
    <w:rsid w:val="0E673CAF"/>
    <w:rsid w:val="0E8D3EEF"/>
    <w:rsid w:val="0E9E6388"/>
    <w:rsid w:val="0EED198A"/>
    <w:rsid w:val="0F6C0911"/>
    <w:rsid w:val="0FA97713"/>
    <w:rsid w:val="100833DB"/>
    <w:rsid w:val="10610E39"/>
    <w:rsid w:val="115E5F0B"/>
    <w:rsid w:val="12A82A2A"/>
    <w:rsid w:val="131577DB"/>
    <w:rsid w:val="132F3C08"/>
    <w:rsid w:val="133D3A27"/>
    <w:rsid w:val="1359284E"/>
    <w:rsid w:val="137F720A"/>
    <w:rsid w:val="1386694D"/>
    <w:rsid w:val="13B43E61"/>
    <w:rsid w:val="13EB017F"/>
    <w:rsid w:val="140941A9"/>
    <w:rsid w:val="14224495"/>
    <w:rsid w:val="1469268B"/>
    <w:rsid w:val="14717A98"/>
    <w:rsid w:val="15FD6B34"/>
    <w:rsid w:val="163E238D"/>
    <w:rsid w:val="169A477B"/>
    <w:rsid w:val="16B72867"/>
    <w:rsid w:val="17F141D6"/>
    <w:rsid w:val="17F83B61"/>
    <w:rsid w:val="18E83469"/>
    <w:rsid w:val="192D6C76"/>
    <w:rsid w:val="19767E22"/>
    <w:rsid w:val="1986206E"/>
    <w:rsid w:val="1A1041D0"/>
    <w:rsid w:val="1A4E1A32"/>
    <w:rsid w:val="1AAF4FD3"/>
    <w:rsid w:val="1AE60D31"/>
    <w:rsid w:val="1C4E6FFE"/>
    <w:rsid w:val="1C7B0DC7"/>
    <w:rsid w:val="1C850DC7"/>
    <w:rsid w:val="1D21273E"/>
    <w:rsid w:val="1DD144CF"/>
    <w:rsid w:val="1E65556C"/>
    <w:rsid w:val="1F805BBC"/>
    <w:rsid w:val="20A3249B"/>
    <w:rsid w:val="20D14264"/>
    <w:rsid w:val="21AC2CCE"/>
    <w:rsid w:val="21D13E9C"/>
    <w:rsid w:val="21E2240D"/>
    <w:rsid w:val="221D0C6E"/>
    <w:rsid w:val="222E41A0"/>
    <w:rsid w:val="224750CA"/>
    <w:rsid w:val="22B84105"/>
    <w:rsid w:val="22BF3A8F"/>
    <w:rsid w:val="23E2706A"/>
    <w:rsid w:val="245C47B5"/>
    <w:rsid w:val="2493765E"/>
    <w:rsid w:val="24F414B1"/>
    <w:rsid w:val="252A6107"/>
    <w:rsid w:val="25AA7CDA"/>
    <w:rsid w:val="2697665E"/>
    <w:rsid w:val="2703236E"/>
    <w:rsid w:val="27AA7420"/>
    <w:rsid w:val="27AD03A5"/>
    <w:rsid w:val="285F1E6C"/>
    <w:rsid w:val="28A90F01"/>
    <w:rsid w:val="28D45C09"/>
    <w:rsid w:val="2A6F6CAF"/>
    <w:rsid w:val="2AF12700"/>
    <w:rsid w:val="2B9C2CF0"/>
    <w:rsid w:val="2BD8717A"/>
    <w:rsid w:val="2C881D68"/>
    <w:rsid w:val="2CB53C45"/>
    <w:rsid w:val="2CB97AED"/>
    <w:rsid w:val="2D6F591F"/>
    <w:rsid w:val="2D7B3033"/>
    <w:rsid w:val="2D9561D7"/>
    <w:rsid w:val="2EAF4725"/>
    <w:rsid w:val="2EFB6DA3"/>
    <w:rsid w:val="2F5D1918"/>
    <w:rsid w:val="30456034"/>
    <w:rsid w:val="3077670A"/>
    <w:rsid w:val="30D90532"/>
    <w:rsid w:val="30F05F59"/>
    <w:rsid w:val="30FA42EA"/>
    <w:rsid w:val="30FF4EEE"/>
    <w:rsid w:val="31BC008A"/>
    <w:rsid w:val="32011160"/>
    <w:rsid w:val="32F8084A"/>
    <w:rsid w:val="3351443E"/>
    <w:rsid w:val="346D02F9"/>
    <w:rsid w:val="34FF38FF"/>
    <w:rsid w:val="35002E80"/>
    <w:rsid w:val="35A74912"/>
    <w:rsid w:val="35E26CF6"/>
    <w:rsid w:val="36012AA8"/>
    <w:rsid w:val="3652282D"/>
    <w:rsid w:val="374D5F48"/>
    <w:rsid w:val="37A07258"/>
    <w:rsid w:val="37B25C6C"/>
    <w:rsid w:val="38296BB0"/>
    <w:rsid w:val="39F672FA"/>
    <w:rsid w:val="3B167488"/>
    <w:rsid w:val="3C034D80"/>
    <w:rsid w:val="3C585A10"/>
    <w:rsid w:val="3C9E3313"/>
    <w:rsid w:val="3CBA129C"/>
    <w:rsid w:val="3CBB03B2"/>
    <w:rsid w:val="3CD37829"/>
    <w:rsid w:val="3E9126AF"/>
    <w:rsid w:val="3E933CB6"/>
    <w:rsid w:val="3FE834AB"/>
    <w:rsid w:val="40531A99"/>
    <w:rsid w:val="409D1B0D"/>
    <w:rsid w:val="40FE08A7"/>
    <w:rsid w:val="418E271A"/>
    <w:rsid w:val="4262788A"/>
    <w:rsid w:val="42E42CCB"/>
    <w:rsid w:val="43C92044"/>
    <w:rsid w:val="44357175"/>
    <w:rsid w:val="44981418"/>
    <w:rsid w:val="45030F80"/>
    <w:rsid w:val="45674F69"/>
    <w:rsid w:val="45AA4758"/>
    <w:rsid w:val="46AB7B7E"/>
    <w:rsid w:val="47531291"/>
    <w:rsid w:val="4764152B"/>
    <w:rsid w:val="47731E4C"/>
    <w:rsid w:val="481C1833"/>
    <w:rsid w:val="48D6398B"/>
    <w:rsid w:val="48ED35B0"/>
    <w:rsid w:val="49295994"/>
    <w:rsid w:val="498C3F4D"/>
    <w:rsid w:val="499B7006"/>
    <w:rsid w:val="4A2645B2"/>
    <w:rsid w:val="4A406A36"/>
    <w:rsid w:val="4A745B8D"/>
    <w:rsid w:val="4AAC5B10"/>
    <w:rsid w:val="4ABD382C"/>
    <w:rsid w:val="4AFD3DE5"/>
    <w:rsid w:val="4B560534"/>
    <w:rsid w:val="4C9D62C0"/>
    <w:rsid w:val="4D5137E5"/>
    <w:rsid w:val="4DDE46CE"/>
    <w:rsid w:val="4F8A5A0E"/>
    <w:rsid w:val="4F8B3490"/>
    <w:rsid w:val="4FEC222F"/>
    <w:rsid w:val="50CB30B0"/>
    <w:rsid w:val="5168719D"/>
    <w:rsid w:val="525555E6"/>
    <w:rsid w:val="536F1AF1"/>
    <w:rsid w:val="54997111"/>
    <w:rsid w:val="54BE120C"/>
    <w:rsid w:val="55C135BF"/>
    <w:rsid w:val="57081358"/>
    <w:rsid w:val="57542563"/>
    <w:rsid w:val="578B60AE"/>
    <w:rsid w:val="58DF34DC"/>
    <w:rsid w:val="59762756"/>
    <w:rsid w:val="5A317606"/>
    <w:rsid w:val="5AC25661"/>
    <w:rsid w:val="5B324C2A"/>
    <w:rsid w:val="5C8B3A8F"/>
    <w:rsid w:val="5CB54DA6"/>
    <w:rsid w:val="5CE37E74"/>
    <w:rsid w:val="5DE6099B"/>
    <w:rsid w:val="5EB8167A"/>
    <w:rsid w:val="5EE66340"/>
    <w:rsid w:val="5F133537"/>
    <w:rsid w:val="5F5C1802"/>
    <w:rsid w:val="60353C5D"/>
    <w:rsid w:val="60E514ED"/>
    <w:rsid w:val="610478FA"/>
    <w:rsid w:val="61377E0E"/>
    <w:rsid w:val="625A5B2A"/>
    <w:rsid w:val="63456869"/>
    <w:rsid w:val="636911B9"/>
    <w:rsid w:val="637606BD"/>
    <w:rsid w:val="63A24A04"/>
    <w:rsid w:val="63E50971"/>
    <w:rsid w:val="64435F01"/>
    <w:rsid w:val="64A66831"/>
    <w:rsid w:val="65BB0BB1"/>
    <w:rsid w:val="66332254"/>
    <w:rsid w:val="664C6B61"/>
    <w:rsid w:val="66BA4C17"/>
    <w:rsid w:val="671F493B"/>
    <w:rsid w:val="67425DF4"/>
    <w:rsid w:val="67AD6483"/>
    <w:rsid w:val="68047501"/>
    <w:rsid w:val="681D6723"/>
    <w:rsid w:val="683C5113"/>
    <w:rsid w:val="68733F68"/>
    <w:rsid w:val="689E1934"/>
    <w:rsid w:val="692A5C95"/>
    <w:rsid w:val="695732E1"/>
    <w:rsid w:val="6A621215"/>
    <w:rsid w:val="6A7F14C7"/>
    <w:rsid w:val="6C342795"/>
    <w:rsid w:val="6C7750A9"/>
    <w:rsid w:val="6D4D3C18"/>
    <w:rsid w:val="6D840AE4"/>
    <w:rsid w:val="6D8952C5"/>
    <w:rsid w:val="6E686EB1"/>
    <w:rsid w:val="6FBE19E1"/>
    <w:rsid w:val="70CF319F"/>
    <w:rsid w:val="70D54A2C"/>
    <w:rsid w:val="70FA3043"/>
    <w:rsid w:val="72936C6D"/>
    <w:rsid w:val="73411B90"/>
    <w:rsid w:val="73571248"/>
    <w:rsid w:val="73711B55"/>
    <w:rsid w:val="746716E6"/>
    <w:rsid w:val="75034787"/>
    <w:rsid w:val="762E4BCF"/>
    <w:rsid w:val="76D44A02"/>
    <w:rsid w:val="770229FD"/>
    <w:rsid w:val="77281818"/>
    <w:rsid w:val="775D6EE5"/>
    <w:rsid w:val="778C2D17"/>
    <w:rsid w:val="77F73860"/>
    <w:rsid w:val="78364649"/>
    <w:rsid w:val="79664D3B"/>
    <w:rsid w:val="79D06969"/>
    <w:rsid w:val="7A5F4F53"/>
    <w:rsid w:val="7AAE0556"/>
    <w:rsid w:val="7B9030C7"/>
    <w:rsid w:val="7D0F721E"/>
    <w:rsid w:val="7D240F5F"/>
    <w:rsid w:val="7D322473"/>
    <w:rsid w:val="7F2325DE"/>
    <w:rsid w:val="7F9507D6"/>
    <w:rsid w:val="7FD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spacing w:line="380" w:lineRule="exact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1376</Words>
  <Characters>1416</Characters>
  <Lines>3</Lines>
  <Paragraphs>1</Paragraphs>
  <TotalTime>3</TotalTime>
  <ScaleCrop>false</ScaleCrop>
  <LinksUpToDate>false</LinksUpToDate>
  <CharactersWithSpaces>1416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2019-10-26T06:47:00Z</dcterms:created>
  <dc:creator>HP</dc:creator>
  <cp:lastModifiedBy>小川</cp:lastModifiedBy>
  <cp:lastPrinted>2025-08-25T02:08:00Z</cp:lastPrinted>
  <dcterms:modified xsi:type="dcterms:W3CDTF">2025-09-03T06:41:11Z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5C222E85773A4D4C890078BD74300E1E</vt:lpwstr>
  </property>
  <property fmtid="{D5CDD505-2E9C-101B-9397-08002B2CF9AE}" pid="4" name="KSOTemplateDocerSaveRecord">
    <vt:lpwstr>eyJoZGlkIjoiNzQ0M2MyNjliNDlhNTMxYmM0ZWNhOTk5MjFmNzYxZGYifQ==</vt:lpwstr>
  </property>
</Properties>
</file>