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工程名称：北京清华长庚医院急诊大厅扩容改造工程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default" w:ascii="幼圆" w:hAnsi="幼圆" w:eastAsia="幼圆" w:cs="幼圆"/>
          <w:b w:val="0"/>
          <w:bCs w:val="0"/>
          <w:sz w:val="24"/>
          <w:lang w:val="en-US" w:eastAsia="zh-CN"/>
        </w:rPr>
        <w:t>本次招标的范围为图纸中所包含的建筑装饰</w:t>
      </w:r>
      <w:r>
        <w:rPr>
          <w:rFonts w:hint="eastAsia" w:ascii="幼圆" w:hAnsi="幼圆" w:eastAsia="幼圆" w:cs="幼圆"/>
          <w:b w:val="0"/>
          <w:bCs w:val="0"/>
          <w:sz w:val="24"/>
          <w:lang w:val="en-US" w:eastAsia="zh-CN"/>
        </w:rPr>
        <w:t>装修</w:t>
      </w:r>
      <w:r>
        <w:rPr>
          <w:rFonts w:hint="default" w:ascii="幼圆" w:hAnsi="幼圆" w:eastAsia="幼圆" w:cs="幼圆"/>
          <w:b w:val="0"/>
          <w:bCs w:val="0"/>
          <w:sz w:val="24"/>
          <w:lang w:val="en-US" w:eastAsia="zh-CN"/>
        </w:rPr>
        <w:t>工程、电气工程</w:t>
      </w:r>
      <w:r>
        <w:rPr>
          <w:rFonts w:hint="eastAsia" w:ascii="幼圆" w:hAnsi="幼圆" w:eastAsia="幼圆" w:cs="幼圆"/>
          <w:b w:val="0"/>
          <w:bCs w:val="0"/>
          <w:sz w:val="24"/>
          <w:lang w:val="en-US" w:eastAsia="zh-CN"/>
        </w:rPr>
        <w:t>、给排水工程、通风空调、消防工程</w:t>
      </w:r>
      <w:r>
        <w:rPr>
          <w:rFonts w:hint="default" w:ascii="幼圆" w:hAnsi="幼圆" w:eastAsia="幼圆" w:cs="幼圆"/>
          <w:b w:val="0"/>
          <w:bCs w:val="0"/>
          <w:sz w:val="24"/>
          <w:lang w:val="en-US" w:eastAsia="zh-CN"/>
        </w:rPr>
        <w:t>等。</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bookmarkStart w:id="1" w:name="_GoBack"/>
      <w:bookmarkEnd w:id="1"/>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供应商近3年（2022年11月-至今）每有1项已完工的类似项目（房屋改造、修缮等）业绩得5分，最多得15分。（提供成交通知书、验收证明文件或合同等相关文件复印件加盖单位公章）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113329E6"/>
    <w:rsid w:val="117F262B"/>
    <w:rsid w:val="12C56763"/>
    <w:rsid w:val="1BE71C78"/>
    <w:rsid w:val="1F3C1C4F"/>
    <w:rsid w:val="205F522A"/>
    <w:rsid w:val="22E24F49"/>
    <w:rsid w:val="24392B0D"/>
    <w:rsid w:val="25D77D3F"/>
    <w:rsid w:val="26B26BA7"/>
    <w:rsid w:val="27372964"/>
    <w:rsid w:val="27BD3A55"/>
    <w:rsid w:val="2C5F3B91"/>
    <w:rsid w:val="2D056703"/>
    <w:rsid w:val="31321010"/>
    <w:rsid w:val="347B53E1"/>
    <w:rsid w:val="34813790"/>
    <w:rsid w:val="35A3178F"/>
    <w:rsid w:val="35BA5B31"/>
    <w:rsid w:val="377C3B60"/>
    <w:rsid w:val="3D3FEA48"/>
    <w:rsid w:val="3DAB702F"/>
    <w:rsid w:val="3DBFD295"/>
    <w:rsid w:val="3EBA3A53"/>
    <w:rsid w:val="411538B7"/>
    <w:rsid w:val="41536D26"/>
    <w:rsid w:val="41BE02EE"/>
    <w:rsid w:val="44DB5B25"/>
    <w:rsid w:val="455507B5"/>
    <w:rsid w:val="45A73923"/>
    <w:rsid w:val="49F927E9"/>
    <w:rsid w:val="4FC375E6"/>
    <w:rsid w:val="5257047F"/>
    <w:rsid w:val="537D6985"/>
    <w:rsid w:val="53ED7FA3"/>
    <w:rsid w:val="56A9ACE5"/>
    <w:rsid w:val="574D52F6"/>
    <w:rsid w:val="5FEFBD42"/>
    <w:rsid w:val="63A6046B"/>
    <w:rsid w:val="64690EAB"/>
    <w:rsid w:val="6A5C38C9"/>
    <w:rsid w:val="6BBC5FCE"/>
    <w:rsid w:val="6FBD2579"/>
    <w:rsid w:val="6FED3F9B"/>
    <w:rsid w:val="703B2526"/>
    <w:rsid w:val="75C51121"/>
    <w:rsid w:val="75DF8964"/>
    <w:rsid w:val="75F106A5"/>
    <w:rsid w:val="761942CF"/>
    <w:rsid w:val="787B4E47"/>
    <w:rsid w:val="78EF290F"/>
    <w:rsid w:val="79EFCB93"/>
    <w:rsid w:val="7CE1176F"/>
    <w:rsid w:val="7DFB6C40"/>
    <w:rsid w:val="7E8A62A7"/>
    <w:rsid w:val="7EDEDA8C"/>
    <w:rsid w:val="7EE782B8"/>
    <w:rsid w:val="7F1BE675"/>
    <w:rsid w:val="7F7794D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8</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2025-11-11T01:21:17Z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