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项目介绍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w:t>
      </w:r>
      <w:r>
        <w:rPr>
          <w:rFonts w:hint="eastAsia" w:ascii="Times New Roman" w:hAnsi="Times New Roman" w:eastAsia="仿宋_GB2312" w:cs="Times New Roman"/>
          <w:b/>
          <w:bCs/>
          <w:kern w:val="0"/>
          <w:sz w:val="24"/>
          <w:szCs w:val="24"/>
          <w:lang w:val="en-US" w:eastAsia="zh-CN"/>
        </w:rPr>
        <w:t>、</w:t>
      </w:r>
      <w:r>
        <w:rPr>
          <w:rFonts w:hint="eastAsia" w:ascii="宋体" w:hAnsi="宋体" w:eastAsia="宋体" w:cs="宋体"/>
          <w:b w:val="0"/>
          <w:bCs w:val="0"/>
          <w:kern w:val="0"/>
          <w:sz w:val="24"/>
          <w:szCs w:val="24"/>
          <w:lang w:val="en-US" w:eastAsia="zh-CN"/>
        </w:rPr>
        <w:t>项目名称：16号楼公共WIFI网络接入及维保服务</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ascii="TimesNewRomanPSMT" w:hAnsi="TimesNewRomanPSMT" w:eastAsia="宋体"/>
          <w:color w:val="auto"/>
          <w:sz w:val="24"/>
          <w:szCs w:val="24"/>
          <w:lang w:val="en-US" w:eastAsia="zh-CN"/>
        </w:rPr>
      </w:pPr>
      <w:r>
        <w:rPr>
          <w:rFonts w:hint="eastAsia" w:ascii="宋体" w:hAnsi="宋体" w:eastAsia="宋体"/>
          <w:color w:val="auto"/>
          <w:sz w:val="24"/>
          <w:szCs w:val="24"/>
          <w:lang w:val="en-US" w:eastAsia="zh-CN"/>
        </w:rPr>
        <w:t>2、项目内容：</w:t>
      </w:r>
      <w:r>
        <w:rPr>
          <w:rFonts w:hint="eastAsia" w:ascii="宋体" w:hAnsi="宋体"/>
          <w:color w:val="auto"/>
          <w:sz w:val="24"/>
          <w:szCs w:val="24"/>
          <w:lang w:val="en-US" w:eastAsia="zh-CN"/>
        </w:rPr>
        <w:t>①</w:t>
      </w:r>
      <w:r>
        <w:rPr>
          <w:rStyle w:val="7"/>
          <w:rFonts w:hint="eastAsia" w:ascii="宋体" w:hAnsi="宋体" w:eastAsia="宋体" w:cs="宋体"/>
          <w:b w:val="0"/>
          <w:bCs w:val="0"/>
          <w:i w:val="0"/>
          <w:iCs w:val="0"/>
          <w:caps w:val="0"/>
          <w:color w:val="333333"/>
          <w:spacing w:val="0"/>
          <w:sz w:val="24"/>
          <w:szCs w:val="24"/>
          <w:shd w:val="clear" w:fill="F5F5F5"/>
        </w:rPr>
        <w:t>公共wifi网络接入</w:t>
      </w:r>
      <w:r>
        <w:rPr>
          <w:rStyle w:val="7"/>
          <w:rFonts w:hint="eastAsia" w:ascii="宋体" w:hAnsi="宋体" w:eastAsia="宋体" w:cs="宋体"/>
          <w:b w:val="0"/>
          <w:bCs w:val="0"/>
          <w:i w:val="0"/>
          <w:iCs w:val="0"/>
          <w:caps w:val="0"/>
          <w:color w:val="333333"/>
          <w:spacing w:val="0"/>
          <w:sz w:val="28"/>
          <w:szCs w:val="28"/>
          <w:shd w:val="clear" w:fill="F5F5F5"/>
          <w:lang w:eastAsia="zh-CN"/>
        </w:rPr>
        <w:t>：</w:t>
      </w:r>
      <w:r>
        <w:rPr>
          <w:rFonts w:hint="eastAsia" w:ascii="宋体" w:hAnsi="宋体" w:eastAsia="宋体"/>
          <w:color w:val="auto"/>
          <w:sz w:val="24"/>
          <w:szCs w:val="24"/>
        </w:rPr>
        <w:t>下行</w:t>
      </w:r>
      <w:r>
        <w:rPr>
          <w:rFonts w:hint="eastAsia" w:ascii="TimesNewRomanPSMT" w:hAnsi="TimesNewRomanPSMT" w:eastAsia="宋体"/>
          <w:color w:val="auto"/>
          <w:sz w:val="24"/>
          <w:szCs w:val="24"/>
          <w:lang w:val="en-US" w:eastAsia="zh-CN"/>
        </w:rPr>
        <w:t>500</w:t>
      </w:r>
      <w:r>
        <w:rPr>
          <w:rFonts w:hint="eastAsia" w:ascii="TimesNewRomanPSMT" w:hAnsi="TimesNewRomanPSMT" w:eastAsia="TimesNewRomanPSMT"/>
          <w:color w:val="auto"/>
          <w:sz w:val="24"/>
          <w:szCs w:val="24"/>
        </w:rPr>
        <w:t>M</w:t>
      </w:r>
      <w:r>
        <w:rPr>
          <w:rFonts w:hint="eastAsia" w:ascii="宋体" w:hAnsi="宋体" w:eastAsia="宋体"/>
          <w:color w:val="auto"/>
          <w:sz w:val="24"/>
          <w:szCs w:val="24"/>
        </w:rPr>
        <w:t>、上行</w:t>
      </w:r>
      <w:r>
        <w:rPr>
          <w:rFonts w:hint="eastAsia" w:ascii="TimesNewRomanPSMT" w:hAnsi="TimesNewRomanPSMT" w:eastAsia="TimesNewRomanPSMT"/>
          <w:color w:val="auto"/>
          <w:sz w:val="24"/>
          <w:szCs w:val="24"/>
        </w:rPr>
        <w:t>50M</w:t>
      </w:r>
      <w:r>
        <w:rPr>
          <w:rFonts w:hint="eastAsia" w:ascii="TimesNewRomanPSMT" w:hAnsi="TimesNewRomanPSMT" w:eastAsia="宋体"/>
          <w:color w:val="auto"/>
          <w:sz w:val="24"/>
          <w:szCs w:val="24"/>
          <w:lang w:val="en-US" w:eastAsia="zh-CN"/>
        </w:rPr>
        <w:t>的互联网宽带接入服务6条</w:t>
      </w:r>
      <w:r>
        <w:rPr>
          <w:rFonts w:hint="eastAsia" w:ascii="TimesNewRomanPSMT" w:hAnsi="TimesNewRomanPSMT"/>
          <w:color w:val="auto"/>
          <w:sz w:val="24"/>
          <w:szCs w:val="24"/>
          <w:lang w:val="en-US" w:eastAsia="zh-CN"/>
        </w:rPr>
        <w:t xml:space="preserve">  ②维保服务</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imesNewRomanPSMT" w:hAnsi="TimesNewRomanPSMT"/>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TimesNewRomanPSMT" w:hAnsi="TimesNewRomanPSMT"/>
          <w:color w:val="auto"/>
          <w:sz w:val="24"/>
          <w:szCs w:val="24"/>
          <w:lang w:val="en-US" w:eastAsia="zh-CN"/>
        </w:rPr>
        <w:t>、服务期限：一年</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ascii="TimesNewRomanPSMT" w:hAnsi="TimesNewRomanPSMT"/>
          <w:b/>
          <w:bCs/>
          <w:color w:val="auto"/>
          <w:sz w:val="24"/>
          <w:szCs w:val="24"/>
          <w:lang w:val="en-US" w:eastAsia="zh-CN"/>
        </w:rPr>
      </w:pPr>
      <w:r>
        <w:rPr>
          <w:rFonts w:hint="eastAsia" w:ascii="TimesNewRomanPSMT" w:hAnsi="TimesNewRomanPSMT"/>
          <w:b/>
          <w:bCs/>
          <w:color w:val="auto"/>
          <w:sz w:val="24"/>
          <w:szCs w:val="24"/>
          <w:lang w:val="en-US" w:eastAsia="zh-CN"/>
        </w:rPr>
        <w:t>二、采购需求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1、提供无线设备的硬件维护，软件升级，提供故障设备的免费维修，保障期12个月。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2、提供12个月的7*24小时远程及现场技术支持服务，客户反馈故障后，乙方能在1小时内进行响应并进行远程技术支持，远程技术支持无法及时解决问题的，乙方能在4小时内到达客户现场进行上门排障及处理；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3、提供每个季度对整个无线网络系统软硬件进行一次现场巡检，在巡检过程中对潜</w:t>
      </w:r>
      <w:r>
        <w:rPr>
          <w:rFonts w:hint="eastAsia" w:ascii="宋体" w:hAnsi="宋体" w:eastAsia="宋体" w:cs="宋体"/>
          <w:color w:val="auto"/>
          <w:kern w:val="0"/>
          <w:sz w:val="24"/>
          <w:szCs w:val="24"/>
          <w:lang w:val="en-US" w:eastAsia="zh-CN"/>
        </w:rPr>
        <w:t>在的风险故障点进行及时处理并提供巡检报告，服务期内现场巡检不少于4次，线上巡检不少于12次。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4、提供云企星可视化平台运维服务。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5、提供用户上网行为管理特征库升级。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三、服务要求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合约期内无继续用网需求，在提前30天通知厂商的情况下，可随时终止合约。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四、评分标准</w:t>
      </w:r>
    </w:p>
    <w:tbl>
      <w:tblPr>
        <w:tblStyle w:val="5"/>
        <w:tblW w:w="5000" w:type="pct"/>
        <w:tblInd w:w="0" w:type="dxa"/>
        <w:tblLayout w:type="autofit"/>
        <w:tblCellMar>
          <w:top w:w="0" w:type="dxa"/>
          <w:left w:w="108" w:type="dxa"/>
          <w:bottom w:w="0" w:type="dxa"/>
          <w:right w:w="108" w:type="dxa"/>
        </w:tblCellMar>
      </w:tblPr>
      <w:tblGrid>
        <w:gridCol w:w="1222"/>
        <w:gridCol w:w="1682"/>
        <w:gridCol w:w="731"/>
        <w:gridCol w:w="4887"/>
      </w:tblGrid>
      <w:tr>
        <w:tblPrEx>
          <w:tblCellMar>
            <w:top w:w="0" w:type="dxa"/>
            <w:left w:w="108" w:type="dxa"/>
            <w:bottom w:w="0" w:type="dxa"/>
            <w:right w:w="108" w:type="dxa"/>
          </w:tblCellMar>
        </w:tblPrEx>
        <w:trPr>
          <w:tblHeader/>
        </w:trPr>
        <w:tc>
          <w:tcPr>
            <w:tcW w:w="717" w:type="pct"/>
            <w:tcBorders>
              <w:top w:val="single" w:color="000000" w:sz="4" w:space="0"/>
              <w:left w:val="single" w:color="000000" w:sz="4" w:space="0"/>
              <w:bottom w:val="single" w:color="000000" w:sz="4" w:space="0"/>
              <w:right w:val="single" w:color="000000" w:sz="4" w:space="0"/>
            </w:tcBorders>
            <w:noWrap w:val="0"/>
            <w:vAlign w:val="center"/>
          </w:tcPr>
          <w:p>
            <w:pPr>
              <w:jc w:val="center"/>
              <w:rPr>
                <w:b/>
                <w:bCs/>
              </w:rPr>
            </w:pPr>
            <w:r>
              <w:rPr>
                <w:rFonts w:hint="eastAsia"/>
                <w:b/>
                <w:bCs/>
              </w:rPr>
              <w:t>内容</w:t>
            </w:r>
          </w:p>
        </w:tc>
        <w:tc>
          <w:tcPr>
            <w:tcW w:w="987" w:type="pct"/>
            <w:tcBorders>
              <w:top w:val="single" w:color="000000" w:sz="4" w:space="0"/>
              <w:left w:val="single" w:color="000000" w:sz="4" w:space="0"/>
              <w:bottom w:val="single" w:color="000000" w:sz="4" w:space="0"/>
              <w:right w:val="single" w:color="000000" w:sz="4" w:space="0"/>
            </w:tcBorders>
            <w:noWrap w:val="0"/>
            <w:vAlign w:val="center"/>
          </w:tcPr>
          <w:p>
            <w:pPr>
              <w:jc w:val="center"/>
              <w:rPr>
                <w:b/>
                <w:bCs/>
              </w:rPr>
            </w:pPr>
            <w:r>
              <w:rPr>
                <w:rFonts w:hint="eastAsia"/>
                <w:b/>
                <w:bCs/>
              </w:rPr>
              <w:t>评分因素分项</w:t>
            </w:r>
          </w:p>
        </w:tc>
        <w:tc>
          <w:tcPr>
            <w:tcW w:w="42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b/>
                <w:bCs/>
              </w:rPr>
            </w:pPr>
            <w:r>
              <w:rPr>
                <w:rFonts w:hint="eastAsia"/>
                <w:b/>
                <w:bCs/>
              </w:rPr>
              <w:t>分值</w:t>
            </w:r>
          </w:p>
        </w:tc>
        <w:tc>
          <w:tcPr>
            <w:tcW w:w="2867" w:type="pct"/>
            <w:tcBorders>
              <w:top w:val="single" w:color="000000" w:sz="4" w:space="0"/>
              <w:left w:val="single" w:color="000000" w:sz="4" w:space="0"/>
              <w:bottom w:val="single" w:color="000000" w:sz="4" w:space="0"/>
              <w:right w:val="single" w:color="000000" w:sz="4" w:space="0"/>
            </w:tcBorders>
            <w:noWrap w:val="0"/>
            <w:vAlign w:val="center"/>
          </w:tcPr>
          <w:p>
            <w:pPr>
              <w:jc w:val="center"/>
              <w:rPr>
                <w:b/>
                <w:bCs/>
              </w:rPr>
            </w:pPr>
            <w:r>
              <w:rPr>
                <w:rFonts w:hint="eastAsia"/>
                <w:b/>
                <w:bCs/>
              </w:rPr>
              <w:t>评分因素分项</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价格部分30分</w:t>
            </w:r>
          </w:p>
        </w:tc>
        <w:tc>
          <w:tcPr>
            <w:tcW w:w="98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评标价格</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30</w:t>
            </w:r>
          </w:p>
        </w:tc>
        <w:tc>
          <w:tcPr>
            <w:tcW w:w="286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满足遴选文件要求且投标价格最低的投标报价为评标基准价，其价格分为满分。其他投标人的价格分统一按照下列公式计算：</w:t>
            </w:r>
            <w:r>
              <w:rPr>
                <w:rFonts w:hint="eastAsia"/>
              </w:rPr>
              <w:br w:type="textWrapping"/>
            </w:r>
            <w:r>
              <w:rPr>
                <w:rFonts w:hint="eastAsia"/>
              </w:rPr>
              <w:t>投标报价得分＝（评标基准价/投标报价）×30</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noWrap w:val="0"/>
            <w:vAlign w:val="center"/>
          </w:tcPr>
          <w:p>
            <w:r>
              <w:rPr>
                <w:rFonts w:hint="eastAsia"/>
              </w:rPr>
              <w:t>商务部分1</w:t>
            </w:r>
            <w:r>
              <w:rPr>
                <w:rFonts w:hint="eastAsia"/>
                <w:lang w:val="en-US" w:eastAsia="zh-CN"/>
              </w:rPr>
              <w:t>0</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同类项目业绩</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6</w:t>
            </w:r>
          </w:p>
        </w:tc>
        <w:tc>
          <w:tcPr>
            <w:tcW w:w="286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根据投标人提供近三年同类业绩进行打分，每有1个得2分，最高得6分。须提供合同复印件，体现合同名称及双方签字盖章页。</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98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资质认证</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lang w:eastAsia="zh-CN"/>
              </w:rPr>
            </w:pPr>
            <w:r>
              <w:rPr>
                <w:rFonts w:hint="eastAsia"/>
                <w:lang w:val="en-US" w:eastAsia="zh-CN"/>
              </w:rPr>
              <w:t>4</w:t>
            </w:r>
          </w:p>
        </w:tc>
        <w:tc>
          <w:tcPr>
            <w:tcW w:w="2867" w:type="pct"/>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资质认证：投标人提供质量管理体系认证</w:t>
            </w:r>
            <w:r>
              <w:rPr>
                <w:rFonts w:hint="eastAsia"/>
                <w:highlight w:val="none"/>
                <w:lang w:eastAsia="zh-CN"/>
              </w:rPr>
              <w:t>证书、环境管理体系认证证书、信息技术服务管理体系认证证书、信息安全管理体系认证证书，</w:t>
            </w:r>
            <w:r>
              <w:rPr>
                <w:rFonts w:hint="eastAsia"/>
                <w:highlight w:val="none"/>
              </w:rPr>
              <w:t>每提供一个有效期内证书得</w:t>
            </w:r>
            <w:r>
              <w:rPr>
                <w:rFonts w:hint="eastAsia"/>
                <w:highlight w:val="none"/>
                <w:lang w:val="en-US" w:eastAsia="zh-CN"/>
              </w:rPr>
              <w:t>1</w:t>
            </w:r>
            <w:r>
              <w:rPr>
                <w:rFonts w:hint="eastAsia"/>
                <w:highlight w:val="none"/>
              </w:rPr>
              <w:t>分，最高得</w:t>
            </w:r>
            <w:r>
              <w:rPr>
                <w:rFonts w:hint="eastAsia"/>
                <w:highlight w:val="none"/>
                <w:lang w:val="en-US" w:eastAsia="zh-CN"/>
              </w:rPr>
              <w:t>4</w:t>
            </w:r>
            <w:r>
              <w:rPr>
                <w:rFonts w:hint="eastAsia"/>
                <w:highlight w:val="none"/>
              </w:rPr>
              <w:t>分</w:t>
            </w:r>
            <w:r>
              <w:rPr>
                <w:rFonts w:hint="eastAsia"/>
                <w:highlight w:val="none"/>
              </w:rPr>
              <w:t>。</w:t>
            </w:r>
          </w:p>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技术部分</w:t>
            </w:r>
            <w:r>
              <w:rPr>
                <w:rFonts w:hint="eastAsia"/>
              </w:rPr>
              <w:br w:type="textWrapping"/>
            </w:r>
            <w:r>
              <w:rPr>
                <w:rFonts w:hint="eastAsia"/>
                <w:lang w:val="en-US" w:eastAsia="zh-CN"/>
              </w:rPr>
              <w:t>30</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需求响应</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lang w:val="en-US" w:eastAsia="zh-CN"/>
              </w:rPr>
            </w:pPr>
            <w:r>
              <w:rPr>
                <w:rFonts w:hint="eastAsia" w:eastAsia="宋体"/>
                <w:lang w:val="en-US" w:eastAsia="zh-CN"/>
              </w:rPr>
              <w:t>30</w:t>
            </w:r>
          </w:p>
        </w:tc>
        <w:tc>
          <w:tcPr>
            <w:tcW w:w="2867" w:type="pct"/>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rPr>
              <w:t>1.完全满足需求文件“</w:t>
            </w:r>
            <w:r>
              <w:rPr>
                <w:rFonts w:hint="eastAsia"/>
                <w:lang w:eastAsia="zh-CN"/>
              </w:rPr>
              <w:t>二、采购需求</w:t>
            </w:r>
            <w:r>
              <w:rPr>
                <w:rFonts w:hint="eastAsia"/>
                <w:lang w:val="en-US" w:eastAsia="zh-CN"/>
              </w:rPr>
              <w:t xml:space="preserve"> </w:t>
            </w:r>
            <w:r>
              <w:rPr>
                <w:rFonts w:hint="eastAsia"/>
              </w:rPr>
              <w:t>”的得满分</w:t>
            </w:r>
            <w:r>
              <w:rPr>
                <w:rFonts w:hint="eastAsia"/>
                <w:highlight w:val="none"/>
                <w:lang w:val="en-US" w:eastAsia="zh-CN"/>
              </w:rPr>
              <w:t>30</w:t>
            </w:r>
            <w:r>
              <w:rPr>
                <w:rFonts w:hint="eastAsia"/>
                <w:highlight w:val="none"/>
              </w:rPr>
              <w:t>分。</w:t>
            </w:r>
          </w:p>
          <w:p>
            <w:r>
              <w:rPr>
                <w:rFonts w:hint="eastAsia"/>
                <w:highlight w:val="none"/>
                <w:lang w:val="en-US" w:eastAsia="zh-CN"/>
              </w:rPr>
              <w:t>2</w:t>
            </w:r>
            <w:r>
              <w:rPr>
                <w:highlight w:val="none"/>
              </w:rPr>
              <w:t>.</w:t>
            </w:r>
            <w:r>
              <w:rPr>
                <w:rFonts w:hint="eastAsia" w:ascii="宋体" w:hAnsi="宋体" w:eastAsia="宋体" w:cs="宋体"/>
                <w:i w:val="0"/>
                <w:iCs w:val="0"/>
                <w:color w:val="000000"/>
                <w:kern w:val="0"/>
                <w:sz w:val="24"/>
                <w:szCs w:val="24"/>
                <w:highlight w:val="none"/>
                <w:u w:val="none"/>
                <w:lang w:val="en-US" w:eastAsia="zh-CN" w:bidi="ar"/>
              </w:rPr>
              <w:t>需求文件中，一般</w:t>
            </w:r>
            <w:bookmarkStart w:id="0" w:name="_GoBack"/>
            <w:bookmarkEnd w:id="0"/>
            <w:r>
              <w:rPr>
                <w:rFonts w:hint="eastAsia" w:ascii="宋体" w:hAnsi="宋体" w:eastAsia="宋体" w:cs="宋体"/>
                <w:i w:val="0"/>
                <w:iCs w:val="0"/>
                <w:color w:val="000000"/>
                <w:kern w:val="0"/>
                <w:sz w:val="24"/>
                <w:szCs w:val="24"/>
                <w:highlight w:val="none"/>
                <w:u w:val="none"/>
                <w:lang w:val="en-US" w:eastAsia="zh-CN" w:bidi="ar"/>
              </w:rPr>
              <w:t>要求(共计5条)负偏离扣6分，最低扣至0分</w:t>
            </w:r>
            <w:r>
              <w:rPr>
                <w:rFonts w:hint="eastAsia"/>
                <w:highlight w:val="none"/>
              </w:rPr>
              <w:t>。</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noWrap w:val="0"/>
            <w:vAlign w:val="center"/>
          </w:tcPr>
          <w:p>
            <w:r>
              <w:rPr>
                <w:rFonts w:hint="eastAsia"/>
              </w:rPr>
              <w:t>服务部分</w:t>
            </w:r>
            <w:r>
              <w:rPr>
                <w:rFonts w:hint="eastAsia"/>
              </w:rPr>
              <w:br w:type="textWrapping"/>
            </w:r>
            <w:r>
              <w:t>3</w:t>
            </w:r>
            <w:r>
              <w:rPr>
                <w:rFonts w:hint="eastAsia"/>
              </w:rPr>
              <w:t>0分</w:t>
            </w:r>
          </w:p>
        </w:tc>
        <w:tc>
          <w:tcPr>
            <w:tcW w:w="98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服务方案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15</w:t>
            </w:r>
          </w:p>
        </w:tc>
        <w:tc>
          <w:tcPr>
            <w:tcW w:w="286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r>
              <w:rPr>
                <w:rFonts w:hint="eastAsia"/>
              </w:rPr>
              <w:t>1.对项目理解深刻，服务方案详细且有很强的针对性，可操作性强，方案优秀，得15分；</w:t>
            </w:r>
          </w:p>
          <w:p>
            <w:r>
              <w:rPr>
                <w:rFonts w:hint="eastAsia"/>
              </w:rPr>
              <w:t>2.对项目理解较多，服务方案较为详细且有针对性，可操作性较好，方案良好，得10分；</w:t>
            </w:r>
          </w:p>
          <w:p>
            <w:r>
              <w:rPr>
                <w:rFonts w:hint="eastAsia"/>
              </w:rPr>
              <w:t>3.对项目无理解，服务方案虽阐述但未贴合项目实际情况或内容未包括具体服务细节及措施且无针对性，方案通用，得5分；</w:t>
            </w:r>
          </w:p>
          <w:p>
            <w:r>
              <w:rPr>
                <w:rFonts w:hint="eastAsia"/>
              </w:rPr>
              <w:t>4.内容未进行阐述或不满足服务需求，不得分。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98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服务团队</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lang w:eastAsia="zh-CN"/>
              </w:rPr>
            </w:pPr>
            <w:r>
              <w:t>1</w:t>
            </w:r>
            <w:r>
              <w:rPr>
                <w:rFonts w:hint="eastAsia"/>
                <w:lang w:val="en-US" w:eastAsia="zh-CN"/>
              </w:rPr>
              <w:t>0</w:t>
            </w:r>
          </w:p>
        </w:tc>
        <w:tc>
          <w:tcPr>
            <w:tcW w:w="286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根据需求技术响应情况，对投标人提供的项目团队人员的分工情况和管理架构、责任划分、人员能力等进行评价，其中：</w:t>
            </w:r>
          </w:p>
          <w:p>
            <w:r>
              <w:rPr>
                <w:rFonts w:hint="eastAsia"/>
              </w:rPr>
              <w:t>1.投标人提供的项目团队的分工情况和管理架构、责任明确、完整、具体，能完全满足或优于招标文件要求，得1</w:t>
            </w:r>
            <w:r>
              <w:rPr>
                <w:rFonts w:hint="eastAsia"/>
                <w:lang w:val="en-US" w:eastAsia="zh-CN"/>
              </w:rPr>
              <w:t>0</w:t>
            </w:r>
            <w:r>
              <w:rPr>
                <w:rFonts w:hint="eastAsia"/>
              </w:rPr>
              <w:t>分；</w:t>
            </w:r>
          </w:p>
          <w:p>
            <w:r>
              <w:rPr>
                <w:rFonts w:hint="eastAsia"/>
              </w:rPr>
              <w:t>2.投标人提供的项目团队的分工情况和管理架构、责任较为明确、完整、具体，基本满足招标文件要求，得6分；</w:t>
            </w:r>
          </w:p>
          <w:p>
            <w:r>
              <w:rPr>
                <w:rFonts w:hint="eastAsia"/>
              </w:rPr>
              <w:t>3.未明确项目团队的分工情况和管理架构、责任或项目管理团队的分工情况和管理架构、责任不能满足招标文件要求，得1分。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98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应急响应</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5</w:t>
            </w:r>
          </w:p>
        </w:tc>
        <w:tc>
          <w:tcPr>
            <w:tcW w:w="2867"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投标人针对本项目的软硬件设备故障问题处理等内容，制定的详细完整的应急响应方案。</w:t>
            </w:r>
          </w:p>
          <w:p>
            <w:r>
              <w:rPr>
                <w:rFonts w:hint="eastAsia"/>
              </w:rPr>
              <w:t>1</w:t>
            </w:r>
            <w:r>
              <w:t>.</w:t>
            </w:r>
            <w:r>
              <w:rPr>
                <w:rFonts w:hint="eastAsia"/>
              </w:rPr>
              <w:t>投标人的应急响应方案完整合理、内容详细，有较强的针对性，保障到位，得5分；</w:t>
            </w:r>
          </w:p>
          <w:p>
            <w:r>
              <w:rPr>
                <w:rFonts w:hint="eastAsia"/>
              </w:rPr>
              <w:t>2</w:t>
            </w:r>
            <w:r>
              <w:t>.</w:t>
            </w:r>
            <w:r>
              <w:rPr>
                <w:rFonts w:hint="eastAsia"/>
              </w:rPr>
              <w:t>投标人的应急响应方案较为合理，内容较为详细，有一定的针对性，得3分；</w:t>
            </w:r>
          </w:p>
          <w:p>
            <w:r>
              <w:t>3.</w:t>
            </w:r>
            <w:r>
              <w:rPr>
                <w:rFonts w:hint="eastAsia"/>
              </w:rPr>
              <w:t>投标人的应急响应方案对属于通用类，非专门针对本项目，不符合实际情况或只是对需求进行简单复制，得</w:t>
            </w:r>
            <w:r>
              <w:t>1</w:t>
            </w:r>
            <w:r>
              <w:rPr>
                <w:rFonts w:hint="eastAsia"/>
              </w:rPr>
              <w:t>分；</w:t>
            </w:r>
          </w:p>
          <w:p>
            <w:r>
              <w:rPr>
                <w:rFonts w:hint="eastAsia"/>
              </w:rPr>
              <w:t>4.未提供的得0分。</w:t>
            </w:r>
          </w:p>
        </w:tc>
      </w:tr>
    </w:tbl>
    <w:p>
      <w:pPr>
        <w:spacing w:line="360" w:lineRule="auto"/>
        <w:rPr>
          <w:lang w:val="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0"/>
          <w:sz w:val="24"/>
          <w:szCs w:val="24"/>
        </w:rPr>
      </w:pPr>
    </w:p>
    <w:p>
      <w:pPr>
        <w:spacing w:line="360" w:lineRule="auto"/>
        <w:rPr>
          <w:rFonts w:hint="default" w:ascii="Times New Roman" w:hAnsi="Times New Roman" w:eastAsia="仿宋_GB2312" w:cs="Times New Roman"/>
          <w:kern w:val="0"/>
          <w:sz w:val="24"/>
          <w:szCs w:val="24"/>
        </w:rPr>
      </w:pPr>
    </w:p>
    <w:p>
      <w:pPr>
        <w:spacing w:line="360" w:lineRule="auto"/>
        <w:rPr>
          <w:rFonts w:hint="default" w:ascii="Times New Roman" w:hAnsi="Times New Roman" w:eastAsia="仿宋_GB2312" w:cs="Times New Roman"/>
          <w:kern w:val="0"/>
          <w:sz w:val="24"/>
          <w:szCs w:val="24"/>
        </w:rPr>
      </w:pPr>
    </w:p>
    <w:p>
      <w:pPr>
        <w:spacing w:line="360" w:lineRule="auto"/>
        <w:rPr>
          <w:rFonts w:hint="default" w:ascii="Times New Roman" w:hAnsi="Times New Roman" w:eastAsia="仿宋_GB2312" w:cs="Times New Roman"/>
          <w:kern w:val="0"/>
          <w:sz w:val="24"/>
          <w:szCs w:val="24"/>
        </w:rPr>
      </w:pPr>
    </w:p>
    <w:p>
      <w:pPr>
        <w:spacing w:line="360" w:lineRule="auto"/>
        <w:ind w:firstLine="2249" w:firstLineChars="800"/>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lang w:val="en-US" w:eastAsia="zh-CN"/>
        </w:rPr>
        <w:t>16号楼</w:t>
      </w:r>
      <w:r>
        <w:rPr>
          <w:rFonts w:hint="default" w:ascii="Times New Roman" w:hAnsi="Times New Roman" w:eastAsia="仿宋_GB2312" w:cs="Times New Roman"/>
          <w:b/>
          <w:bCs/>
          <w:kern w:val="0"/>
          <w:sz w:val="28"/>
          <w:szCs w:val="28"/>
        </w:rPr>
        <w:t>维保服务所涉及的网络设备清单</w:t>
      </w:r>
    </w:p>
    <w:p>
      <w:pPr>
        <w:spacing w:line="360" w:lineRule="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w:t>
      </w:r>
      <w:r>
        <w:rPr>
          <w:rFonts w:hint="default" w:ascii="Times New Roman" w:hAnsi="Times New Roman" w:eastAsia="仿宋_GB2312" w:cs="Times New Roman"/>
          <w:kern w:val="0"/>
          <w:sz w:val="24"/>
          <w:szCs w:val="24"/>
        </w:rPr>
        <w:t>16号楼18、19层涉及相关设备：</w:t>
      </w:r>
    </w:p>
    <w:tbl>
      <w:tblPr>
        <w:tblStyle w:val="5"/>
        <w:tblW w:w="4998" w:type="pct"/>
        <w:tblInd w:w="0" w:type="dxa"/>
        <w:tblLayout w:type="autofit"/>
        <w:tblCellMar>
          <w:top w:w="0" w:type="dxa"/>
          <w:left w:w="108" w:type="dxa"/>
          <w:bottom w:w="0" w:type="dxa"/>
          <w:right w:w="108" w:type="dxa"/>
        </w:tblCellMar>
      </w:tblPr>
      <w:tblGrid>
        <w:gridCol w:w="457"/>
        <w:gridCol w:w="990"/>
        <w:gridCol w:w="2725"/>
        <w:gridCol w:w="3840"/>
        <w:gridCol w:w="507"/>
      </w:tblGrid>
      <w:tr>
        <w:tblPrEx>
          <w:tblCellMar>
            <w:top w:w="0" w:type="dxa"/>
            <w:left w:w="108" w:type="dxa"/>
            <w:bottom w:w="0" w:type="dxa"/>
            <w:right w:w="108" w:type="dxa"/>
          </w:tblCellMar>
        </w:tblPrEx>
        <w:trPr>
          <w:trHeight w:val="634" w:hRule="atLeast"/>
        </w:trPr>
        <w:tc>
          <w:tcPr>
            <w:tcW w:w="281" w:type="pct"/>
            <w:tcBorders>
              <w:top w:val="single" w:color="auto" w:sz="4" w:space="0"/>
              <w:left w:val="single" w:color="auto" w:sz="4" w:space="0"/>
              <w:bottom w:val="single" w:color="auto" w:sz="4" w:space="0"/>
              <w:right w:val="single" w:color="auto" w:sz="4" w:space="0"/>
            </w:tcBorders>
            <w:shd w:val="clear" w:color="000000" w:fill="C0C0C0"/>
            <w:noWrap w:val="0"/>
            <w:vAlign w:val="center"/>
          </w:tcPr>
          <w:p>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序号</w:t>
            </w:r>
          </w:p>
        </w:tc>
        <w:tc>
          <w:tcPr>
            <w:tcW w:w="650" w:type="pct"/>
            <w:tcBorders>
              <w:top w:val="single" w:color="auto" w:sz="4" w:space="0"/>
              <w:left w:val="single" w:color="auto" w:sz="4" w:space="0"/>
              <w:bottom w:val="single" w:color="auto" w:sz="4" w:space="0"/>
              <w:right w:val="single" w:color="auto" w:sz="4" w:space="0"/>
            </w:tcBorders>
            <w:shd w:val="clear" w:color="000000" w:fill="C0C0C0"/>
            <w:noWrap w:val="0"/>
            <w:vAlign w:val="center"/>
          </w:tcPr>
          <w:p>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设备名称</w:t>
            </w:r>
          </w:p>
        </w:tc>
        <w:tc>
          <w:tcPr>
            <w:tcW w:w="1435" w:type="pct"/>
            <w:tcBorders>
              <w:top w:val="single" w:color="auto" w:sz="4" w:space="0"/>
              <w:left w:val="single" w:color="auto" w:sz="4" w:space="0"/>
              <w:bottom w:val="single" w:color="auto" w:sz="4" w:space="0"/>
              <w:right w:val="single" w:color="auto" w:sz="4" w:space="0"/>
            </w:tcBorders>
            <w:shd w:val="clear" w:color="000000" w:fill="C0C0C0"/>
            <w:noWrap w:val="0"/>
            <w:vAlign w:val="center"/>
          </w:tcPr>
          <w:p>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设备型号</w:t>
            </w:r>
          </w:p>
        </w:tc>
        <w:tc>
          <w:tcPr>
            <w:tcW w:w="2293" w:type="pct"/>
            <w:tcBorders>
              <w:top w:val="single" w:color="auto" w:sz="4" w:space="0"/>
              <w:left w:val="single" w:color="auto" w:sz="4" w:space="0"/>
              <w:bottom w:val="single" w:color="auto" w:sz="4" w:space="0"/>
              <w:right w:val="single" w:color="auto" w:sz="4" w:space="0"/>
            </w:tcBorders>
            <w:shd w:val="clear" w:color="000000" w:fill="C0C0C0"/>
            <w:noWrap w:val="0"/>
            <w:vAlign w:val="center"/>
          </w:tcPr>
          <w:p>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设备属性</w:t>
            </w:r>
          </w:p>
        </w:tc>
        <w:tc>
          <w:tcPr>
            <w:tcW w:w="338" w:type="pct"/>
            <w:tcBorders>
              <w:top w:val="single" w:color="auto" w:sz="4" w:space="0"/>
              <w:left w:val="single" w:color="auto" w:sz="4" w:space="0"/>
              <w:bottom w:val="single" w:color="auto" w:sz="4" w:space="0"/>
              <w:right w:val="single" w:color="auto" w:sz="4" w:space="0"/>
            </w:tcBorders>
            <w:shd w:val="clear" w:color="000000" w:fill="C0C0C0"/>
            <w:noWrap w:val="0"/>
            <w:vAlign w:val="center"/>
          </w:tcPr>
          <w:p>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数量</w:t>
            </w:r>
          </w:p>
        </w:tc>
      </w:tr>
      <w:tr>
        <w:tblPrEx>
          <w:tblCellMar>
            <w:top w:w="0" w:type="dxa"/>
            <w:left w:w="108" w:type="dxa"/>
            <w:bottom w:w="0" w:type="dxa"/>
            <w:right w:w="108" w:type="dxa"/>
          </w:tblCellMar>
        </w:tblPrEx>
        <w:trPr>
          <w:trHeight w:val="280" w:hRule="atLeast"/>
        </w:trPr>
        <w:tc>
          <w:tcPr>
            <w:tcW w:w="2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650"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H3C上网行为管理</w:t>
            </w:r>
          </w:p>
        </w:tc>
        <w:tc>
          <w:tcPr>
            <w:tcW w:w="1435"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NS-ACG1000-ME+LIS-1</w:t>
            </w:r>
          </w:p>
        </w:tc>
        <w:tc>
          <w:tcPr>
            <w:tcW w:w="2293"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H3C SecPath ACG1000-ME 应用控制网关设备(12GE电口+12SFP)</w:t>
            </w:r>
          </w:p>
        </w:tc>
        <w:tc>
          <w:tcPr>
            <w:tcW w:w="338"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r>
      <w:tr>
        <w:tblPrEx>
          <w:tblCellMar>
            <w:top w:w="0" w:type="dxa"/>
            <w:left w:w="108" w:type="dxa"/>
            <w:bottom w:w="0" w:type="dxa"/>
            <w:right w:w="108" w:type="dxa"/>
          </w:tblCellMar>
        </w:tblPrEx>
        <w:trPr>
          <w:trHeight w:val="280" w:hRule="atLeast"/>
        </w:trPr>
        <w:tc>
          <w:tcPr>
            <w:tcW w:w="281" w:type="pc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65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H3C POE交换机</w:t>
            </w:r>
          </w:p>
        </w:tc>
        <w:tc>
          <w:tcPr>
            <w:tcW w:w="1435"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S5024PV3-EI-PWR</w:t>
            </w:r>
          </w:p>
        </w:tc>
        <w:tc>
          <w:tcPr>
            <w:tcW w:w="229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H3C S5024PV3-EI-PWR</w:t>
            </w:r>
            <w:r>
              <w:rPr>
                <w:rFonts w:hint="default" w:ascii="Times New Roman" w:hAnsi="Times New Roman" w:eastAsia="仿宋_GB2312" w:cs="Times New Roman"/>
                <w:color w:val="000000"/>
                <w:kern w:val="0"/>
                <w:sz w:val="24"/>
                <w:szCs w:val="24"/>
              </w:rPr>
              <w:t>以太网交换机主机,支持24*10/100/1000 Base-T 以太网端口4*1000 Base-X SFP光口</w:t>
            </w:r>
          </w:p>
        </w:tc>
        <w:tc>
          <w:tcPr>
            <w:tcW w:w="33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r>
      <w:tr>
        <w:tblPrEx>
          <w:tblCellMar>
            <w:top w:w="0" w:type="dxa"/>
            <w:left w:w="108" w:type="dxa"/>
            <w:bottom w:w="0" w:type="dxa"/>
            <w:right w:w="108" w:type="dxa"/>
          </w:tblCellMar>
        </w:tblPrEx>
        <w:trPr>
          <w:trHeight w:val="280" w:hRule="atLeast"/>
        </w:trPr>
        <w:tc>
          <w:tcPr>
            <w:tcW w:w="281" w:type="pct"/>
            <w:vMerge w:val="restart"/>
            <w:tcBorders>
              <w:top w:val="nil"/>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650" w:type="pct"/>
            <w:vMerge w:val="restart"/>
            <w:tcBorders>
              <w:top w:val="nil"/>
              <w:left w:val="nil"/>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H3C AC</w:t>
            </w:r>
          </w:p>
        </w:tc>
        <w:tc>
          <w:tcPr>
            <w:tcW w:w="1435"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EWP-WX2560H</w:t>
            </w:r>
          </w:p>
        </w:tc>
        <w:tc>
          <w:tcPr>
            <w:tcW w:w="229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H3C WX2560H-8端口千兆(2 SFP Combo)无线控制器</w:t>
            </w:r>
          </w:p>
        </w:tc>
        <w:tc>
          <w:tcPr>
            <w:tcW w:w="33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r>
      <w:tr>
        <w:tblPrEx>
          <w:tblCellMar>
            <w:top w:w="0" w:type="dxa"/>
            <w:left w:w="108" w:type="dxa"/>
            <w:bottom w:w="0" w:type="dxa"/>
            <w:right w:w="108" w:type="dxa"/>
          </w:tblCellMar>
        </w:tblPrEx>
        <w:trPr>
          <w:trHeight w:val="280" w:hRule="atLeast"/>
        </w:trPr>
        <w:tc>
          <w:tcPr>
            <w:tcW w:w="281" w:type="pct"/>
            <w:vMerge w:val="continue"/>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650" w:type="pct"/>
            <w:vMerge w:val="continue"/>
            <w:tcBorders>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435"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LIS-WX-32-BE</w:t>
            </w:r>
          </w:p>
        </w:tc>
        <w:tc>
          <w:tcPr>
            <w:tcW w:w="229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增强型无线控制器license授权函-管理32AP-企业网专用-V7专用</w:t>
            </w:r>
          </w:p>
        </w:tc>
        <w:tc>
          <w:tcPr>
            <w:tcW w:w="33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r>
      <w:tr>
        <w:tblPrEx>
          <w:tblCellMar>
            <w:top w:w="0" w:type="dxa"/>
            <w:left w:w="108" w:type="dxa"/>
            <w:bottom w:w="0" w:type="dxa"/>
            <w:right w:w="108" w:type="dxa"/>
          </w:tblCellMar>
        </w:tblPrEx>
        <w:trPr>
          <w:trHeight w:val="300" w:hRule="atLeast"/>
        </w:trPr>
        <w:tc>
          <w:tcPr>
            <w:tcW w:w="281" w:type="pc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65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H3C AP</w:t>
            </w:r>
          </w:p>
        </w:tc>
        <w:tc>
          <w:tcPr>
            <w:tcW w:w="1435"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EWP-WA6320-FIT</w:t>
            </w:r>
          </w:p>
        </w:tc>
        <w:tc>
          <w:tcPr>
            <w:tcW w:w="229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H3C WA6320 内置天线双频四流802.11ax/ac/n无线接入点-FIT</w:t>
            </w:r>
          </w:p>
        </w:tc>
        <w:tc>
          <w:tcPr>
            <w:tcW w:w="33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50</w:t>
            </w:r>
          </w:p>
        </w:tc>
      </w:tr>
    </w:tbl>
    <w:p>
      <w:pPr>
        <w:widowControl/>
        <w:spacing w:line="360" w:lineRule="auto"/>
        <w:jc w:val="left"/>
        <w:rPr>
          <w:rFonts w:hint="default" w:ascii="Times New Roman" w:hAnsi="Times New Roman" w:eastAsia="仿宋_GB2312" w:cs="Times New Roman"/>
          <w:kern w:val="0"/>
          <w:sz w:val="24"/>
          <w:szCs w:val="24"/>
        </w:rPr>
      </w:pPr>
    </w:p>
    <w:p>
      <w:pPr>
        <w:widowControl/>
        <w:spacing w:line="360" w:lineRule="auto"/>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w:t>
      </w:r>
      <w:r>
        <w:rPr>
          <w:rFonts w:hint="default" w:ascii="Times New Roman" w:hAnsi="Times New Roman" w:eastAsia="仿宋_GB2312" w:cs="Times New Roman"/>
          <w:kern w:val="0"/>
          <w:sz w:val="24"/>
          <w:szCs w:val="24"/>
        </w:rPr>
        <w:t>16号楼（除18、19层）相关设备及软件：</w:t>
      </w:r>
    </w:p>
    <w:tbl>
      <w:tblPr>
        <w:tblStyle w:val="5"/>
        <w:tblW w:w="4998" w:type="pct"/>
        <w:tblInd w:w="0" w:type="dxa"/>
        <w:tblLayout w:type="autofit"/>
        <w:tblCellMar>
          <w:top w:w="0" w:type="dxa"/>
          <w:left w:w="108" w:type="dxa"/>
          <w:bottom w:w="0" w:type="dxa"/>
          <w:right w:w="108" w:type="dxa"/>
        </w:tblCellMar>
      </w:tblPr>
      <w:tblGrid>
        <w:gridCol w:w="696"/>
        <w:gridCol w:w="2136"/>
        <w:gridCol w:w="696"/>
        <w:gridCol w:w="4991"/>
      </w:tblGrid>
      <w:tr>
        <w:tblPrEx>
          <w:tblCellMar>
            <w:top w:w="0" w:type="dxa"/>
            <w:left w:w="108" w:type="dxa"/>
            <w:bottom w:w="0" w:type="dxa"/>
            <w:right w:w="108" w:type="dxa"/>
          </w:tblCellMar>
        </w:tblPrEx>
        <w:trPr>
          <w:trHeight w:val="380" w:hRule="atLeast"/>
        </w:trPr>
        <w:tc>
          <w:tcPr>
            <w:tcW w:w="342"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序号</w:t>
            </w:r>
          </w:p>
        </w:tc>
        <w:tc>
          <w:tcPr>
            <w:tcW w:w="1173"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设备名称</w:t>
            </w:r>
          </w:p>
        </w:tc>
        <w:tc>
          <w:tcPr>
            <w:tcW w:w="447"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数量</w:t>
            </w:r>
          </w:p>
        </w:tc>
        <w:tc>
          <w:tcPr>
            <w:tcW w:w="3036"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备注</w:t>
            </w:r>
          </w:p>
        </w:tc>
      </w:tr>
      <w:tr>
        <w:tblPrEx>
          <w:tblCellMar>
            <w:top w:w="0" w:type="dxa"/>
            <w:left w:w="108" w:type="dxa"/>
            <w:bottom w:w="0" w:type="dxa"/>
            <w:right w:w="108" w:type="dxa"/>
          </w:tblCellMar>
        </w:tblPrEx>
        <w:trPr>
          <w:trHeight w:val="44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1</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负载均衡</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1</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使用NS-SecPath L1050负载均衡设备</w:t>
            </w:r>
          </w:p>
        </w:tc>
      </w:tr>
      <w:tr>
        <w:tblPrEx>
          <w:tblCellMar>
            <w:top w:w="0" w:type="dxa"/>
            <w:left w:w="108" w:type="dxa"/>
            <w:bottom w:w="0" w:type="dxa"/>
            <w:right w:w="108" w:type="dxa"/>
          </w:tblCellMar>
        </w:tblPrEx>
        <w:trPr>
          <w:trHeight w:val="55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2</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无线控制</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1</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使用H3C WX5540X无线控制器</w:t>
            </w:r>
          </w:p>
        </w:tc>
      </w:tr>
      <w:tr>
        <w:tblPrEx>
          <w:tblCellMar>
            <w:top w:w="0" w:type="dxa"/>
            <w:left w:w="108" w:type="dxa"/>
            <w:bottom w:w="0" w:type="dxa"/>
            <w:right w:w="108" w:type="dxa"/>
          </w:tblCellMar>
        </w:tblPrEx>
        <w:trPr>
          <w:trHeight w:val="48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3</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无线AP</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266</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使用H3C WA6520 内置天线双频四流802.11ax/ac/n无线接入点-FIT</w:t>
            </w:r>
          </w:p>
        </w:tc>
      </w:tr>
      <w:tr>
        <w:tblPrEx>
          <w:tblCellMar>
            <w:top w:w="0" w:type="dxa"/>
            <w:left w:w="108" w:type="dxa"/>
            <w:bottom w:w="0" w:type="dxa"/>
            <w:right w:w="108" w:type="dxa"/>
          </w:tblCellMar>
        </w:tblPrEx>
        <w:trPr>
          <w:trHeight w:val="56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4</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核心交换</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1</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使用H3C S7503E-M以太网交换机主机</w:t>
            </w:r>
          </w:p>
        </w:tc>
      </w:tr>
      <w:tr>
        <w:tblPrEx>
          <w:tblCellMar>
            <w:top w:w="0" w:type="dxa"/>
            <w:left w:w="108" w:type="dxa"/>
            <w:bottom w:w="0" w:type="dxa"/>
            <w:right w:w="108" w:type="dxa"/>
          </w:tblCellMar>
        </w:tblPrEx>
        <w:trPr>
          <w:trHeight w:val="56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5</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防火墙</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1</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使用H3C SecPath F1000-AI-70 防火墙设备</w:t>
            </w:r>
          </w:p>
        </w:tc>
      </w:tr>
      <w:tr>
        <w:tblPrEx>
          <w:tblCellMar>
            <w:top w:w="0" w:type="dxa"/>
            <w:left w:w="108" w:type="dxa"/>
            <w:bottom w:w="0" w:type="dxa"/>
            <w:right w:w="108" w:type="dxa"/>
          </w:tblCellMar>
        </w:tblPrEx>
        <w:trPr>
          <w:trHeight w:val="84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6</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上网行为管理</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1</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使用H3C SecPath ACG1000-EE应用控制网关</w:t>
            </w:r>
          </w:p>
        </w:tc>
      </w:tr>
      <w:tr>
        <w:tblPrEx>
          <w:tblCellMar>
            <w:top w:w="0" w:type="dxa"/>
            <w:left w:w="108" w:type="dxa"/>
            <w:bottom w:w="0" w:type="dxa"/>
            <w:right w:w="108" w:type="dxa"/>
          </w:tblCellMar>
        </w:tblPrEx>
        <w:trPr>
          <w:trHeight w:val="56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7</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汇聚交换</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2</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使用H3C S5560X-30F-EI L3以太网交换机主机</w:t>
            </w:r>
          </w:p>
        </w:tc>
      </w:tr>
      <w:tr>
        <w:tblPrEx>
          <w:tblCellMar>
            <w:top w:w="0" w:type="dxa"/>
            <w:left w:w="108" w:type="dxa"/>
            <w:bottom w:w="0" w:type="dxa"/>
            <w:right w:w="108" w:type="dxa"/>
          </w:tblCellMar>
        </w:tblPrEx>
        <w:trPr>
          <w:trHeight w:val="168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8</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POE交换机</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kern w:val="0"/>
                <w:sz w:val="24"/>
                <w:szCs w:val="24"/>
                <w:lang w:val="en-US" w:eastAsia="zh-CN" w:bidi="ar"/>
              </w:rPr>
              <w:t>19</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使用H3C S5130S-28S-HPWR-EI L2以太网交换机主机,支持24个10/100/1000BASE-T PoE+电口(AC 370W,DC 740W),4个100/1000BASE-X SFP Combo口,4个1G/10G BASE-X SFP+端口,支持AC/DC</w:t>
            </w:r>
          </w:p>
        </w:tc>
      </w:tr>
      <w:tr>
        <w:tblPrEx>
          <w:tblCellMar>
            <w:top w:w="0" w:type="dxa"/>
            <w:left w:w="108" w:type="dxa"/>
            <w:bottom w:w="0" w:type="dxa"/>
            <w:right w:w="108" w:type="dxa"/>
          </w:tblCellMar>
        </w:tblPrEx>
        <w:trPr>
          <w:trHeight w:val="60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9</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网管服务器</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1</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使用H3C UniServer R4900 G3 8SFF CTO服务器</w:t>
            </w:r>
          </w:p>
        </w:tc>
      </w:tr>
      <w:tr>
        <w:tblPrEx>
          <w:tblCellMar>
            <w:top w:w="0" w:type="dxa"/>
            <w:left w:w="108" w:type="dxa"/>
            <w:bottom w:w="0" w:type="dxa"/>
            <w:right w:w="108" w:type="dxa"/>
          </w:tblCellMar>
        </w:tblPrEx>
        <w:trPr>
          <w:trHeight w:val="56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10</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光模块1</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14</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使用SFP+ 万兆模块(1310nm,10km,LC)</w:t>
            </w:r>
          </w:p>
        </w:tc>
      </w:tr>
      <w:tr>
        <w:tblPrEx>
          <w:tblCellMar>
            <w:top w:w="0" w:type="dxa"/>
            <w:left w:w="108" w:type="dxa"/>
            <w:bottom w:w="0" w:type="dxa"/>
            <w:right w:w="108" w:type="dxa"/>
          </w:tblCellMar>
        </w:tblPrEx>
        <w:trPr>
          <w:trHeight w:val="56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11</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光模块2</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61</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使用光模块-SFP-GE-单模模块-(1310nm,10km,LC)</w:t>
            </w:r>
          </w:p>
        </w:tc>
      </w:tr>
      <w:tr>
        <w:tblPrEx>
          <w:tblCellMar>
            <w:top w:w="0" w:type="dxa"/>
            <w:left w:w="108" w:type="dxa"/>
            <w:bottom w:w="0" w:type="dxa"/>
            <w:right w:w="108" w:type="dxa"/>
          </w:tblCellMar>
        </w:tblPrEx>
        <w:trPr>
          <w:trHeight w:val="56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12</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IMC网管服务</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使用H3C iMC-智能管理平台</w:t>
            </w:r>
          </w:p>
        </w:tc>
      </w:tr>
      <w:tr>
        <w:tblPrEx>
          <w:tblCellMar>
            <w:top w:w="0" w:type="dxa"/>
            <w:left w:w="108" w:type="dxa"/>
            <w:bottom w:w="0" w:type="dxa"/>
            <w:right w:w="108" w:type="dxa"/>
          </w:tblCellMar>
        </w:tblPrEx>
        <w:trPr>
          <w:trHeight w:val="56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13</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云企星可视化平台</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可视化平台基础功能；用户及数据权限管理模块；WEB可视化渲染模块；独立设备级可视化许可；网络设备资产管理许可；监控管理许可；演示管理许可</w:t>
            </w:r>
          </w:p>
        </w:tc>
      </w:tr>
    </w:tbl>
    <w:p>
      <w:pPr>
        <w:pStyle w:val="10"/>
        <w:spacing w:line="360" w:lineRule="auto"/>
        <w:rPr>
          <w:rFonts w:hint="default" w:ascii="Times New Roman" w:hAnsi="Times New Roman" w:eastAsia="仿宋_GB2312" w:cs="Times New Roman"/>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480BBF"/>
    <w:multiLevelType w:val="singleLevel"/>
    <w:tmpl w:val="5F480BBF"/>
    <w:lvl w:ilvl="0" w:tentative="0">
      <w:start w:val="1"/>
      <w:numFmt w:val="chineseCounting"/>
      <w:suff w:val="nothing"/>
      <w:lvlText w:val="%1、"/>
      <w:lvlJc w:val="left"/>
      <w:rPr>
        <w:rFonts w:hint="eastAsia"/>
      </w:rPr>
    </w:lvl>
  </w:abstractNum>
  <w:abstractNum w:abstractNumId="1">
    <w:nsid w:val="67162E93"/>
    <w:multiLevelType w:val="singleLevel"/>
    <w:tmpl w:val="67162E93"/>
    <w:lvl w:ilvl="0" w:tentative="0">
      <w:start w:val="1"/>
      <w:numFmt w:val="chineseCounting"/>
      <w:pStyle w:val="8"/>
      <w:suff w:val="space"/>
      <w:lvlText w:val="第%1章"/>
      <w:lvlJc w:val="left"/>
      <w:pPr>
        <w:ind w:left="3640" w:firstLine="0"/>
      </w:pPr>
      <w:rPr>
        <w:rFonts w:hint="eastAsia" w:ascii="宋体" w:hAnsi="宋体" w:eastAsia="宋体" w:cs="宋体"/>
        <w:sz w:val="28"/>
        <w:szCs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3C24"/>
    <w:rsid w:val="01B47A59"/>
    <w:rsid w:val="02204B8A"/>
    <w:rsid w:val="02246E13"/>
    <w:rsid w:val="022F2C26"/>
    <w:rsid w:val="02466FC8"/>
    <w:rsid w:val="038B765F"/>
    <w:rsid w:val="03D960F0"/>
    <w:rsid w:val="04452310"/>
    <w:rsid w:val="049F5EA2"/>
    <w:rsid w:val="05102CDE"/>
    <w:rsid w:val="05133C63"/>
    <w:rsid w:val="051538E2"/>
    <w:rsid w:val="05700779"/>
    <w:rsid w:val="05EF6AC9"/>
    <w:rsid w:val="06646A88"/>
    <w:rsid w:val="074E358D"/>
    <w:rsid w:val="0750320D"/>
    <w:rsid w:val="07B0452B"/>
    <w:rsid w:val="081467CE"/>
    <w:rsid w:val="091F7F85"/>
    <w:rsid w:val="09735491"/>
    <w:rsid w:val="097B289D"/>
    <w:rsid w:val="0A141797"/>
    <w:rsid w:val="0A3A19D7"/>
    <w:rsid w:val="0AA12680"/>
    <w:rsid w:val="0BCF786E"/>
    <w:rsid w:val="0C811890"/>
    <w:rsid w:val="0C853B1A"/>
    <w:rsid w:val="0CE90CEF"/>
    <w:rsid w:val="0D6D0214"/>
    <w:rsid w:val="0DC17C9E"/>
    <w:rsid w:val="0DF43970"/>
    <w:rsid w:val="0E7819CB"/>
    <w:rsid w:val="0FAA55C0"/>
    <w:rsid w:val="0FB726D8"/>
    <w:rsid w:val="100B4360"/>
    <w:rsid w:val="106172ED"/>
    <w:rsid w:val="113D59D7"/>
    <w:rsid w:val="11C56BB4"/>
    <w:rsid w:val="11E51668"/>
    <w:rsid w:val="12450788"/>
    <w:rsid w:val="1277445A"/>
    <w:rsid w:val="127D4165"/>
    <w:rsid w:val="12930507"/>
    <w:rsid w:val="13A74B4C"/>
    <w:rsid w:val="13B93B6C"/>
    <w:rsid w:val="13D42198"/>
    <w:rsid w:val="13D77899"/>
    <w:rsid w:val="143321B1"/>
    <w:rsid w:val="14A04D63"/>
    <w:rsid w:val="14B67DF3"/>
    <w:rsid w:val="15FD2AA2"/>
    <w:rsid w:val="167304E2"/>
    <w:rsid w:val="167B1172"/>
    <w:rsid w:val="186C3B20"/>
    <w:rsid w:val="18CB193B"/>
    <w:rsid w:val="18D05DC3"/>
    <w:rsid w:val="195F7C30"/>
    <w:rsid w:val="19C9185E"/>
    <w:rsid w:val="19FC5530"/>
    <w:rsid w:val="1DAC27BE"/>
    <w:rsid w:val="1F690195"/>
    <w:rsid w:val="1FAB7D05"/>
    <w:rsid w:val="20612264"/>
    <w:rsid w:val="206261AF"/>
    <w:rsid w:val="208B4DF4"/>
    <w:rsid w:val="209A6308"/>
    <w:rsid w:val="209F6013"/>
    <w:rsid w:val="20DC5E78"/>
    <w:rsid w:val="21112ACF"/>
    <w:rsid w:val="21330A85"/>
    <w:rsid w:val="21993CAD"/>
    <w:rsid w:val="21A37E40"/>
    <w:rsid w:val="22FA03F1"/>
    <w:rsid w:val="2347578D"/>
    <w:rsid w:val="235E0116"/>
    <w:rsid w:val="23665522"/>
    <w:rsid w:val="24233357"/>
    <w:rsid w:val="24C97368"/>
    <w:rsid w:val="24CD5D6E"/>
    <w:rsid w:val="25194B68"/>
    <w:rsid w:val="25231339"/>
    <w:rsid w:val="258E5E2C"/>
    <w:rsid w:val="25BC3478"/>
    <w:rsid w:val="25CA5835"/>
    <w:rsid w:val="2695383D"/>
    <w:rsid w:val="271A5565"/>
    <w:rsid w:val="27370766"/>
    <w:rsid w:val="279A2A09"/>
    <w:rsid w:val="27DF65F5"/>
    <w:rsid w:val="282370EA"/>
    <w:rsid w:val="282B44F6"/>
    <w:rsid w:val="292B4099"/>
    <w:rsid w:val="296C2904"/>
    <w:rsid w:val="2AD134D0"/>
    <w:rsid w:val="2B28065B"/>
    <w:rsid w:val="2B30567A"/>
    <w:rsid w:val="2B575927"/>
    <w:rsid w:val="2B866477"/>
    <w:rsid w:val="2B870EEE"/>
    <w:rsid w:val="2C864D5D"/>
    <w:rsid w:val="2CE03230"/>
    <w:rsid w:val="2CE77338"/>
    <w:rsid w:val="2F627A4C"/>
    <w:rsid w:val="2F8C0890"/>
    <w:rsid w:val="2FB51A54"/>
    <w:rsid w:val="2FC51CEF"/>
    <w:rsid w:val="2FEC412C"/>
    <w:rsid w:val="2FFA4747"/>
    <w:rsid w:val="305118D2"/>
    <w:rsid w:val="30586CDF"/>
    <w:rsid w:val="30E61DC6"/>
    <w:rsid w:val="312D5DBE"/>
    <w:rsid w:val="315A7B86"/>
    <w:rsid w:val="319C18F5"/>
    <w:rsid w:val="31B23A98"/>
    <w:rsid w:val="31C64CB7"/>
    <w:rsid w:val="32296F5A"/>
    <w:rsid w:val="32CB6763"/>
    <w:rsid w:val="332500F7"/>
    <w:rsid w:val="333D1021"/>
    <w:rsid w:val="34351F6D"/>
    <w:rsid w:val="347C06A8"/>
    <w:rsid w:val="34FE797D"/>
    <w:rsid w:val="351B4D2E"/>
    <w:rsid w:val="365D4441"/>
    <w:rsid w:val="36E2469A"/>
    <w:rsid w:val="37266088"/>
    <w:rsid w:val="38AC7189"/>
    <w:rsid w:val="38D11947"/>
    <w:rsid w:val="39B131B3"/>
    <w:rsid w:val="3A2669F5"/>
    <w:rsid w:val="3A4B33B2"/>
    <w:rsid w:val="3A864490"/>
    <w:rsid w:val="3B5F79F7"/>
    <w:rsid w:val="3B8D2AC4"/>
    <w:rsid w:val="3BF014E4"/>
    <w:rsid w:val="3CD043D5"/>
    <w:rsid w:val="3CE43076"/>
    <w:rsid w:val="3D440B11"/>
    <w:rsid w:val="3E5A1F38"/>
    <w:rsid w:val="3EC76A8F"/>
    <w:rsid w:val="3F28582E"/>
    <w:rsid w:val="3F875848"/>
    <w:rsid w:val="3FC60BB0"/>
    <w:rsid w:val="408966EF"/>
    <w:rsid w:val="408F607A"/>
    <w:rsid w:val="414F2C35"/>
    <w:rsid w:val="427B4921"/>
    <w:rsid w:val="43A24383"/>
    <w:rsid w:val="43CC7746"/>
    <w:rsid w:val="44410A09"/>
    <w:rsid w:val="4442648B"/>
    <w:rsid w:val="44551C28"/>
    <w:rsid w:val="44AF103D"/>
    <w:rsid w:val="454A1600"/>
    <w:rsid w:val="457C4F0E"/>
    <w:rsid w:val="45A2514E"/>
    <w:rsid w:val="46513FED"/>
    <w:rsid w:val="467B15AE"/>
    <w:rsid w:val="49670CFC"/>
    <w:rsid w:val="49B04973"/>
    <w:rsid w:val="49E8254F"/>
    <w:rsid w:val="4A5144FD"/>
    <w:rsid w:val="4AC15AB5"/>
    <w:rsid w:val="4B105834"/>
    <w:rsid w:val="4B7B4EE4"/>
    <w:rsid w:val="4B897A7D"/>
    <w:rsid w:val="4BFB4538"/>
    <w:rsid w:val="4C0B4865"/>
    <w:rsid w:val="4C480DB4"/>
    <w:rsid w:val="4CB33CE7"/>
    <w:rsid w:val="4CB613E8"/>
    <w:rsid w:val="4CCF7D94"/>
    <w:rsid w:val="4CD20D18"/>
    <w:rsid w:val="4CE0002E"/>
    <w:rsid w:val="4DC0189A"/>
    <w:rsid w:val="4DC20621"/>
    <w:rsid w:val="4E431E74"/>
    <w:rsid w:val="4F354C7F"/>
    <w:rsid w:val="4FB61D55"/>
    <w:rsid w:val="50CC1C98"/>
    <w:rsid w:val="50D137A7"/>
    <w:rsid w:val="51276734"/>
    <w:rsid w:val="51E67A6C"/>
    <w:rsid w:val="521066B1"/>
    <w:rsid w:val="524F1A19"/>
    <w:rsid w:val="526D6A4B"/>
    <w:rsid w:val="52B626C2"/>
    <w:rsid w:val="52C9005E"/>
    <w:rsid w:val="533E38A0"/>
    <w:rsid w:val="54D526BD"/>
    <w:rsid w:val="55160F28"/>
    <w:rsid w:val="552E07CD"/>
    <w:rsid w:val="55432CF1"/>
    <w:rsid w:val="5646709B"/>
    <w:rsid w:val="566540CD"/>
    <w:rsid w:val="56CC14F3"/>
    <w:rsid w:val="576461EE"/>
    <w:rsid w:val="57D65228"/>
    <w:rsid w:val="5921524A"/>
    <w:rsid w:val="59332F66"/>
    <w:rsid w:val="5B5C12F2"/>
    <w:rsid w:val="5B9A3355"/>
    <w:rsid w:val="5E79378D"/>
    <w:rsid w:val="5EEB49C6"/>
    <w:rsid w:val="5FF87482"/>
    <w:rsid w:val="602437C9"/>
    <w:rsid w:val="60837066"/>
    <w:rsid w:val="60E73CEC"/>
    <w:rsid w:val="61335B85"/>
    <w:rsid w:val="6160574F"/>
    <w:rsid w:val="61FF1DD5"/>
    <w:rsid w:val="620E0D6B"/>
    <w:rsid w:val="6264757B"/>
    <w:rsid w:val="63244136"/>
    <w:rsid w:val="63375355"/>
    <w:rsid w:val="63EF1280"/>
    <w:rsid w:val="64596731"/>
    <w:rsid w:val="647C2169"/>
    <w:rsid w:val="64A50DAF"/>
    <w:rsid w:val="64DA7F84"/>
    <w:rsid w:val="64DE698B"/>
    <w:rsid w:val="650258C5"/>
    <w:rsid w:val="663414BA"/>
    <w:rsid w:val="663D1DCA"/>
    <w:rsid w:val="66670A10"/>
    <w:rsid w:val="666A1995"/>
    <w:rsid w:val="66C40DA9"/>
    <w:rsid w:val="6709601B"/>
    <w:rsid w:val="67945BFF"/>
    <w:rsid w:val="67C87352"/>
    <w:rsid w:val="68EC3C32"/>
    <w:rsid w:val="692C1198"/>
    <w:rsid w:val="69821BA7"/>
    <w:rsid w:val="698A2836"/>
    <w:rsid w:val="69F67967"/>
    <w:rsid w:val="6A483EEE"/>
    <w:rsid w:val="6B8A7D7E"/>
    <w:rsid w:val="6B8F6404"/>
    <w:rsid w:val="6CF959D6"/>
    <w:rsid w:val="6E2476C2"/>
    <w:rsid w:val="6E393369"/>
    <w:rsid w:val="6E5C781B"/>
    <w:rsid w:val="6EBF1ABE"/>
    <w:rsid w:val="6FBF7463"/>
    <w:rsid w:val="70244C09"/>
    <w:rsid w:val="70ED20D3"/>
    <w:rsid w:val="71527879"/>
    <w:rsid w:val="715B2707"/>
    <w:rsid w:val="718A3256"/>
    <w:rsid w:val="71A208FD"/>
    <w:rsid w:val="724D0D96"/>
    <w:rsid w:val="72B2653C"/>
    <w:rsid w:val="72F4323C"/>
    <w:rsid w:val="730275C0"/>
    <w:rsid w:val="731D5BEB"/>
    <w:rsid w:val="73C550FF"/>
    <w:rsid w:val="74846437"/>
    <w:rsid w:val="748E6D46"/>
    <w:rsid w:val="751F6635"/>
    <w:rsid w:val="757415C3"/>
    <w:rsid w:val="75CC7A53"/>
    <w:rsid w:val="762F1CF6"/>
    <w:rsid w:val="772B5411"/>
    <w:rsid w:val="776F59C7"/>
    <w:rsid w:val="77751592"/>
    <w:rsid w:val="77B34070"/>
    <w:rsid w:val="77F50A70"/>
    <w:rsid w:val="78260B2C"/>
    <w:rsid w:val="78646412"/>
    <w:rsid w:val="796F7BC9"/>
    <w:rsid w:val="79B54ABA"/>
    <w:rsid w:val="79E65289"/>
    <w:rsid w:val="7A8A5D97"/>
    <w:rsid w:val="7AED003A"/>
    <w:rsid w:val="7B29461C"/>
    <w:rsid w:val="7B533262"/>
    <w:rsid w:val="7B690C89"/>
    <w:rsid w:val="7B6A2E87"/>
    <w:rsid w:val="7B7C1EA8"/>
    <w:rsid w:val="7BC94525"/>
    <w:rsid w:val="7BEB7F5D"/>
    <w:rsid w:val="7C291FC0"/>
    <w:rsid w:val="7CF11A09"/>
    <w:rsid w:val="7D5052A6"/>
    <w:rsid w:val="7E0B5C5C"/>
    <w:rsid w:val="7E4313B6"/>
    <w:rsid w:val="7EE5313E"/>
    <w:rsid w:val="7EF014CF"/>
    <w:rsid w:val="7F754FAB"/>
    <w:rsid w:val="7FDB01D3"/>
    <w:rsid w:val="7FDD7E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adjustRightInd w:val="0"/>
      <w:spacing w:line="360" w:lineRule="atLeast"/>
      <w:jc w:val="center"/>
      <w:textAlignment w:val="baseline"/>
      <w:outlineLvl w:val="0"/>
    </w:pPr>
    <w:rPr>
      <w:rFonts w:ascii="DFKai-SB" w:hAnsi="DFKai-SB" w:eastAsia="宋体"/>
      <w:b/>
      <w:color w:val="000000"/>
      <w:kern w:val="0"/>
      <w:sz w:val="28"/>
      <w:lang w:eastAsia="zh-TW"/>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styleId="7">
    <w:name w:val="Strong"/>
    <w:basedOn w:val="6"/>
    <w:qFormat/>
    <w:uiPriority w:val="0"/>
    <w:rPr>
      <w:b/>
    </w:rPr>
  </w:style>
  <w:style w:type="paragraph" w:customStyle="1" w:styleId="8">
    <w:name w:val="样式5"/>
    <w:basedOn w:val="1"/>
    <w:next w:val="1"/>
    <w:qFormat/>
    <w:uiPriority w:val="0"/>
    <w:pPr>
      <w:keepNext/>
      <w:numPr>
        <w:ilvl w:val="0"/>
        <w:numId w:val="1"/>
      </w:numPr>
      <w:adjustRightInd w:val="0"/>
      <w:spacing w:line="360" w:lineRule="atLeast"/>
      <w:ind w:left="3640"/>
      <w:jc w:val="both"/>
      <w:textAlignment w:val="baseline"/>
      <w:outlineLvl w:val="0"/>
    </w:pPr>
    <w:rPr>
      <w:rFonts w:hint="eastAsia" w:ascii="DFKai-SB" w:hAnsi="DFKai-SB" w:eastAsia="宋体"/>
      <w:b/>
      <w:color w:val="000000"/>
      <w:kern w:val="0"/>
      <w:sz w:val="28"/>
      <w:lang w:eastAsia="zh-CN"/>
    </w:rPr>
  </w:style>
  <w:style w:type="paragraph" w:customStyle="1" w:styleId="9">
    <w:name w:val="样式7"/>
    <w:basedOn w:val="1"/>
    <w:next w:val="1"/>
    <w:qFormat/>
    <w:uiPriority w:val="0"/>
    <w:pPr>
      <w:keepNext/>
      <w:spacing w:line="720" w:lineRule="auto"/>
      <w:outlineLvl w:val="1"/>
    </w:pPr>
    <w:rPr>
      <w:rFonts w:hint="eastAsia" w:ascii="Arial" w:hAnsi="Arial"/>
      <w:b/>
      <w:bCs/>
      <w:sz w:val="28"/>
      <w:szCs w:val="48"/>
      <w:lang w:eastAsia="zh-CN"/>
    </w:rPr>
  </w:style>
  <w:style w:type="paragraph" w:customStyle="1" w:styleId="10">
    <w:name w:val="正文+缩进"/>
    <w:basedOn w:val="1"/>
    <w:qFormat/>
    <w:uiPriority w:val="0"/>
    <w:pPr>
      <w:snapToGrid/>
      <w:spacing w:line="360" w:lineRule="atLeast"/>
      <w:jc w:val="left"/>
      <w:textAlignment w:val="baseline"/>
    </w:pPr>
    <w:rPr>
      <w:rFonts w:ascii="Calibri" w:hAnsi="Calibri" w:cs="Calibr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小川</cp:lastModifiedBy>
  <dcterms:modified xsi:type="dcterms:W3CDTF">2025-12-25T07:38:53Z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9A4A8BD3A045473095C56BC1B2A719FD</vt:lpwstr>
  </property>
</Properties>
</file>