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工程名称：一期直线加速器机房消防改造工程</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default" w:ascii="幼圆" w:hAnsi="幼圆" w:eastAsia="幼圆" w:cs="幼圆"/>
          <w:b w:val="0"/>
          <w:bCs w:val="0"/>
          <w:sz w:val="24"/>
          <w:lang w:val="en-US" w:eastAsia="zh-CN"/>
        </w:rPr>
      </w:pPr>
      <w:r>
        <w:rPr>
          <w:rFonts w:hint="eastAsia" w:ascii="幼圆" w:hAnsi="幼圆" w:eastAsia="幼圆" w:cs="幼圆"/>
          <w:b w:val="0"/>
          <w:bCs w:val="0"/>
          <w:sz w:val="24"/>
          <w:lang w:val="en-US" w:eastAsia="zh-CN"/>
        </w:rPr>
        <w:t>详见工程量清单及图纸</w:t>
      </w:r>
      <w:r>
        <w:rPr>
          <w:rFonts w:hint="default" w:ascii="幼圆" w:hAnsi="幼圆" w:eastAsia="幼圆" w:cs="幼圆"/>
          <w:b w:val="0"/>
          <w:bCs w:val="0"/>
          <w:sz w:val="24"/>
          <w:lang w:val="en-US" w:eastAsia="zh-CN"/>
        </w:rPr>
        <w:t>。</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2、具有消防设施工程专业承包二级及以上资质；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4、具有合格有效的安全生产许可证；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5、投标人在近三年内（2023年1月-至今）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15天（合同签订及现场具备施工条件后15日内）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bookmarkStart w:id="1" w:name="_GoBack"/>
      <w:bookmarkEnd w:id="1"/>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pStyle w:val="167"/>
        <w:spacing w:line="360" w:lineRule="auto"/>
        <w:ind w:firstLine="0" w:firstLineChars="0"/>
        <w:rPr>
          <w:rFonts w:hint="eastAsia" w:ascii="幼圆" w:hAnsi="幼圆" w:eastAsia="幼圆" w:cs="幼圆"/>
          <w:b/>
          <w:bCs/>
          <w:sz w:val="24"/>
          <w:szCs w:val="24"/>
        </w:rPr>
      </w:pPr>
      <w:r>
        <w:rPr>
          <w:rFonts w:hint="eastAsia" w:ascii="幼圆" w:hAnsi="幼圆" w:eastAsia="幼圆" w:cs="幼圆"/>
          <w:b/>
          <w:bCs/>
          <w:sz w:val="24"/>
          <w:szCs w:val="24"/>
        </w:rPr>
        <w:t>国内目前可以直接引用其索引号的主要施工验收规范（包括但不限于）</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1.《建筑设计防火规范》GB50016-2014（2018年版）</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2.《消防设施通用规范》GB55036-2022</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3.《建筑防火通用规范》GB55037-2022</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4.《火灾自动报警系统设计规范》GB50116-2013</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5. 《火灾自动报警系统施工及验收标准》GB50166-2019</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6.《自动喷水灭火系统设计规范》GB50084-2017</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7.《自动喷水灭火系统施工及验收规范》GB50261-2017</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8.《消防给水及消火栓系统技术规范》GB50974-2014</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 xml:space="preserve">9.《建筑防烟排烟系统技术标准》GB51251-2017 </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10.《消防应急照明和疏散指示系统技术标准》GB51309-2018</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本工程应执行以上标准规范但并不仅限于此。以上标准所包含的条文，通过在本招标文件中引用而构成技术规范的条文如上述标准过期，各供应商应主动按照相应的最新标准执行。</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施工前承包人应和发包人签订安全协议。</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八、招标具体内容说明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详见图纸及工程量清单。</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numPr>
          <w:ilvl w:val="0"/>
          <w:numId w:val="8"/>
        </w:num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相关要求</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1</w:t>
      </w:r>
      <w:r>
        <w:rPr>
          <w:rFonts w:hint="default" w:ascii="幼圆" w:hAnsi="幼圆" w:eastAsia="幼圆" w:cs="幼圆"/>
          <w:sz w:val="24"/>
          <w:szCs w:val="24"/>
          <w:lang w:val="en-US" w:eastAsia="zh-CN"/>
        </w:rPr>
        <w:t>、</w:t>
      </w:r>
      <w:r>
        <w:rPr>
          <w:rFonts w:hint="eastAsia" w:ascii="幼圆" w:hAnsi="幼圆" w:eastAsia="幼圆" w:cs="幼圆"/>
          <w:sz w:val="24"/>
          <w:szCs w:val="24"/>
          <w:lang w:val="en-US" w:eastAsia="zh-CN"/>
        </w:rPr>
        <w:t>供应商</w:t>
      </w:r>
      <w:r>
        <w:rPr>
          <w:rFonts w:hint="default" w:ascii="幼圆" w:hAnsi="幼圆" w:eastAsia="幼圆" w:cs="幼圆"/>
          <w:sz w:val="24"/>
          <w:szCs w:val="24"/>
          <w:lang w:val="en-US" w:eastAsia="zh-CN"/>
        </w:rPr>
        <w:t>按照我院工程师要求进行施工作业。</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2</w:t>
      </w:r>
      <w:r>
        <w:rPr>
          <w:rFonts w:hint="default" w:ascii="幼圆" w:hAnsi="幼圆" w:eastAsia="幼圆" w:cs="幼圆"/>
          <w:sz w:val="24"/>
          <w:szCs w:val="24"/>
          <w:lang w:val="en-US" w:eastAsia="zh-CN"/>
        </w:rPr>
        <w:t>、施工作业中依照规程及操作方法进行，不可违章作业。</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3</w:t>
      </w:r>
      <w:r>
        <w:rPr>
          <w:rFonts w:hint="default" w:ascii="幼圆" w:hAnsi="幼圆" w:eastAsia="幼圆" w:cs="幼圆"/>
          <w:sz w:val="24"/>
          <w:szCs w:val="24"/>
          <w:lang w:val="en-US" w:eastAsia="zh-CN"/>
        </w:rPr>
        <w:t>、施工作业人员持有相关的证照，并配合我院工程师检查。</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4</w:t>
      </w:r>
      <w:r>
        <w:rPr>
          <w:rFonts w:hint="default" w:ascii="幼圆" w:hAnsi="幼圆" w:eastAsia="幼圆" w:cs="幼圆"/>
          <w:sz w:val="24"/>
          <w:szCs w:val="24"/>
          <w:lang w:val="en-US" w:eastAsia="zh-CN"/>
        </w:rPr>
        <w:t>、施工作业中，如有因操作不当引起设备损坏，由施工方进行免费更换。</w:t>
      </w:r>
    </w:p>
    <w:p>
      <w:pPr>
        <w:rPr>
          <w:rFonts w:hint="eastAsia" w:ascii="幼圆" w:hAnsi="幼圆" w:eastAsia="幼圆" w:cs="幼圆"/>
          <w:b w:val="0"/>
          <w:bCs w:val="0"/>
          <w:sz w:val="24"/>
          <w:szCs w:val="24"/>
        </w:rPr>
      </w:pPr>
      <w:r>
        <w:rPr>
          <w:rFonts w:hint="eastAsia" w:ascii="幼圆" w:hAnsi="幼圆" w:eastAsia="幼圆" w:cs="幼圆"/>
          <w:b w:val="0"/>
          <w:bCs w:val="0"/>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color w:val="0000FF"/>
          <w:sz w:val="28"/>
          <w:szCs w:val="24"/>
          <w:lang w:val="en-US" w:eastAsia="zh-CN"/>
        </w:rPr>
      </w:pPr>
      <w:bookmarkStart w:id="0" w:name="_Toc195775598"/>
      <w:r>
        <w:rPr>
          <w:rFonts w:hint="eastAsia" w:ascii="幼圆" w:hAnsi="幼圆" w:eastAsia="幼圆" w:cs="幼圆"/>
          <w:b/>
          <w:bCs/>
          <w:sz w:val="28"/>
          <w:szCs w:val="24"/>
          <w:lang w:val="en-US" w:eastAsia="zh-CN"/>
        </w:rPr>
        <w:t>十、评审标准</w:t>
      </w:r>
      <w:bookmarkEnd w:id="0"/>
      <w:r>
        <w:rPr>
          <w:rFonts w:hint="eastAsia" w:ascii="幼圆" w:hAnsi="幼圆" w:eastAsia="幼圆" w:cs="幼圆"/>
          <w:b/>
          <w:bCs/>
          <w:color w:val="0000FF"/>
          <w:sz w:val="28"/>
          <w:szCs w:val="24"/>
          <w:lang w:val="en-US" w:eastAsia="zh-CN"/>
        </w:rPr>
        <w:t>（采用综合评分法）</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2"/>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2"/>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lang w:val="en-US" w:eastAsia="zh-CN"/>
              </w:rPr>
            </w:pPr>
            <w:r>
              <w:rPr>
                <w:rFonts w:hint="eastAsia" w:ascii="幼圆" w:hAnsi="幼圆" w:eastAsia="幼圆" w:cs="幼圆"/>
                <w:sz w:val="24"/>
                <w:szCs w:val="20"/>
              </w:rPr>
              <w:t>供应商近3年（202</w:t>
            </w:r>
            <w:r>
              <w:rPr>
                <w:rFonts w:hint="eastAsia" w:ascii="幼圆" w:hAnsi="幼圆" w:eastAsia="幼圆" w:cs="幼圆"/>
                <w:sz w:val="24"/>
                <w:szCs w:val="20"/>
                <w:lang w:val="en-US" w:eastAsia="zh-CN"/>
              </w:rPr>
              <w:t>3</w:t>
            </w:r>
            <w:r>
              <w:rPr>
                <w:rFonts w:hint="eastAsia" w:ascii="幼圆" w:hAnsi="幼圆" w:eastAsia="幼圆" w:cs="幼圆"/>
                <w:sz w:val="24"/>
                <w:szCs w:val="20"/>
              </w:rPr>
              <w:t>年</w:t>
            </w:r>
            <w:r>
              <w:rPr>
                <w:rFonts w:hint="eastAsia" w:ascii="幼圆" w:hAnsi="幼圆" w:eastAsia="幼圆" w:cs="幼圆"/>
                <w:sz w:val="24"/>
                <w:szCs w:val="20"/>
                <w:lang w:val="en-US" w:eastAsia="zh-CN"/>
              </w:rPr>
              <w:t>1</w:t>
            </w:r>
            <w:r>
              <w:rPr>
                <w:rFonts w:hint="eastAsia" w:ascii="幼圆" w:hAnsi="幼圆" w:eastAsia="幼圆" w:cs="幼圆"/>
                <w:sz w:val="24"/>
                <w:szCs w:val="20"/>
              </w:rPr>
              <w:t>月-至今</w:t>
            </w:r>
            <w:r>
              <w:rPr>
                <w:rFonts w:hint="eastAsia" w:ascii="幼圆" w:hAnsi="幼圆" w:eastAsia="幼圆" w:cs="幼圆"/>
                <w:sz w:val="24"/>
                <w:szCs w:val="20"/>
                <w:lang w:eastAsia="zh-CN"/>
              </w:rPr>
              <w:t>，以合同签订时间为准</w:t>
            </w:r>
            <w:r>
              <w:rPr>
                <w:rFonts w:hint="eastAsia" w:ascii="幼圆" w:hAnsi="幼圆" w:eastAsia="幼圆" w:cs="幼圆"/>
                <w:sz w:val="24"/>
                <w:szCs w:val="20"/>
              </w:rPr>
              <w:t>）每有1项已完工的类似项目业绩得5分，最多得15分。</w:t>
            </w:r>
            <w:r>
              <w:rPr>
                <w:rFonts w:hint="eastAsia" w:ascii="幼圆" w:hAnsi="幼圆" w:eastAsia="幼圆" w:cs="幼圆"/>
                <w:sz w:val="24"/>
                <w:szCs w:val="20"/>
                <w:lang w:val="en-US" w:eastAsia="zh-CN"/>
              </w:rPr>
              <w:t>{</w:t>
            </w:r>
            <w:r>
              <w:rPr>
                <w:rFonts w:hint="eastAsia" w:ascii="幼圆" w:hAnsi="幼圆" w:eastAsia="幼圆" w:cs="幼圆"/>
                <w:sz w:val="24"/>
                <w:szCs w:val="20"/>
              </w:rPr>
              <w:t>需提供合同复印件（包含合同首页、合同主要内容页及签字盖章页）并加盖供应商公章</w:t>
            </w:r>
            <w:r>
              <w:rPr>
                <w:rFonts w:hint="eastAsia" w:ascii="幼圆" w:hAnsi="幼圆" w:eastAsia="幼圆" w:cs="幼圆"/>
                <w:sz w:val="24"/>
                <w:szCs w:val="20"/>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351"/>
        <w:gridCol w:w="654"/>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pStyle w:val="167"/>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abstractNum w:abstractNumId="7">
    <w:nsid w:val="66B00039"/>
    <w:multiLevelType w:val="singleLevel"/>
    <w:tmpl w:val="66B00039"/>
    <w:lvl w:ilvl="0" w:tentative="0">
      <w:start w:val="10"/>
      <w:numFmt w:val="chineseCounting"/>
      <w:suff w:val="nothing"/>
      <w:lvlText w:val="%1、"/>
      <w:lvlJc w:val="left"/>
      <w:rPr>
        <w:rFonts w:hint="eastAsia"/>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B922DB"/>
    <w:rsid w:val="08CA0C86"/>
    <w:rsid w:val="0ADE0A96"/>
    <w:rsid w:val="0B9760F9"/>
    <w:rsid w:val="113329E6"/>
    <w:rsid w:val="117F262B"/>
    <w:rsid w:val="12A90D4E"/>
    <w:rsid w:val="12C56763"/>
    <w:rsid w:val="15F90244"/>
    <w:rsid w:val="18641A8B"/>
    <w:rsid w:val="1990077F"/>
    <w:rsid w:val="1BE71C78"/>
    <w:rsid w:val="1D3E6E80"/>
    <w:rsid w:val="1F3C1C4F"/>
    <w:rsid w:val="2006445A"/>
    <w:rsid w:val="205F522A"/>
    <w:rsid w:val="22E24F49"/>
    <w:rsid w:val="23E13DA6"/>
    <w:rsid w:val="24392B0D"/>
    <w:rsid w:val="25D77D3F"/>
    <w:rsid w:val="25F53355"/>
    <w:rsid w:val="26B26BA7"/>
    <w:rsid w:val="27372964"/>
    <w:rsid w:val="27BD3A55"/>
    <w:rsid w:val="2C5F3B91"/>
    <w:rsid w:val="2D056703"/>
    <w:rsid w:val="31321010"/>
    <w:rsid w:val="335A114D"/>
    <w:rsid w:val="347B53E1"/>
    <w:rsid w:val="34813790"/>
    <w:rsid w:val="35A3178F"/>
    <w:rsid w:val="35BA5B31"/>
    <w:rsid w:val="377C3B60"/>
    <w:rsid w:val="3D3FEA48"/>
    <w:rsid w:val="3DAB702F"/>
    <w:rsid w:val="3DBFD295"/>
    <w:rsid w:val="3E483173"/>
    <w:rsid w:val="3EBA3A53"/>
    <w:rsid w:val="40E40ADC"/>
    <w:rsid w:val="411538B7"/>
    <w:rsid w:val="41536D26"/>
    <w:rsid w:val="41BE02EE"/>
    <w:rsid w:val="41DD07D3"/>
    <w:rsid w:val="44DB5B25"/>
    <w:rsid w:val="455507B5"/>
    <w:rsid w:val="45A73923"/>
    <w:rsid w:val="49AC38D7"/>
    <w:rsid w:val="49F927E9"/>
    <w:rsid w:val="4A5D2DD2"/>
    <w:rsid w:val="4AEF402B"/>
    <w:rsid w:val="4F413753"/>
    <w:rsid w:val="4FC375E6"/>
    <w:rsid w:val="51215AAE"/>
    <w:rsid w:val="5257047F"/>
    <w:rsid w:val="537D6985"/>
    <w:rsid w:val="53ED7FA3"/>
    <w:rsid w:val="56A9ACE5"/>
    <w:rsid w:val="574D52F6"/>
    <w:rsid w:val="581519CB"/>
    <w:rsid w:val="5BE26FCC"/>
    <w:rsid w:val="5E1117E0"/>
    <w:rsid w:val="5FEFBD42"/>
    <w:rsid w:val="63A6046B"/>
    <w:rsid w:val="64690EAB"/>
    <w:rsid w:val="66321E01"/>
    <w:rsid w:val="67C72DF9"/>
    <w:rsid w:val="6A5C38C9"/>
    <w:rsid w:val="6BBC5FCE"/>
    <w:rsid w:val="6D0C1846"/>
    <w:rsid w:val="6FBD2579"/>
    <w:rsid w:val="6FED3F9B"/>
    <w:rsid w:val="703B2526"/>
    <w:rsid w:val="71DF74B5"/>
    <w:rsid w:val="720472B3"/>
    <w:rsid w:val="749B605C"/>
    <w:rsid w:val="75C51121"/>
    <w:rsid w:val="75DF8964"/>
    <w:rsid w:val="75F106A5"/>
    <w:rsid w:val="761942CF"/>
    <w:rsid w:val="77414817"/>
    <w:rsid w:val="787B4E47"/>
    <w:rsid w:val="78EF290F"/>
    <w:rsid w:val="79EFCB93"/>
    <w:rsid w:val="7B964105"/>
    <w:rsid w:val="7CE1176F"/>
    <w:rsid w:val="7DFB6C40"/>
    <w:rsid w:val="7E8A62A7"/>
    <w:rsid w:val="7EDEDA8C"/>
    <w:rsid w:val="7EE782B8"/>
    <w:rsid w:val="7F1BE675"/>
    <w:rsid w:val="7F7794D2"/>
    <w:rsid w:val="7F791B2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Header Char"/>
    <w:basedOn w:val="132"/>
    <w:link w:val="25"/>
    <w:qFormat/>
    <w:uiPriority w:val="99"/>
  </w:style>
  <w:style w:type="character" w:customStyle="1" w:styleId="136">
    <w:name w:val="Footer Char"/>
    <w:basedOn w:val="132"/>
    <w:link w:val="24"/>
    <w:qFormat/>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32"/>
    <w:link w:val="19"/>
    <w:qFormat/>
    <w:uiPriority w:val="99"/>
  </w:style>
  <w:style w:type="character" w:customStyle="1" w:styleId="145">
    <w:name w:val="Body Text 2 Char"/>
    <w:basedOn w:val="132"/>
    <w:link w:val="28"/>
    <w:qFormat/>
    <w:uiPriority w:val="99"/>
  </w:style>
  <w:style w:type="character" w:customStyle="1" w:styleId="146">
    <w:name w:val="Body Text 3 Char"/>
    <w:basedOn w:val="132"/>
    <w:link w:val="17"/>
    <w:qFormat/>
    <w:uiPriority w:val="99"/>
    <w:rPr>
      <w:sz w:val="16"/>
      <w:szCs w:val="16"/>
    </w:rPr>
  </w:style>
  <w:style w:type="character" w:customStyle="1" w:styleId="147">
    <w:name w:val="Macro Text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32"/>
    <w:link w:val="148"/>
    <w:qFormat/>
    <w:uiPriority w:val="29"/>
    <w:rPr>
      <w:i/>
      <w:iCs/>
      <w:color w:val="000000" w:themeColor="text1"/>
      <w14:textFill>
        <w14:solidFill>
          <w14:schemeClr w14:val="tx1"/>
        </w14:solidFill>
      </w14:textFill>
    </w:rPr>
  </w:style>
  <w:style w:type="character" w:customStyle="1" w:styleId="150">
    <w:name w:val="Heading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32"/>
    <w:link w:val="156"/>
    <w:qFormat/>
    <w:uiPriority w:val="30"/>
    <w:rPr>
      <w:b/>
      <w:bCs/>
      <w:i/>
      <w:iCs/>
      <w:color w:val="4F81BD" w:themeColor="accent1"/>
      <w14:textFill>
        <w14:solidFill>
          <w14:schemeClr w14:val="accent1"/>
        </w14:solidFill>
      </w14:textFill>
    </w:rPr>
  </w:style>
  <w:style w:type="character" w:customStyle="1" w:styleId="158">
    <w:name w:val="Subtle Emphasis"/>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32"/>
    <w:qFormat/>
    <w:uiPriority w:val="21"/>
    <w:rPr>
      <w:b/>
      <w:bCs/>
      <w:i/>
      <w:iCs/>
      <w:color w:val="4F81BD" w:themeColor="accent1"/>
      <w14:textFill>
        <w14:solidFill>
          <w14:schemeClr w14:val="accent1"/>
        </w14:solidFill>
      </w14:textFill>
    </w:rPr>
  </w:style>
  <w:style w:type="character" w:customStyle="1" w:styleId="160">
    <w:name w:val="Subtle Reference"/>
    <w:basedOn w:val="132"/>
    <w:qFormat/>
    <w:uiPriority w:val="31"/>
    <w:rPr>
      <w:smallCaps/>
      <w:color w:val="C0504D" w:themeColor="accent2"/>
      <w:u w:val="single"/>
      <w14:textFill>
        <w14:solidFill>
          <w14:schemeClr w14:val="accent2"/>
        </w14:solidFill>
      </w14:textFill>
    </w:rPr>
  </w:style>
  <w:style w:type="character" w:customStyle="1" w:styleId="161">
    <w:name w:val="Intense Reference"/>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32"/>
    <w:qFormat/>
    <w:uiPriority w:val="33"/>
    <w:rPr>
      <w:b/>
      <w:bCs/>
      <w:smallCaps/>
      <w:spacing w:val="5"/>
    </w:rPr>
  </w:style>
  <w:style w:type="paragraph" w:customStyle="1" w:styleId="163">
    <w:name w:val="TOC Heading"/>
    <w:basedOn w:val="3"/>
    <w:next w:val="1"/>
    <w:semiHidden/>
    <w:unhideWhenUsed/>
    <w:qFormat/>
    <w:uiPriority w:val="39"/>
    <w:pPr>
      <w:outlineLvl w:val="9"/>
    </w:pPr>
  </w:style>
  <w:style w:type="paragraph" w:customStyle="1" w:styleId="164">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5">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6">
    <w:name w:val="王越的表头"/>
    <w:basedOn w:val="167"/>
    <w:qFormat/>
    <w:uiPriority w:val="0"/>
    <w:pPr>
      <w:spacing w:line="240" w:lineRule="auto"/>
      <w:ind w:firstLine="0" w:firstLineChars="0"/>
      <w:jc w:val="center"/>
    </w:pPr>
    <w:rPr>
      <w:b/>
    </w:rPr>
  </w:style>
  <w:style w:type="paragraph" w:customStyle="1" w:styleId="167">
    <w:name w:val="王越的正文"/>
    <w:basedOn w:val="1"/>
    <w:qFormat/>
    <w:uiPriority w:val="0"/>
    <w:pPr>
      <w:ind w:firstLine="480"/>
      <w:jc w:val="left"/>
    </w:pPr>
    <w:rPr>
      <w:rFonts w:ascii="宋体" w:hAnsi="宋体"/>
    </w:rPr>
  </w:style>
  <w:style w:type="paragraph" w:customStyle="1" w:styleId="168">
    <w:name w:val="王越的表格"/>
    <w:basedOn w:val="167"/>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17</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2026-01-19T03:18:34Z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