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8"/>
        </w:rPr>
      </w:pPr>
      <w:r>
        <w:rPr>
          <w:rFonts w:hint="eastAsia" w:asciiTheme="minorEastAsia" w:hAnsiTheme="minorEastAsia"/>
          <w:b/>
          <w:sz w:val="30"/>
          <w:szCs w:val="30"/>
          <w:lang w:eastAsia="zh-CN"/>
        </w:rPr>
        <w:t>数据库内存</w:t>
      </w:r>
      <w:r>
        <w:rPr>
          <w:rFonts w:asciiTheme="minorEastAsia" w:hAnsiTheme="minorEastAsia"/>
          <w:b/>
          <w:sz w:val="30"/>
          <w:szCs w:val="30"/>
        </w:rPr>
        <w:t>扩容</w:t>
      </w:r>
      <w:r>
        <w:rPr>
          <w:rFonts w:hint="eastAsia" w:asciiTheme="minorEastAsia" w:hAnsiTheme="minorEastAsia"/>
          <w:b/>
          <w:sz w:val="30"/>
          <w:szCs w:val="30"/>
        </w:rPr>
        <w:t>遴选</w:t>
      </w:r>
    </w:p>
    <w:p>
      <w:pPr>
        <w:spacing w:line="360" w:lineRule="auto"/>
        <w:rPr>
          <w:rFonts w:asciiTheme="minorEastAsia" w:hAnsiTheme="minorEastAsia"/>
          <w:b/>
          <w:sz w:val="24"/>
          <w:szCs w:val="24"/>
        </w:rPr>
      </w:pPr>
      <w:r>
        <w:rPr>
          <w:rFonts w:asciiTheme="minorEastAsia" w:hAnsiTheme="minorEastAsia"/>
          <w:b/>
          <w:sz w:val="28"/>
          <w:szCs w:val="28"/>
        </w:rPr>
        <w:t>一、项目</w:t>
      </w:r>
      <w:r>
        <w:rPr>
          <w:rFonts w:hint="eastAsia" w:asciiTheme="minorEastAsia" w:hAnsiTheme="minorEastAsia"/>
          <w:b/>
          <w:sz w:val="28"/>
          <w:szCs w:val="28"/>
        </w:rPr>
        <w:t>概况</w:t>
      </w:r>
    </w:p>
    <w:p>
      <w:pPr>
        <w:spacing w:line="360" w:lineRule="auto"/>
        <w:ind w:firstLine="420"/>
        <w:rPr>
          <w:rFonts w:ascii="宋体" w:hAnsi="宋体" w:eastAsia="宋体"/>
          <w:sz w:val="24"/>
        </w:rPr>
      </w:pPr>
      <w:r>
        <w:rPr>
          <w:rFonts w:hint="eastAsia" w:asciiTheme="minorEastAsia" w:hAnsiTheme="minorEastAsia"/>
          <w:sz w:val="24"/>
          <w:szCs w:val="24"/>
        </w:rPr>
        <w:t>1</w:t>
      </w:r>
      <w:r>
        <w:rPr>
          <w:rFonts w:asciiTheme="minorEastAsia" w:hAnsiTheme="minorEastAsia"/>
          <w:sz w:val="24"/>
          <w:szCs w:val="24"/>
        </w:rPr>
        <w:t>.</w:t>
      </w:r>
      <w:r>
        <w:rPr>
          <w:rFonts w:hint="eastAsia" w:ascii="宋体" w:hAnsi="宋体" w:eastAsia="宋体"/>
          <w:sz w:val="24"/>
        </w:rPr>
        <w:t>我院HIS系统数据库服务器运行在两台K1 Power E950服务器上，采用Oracle RAC集群保证数据库高可用。</w:t>
      </w:r>
      <w:bookmarkStart w:id="0" w:name="OLE_LINK1"/>
      <w:bookmarkStart w:id="1" w:name="OLE_LINK2"/>
      <w:r>
        <w:rPr>
          <w:rFonts w:hint="eastAsia" w:ascii="宋体" w:hAnsi="宋体" w:eastAsia="宋体"/>
          <w:sz w:val="24"/>
        </w:rPr>
        <w:t xml:space="preserve">每台 </w:t>
      </w:r>
      <w:r>
        <w:rPr>
          <w:rFonts w:ascii="宋体" w:hAnsi="宋体" w:eastAsia="宋体"/>
          <w:sz w:val="24"/>
        </w:rPr>
        <w:t xml:space="preserve">E950 </w:t>
      </w:r>
      <w:r>
        <w:rPr>
          <w:rFonts w:hint="eastAsia" w:ascii="宋体" w:hAnsi="宋体" w:eastAsia="宋体"/>
          <w:sz w:val="24"/>
        </w:rPr>
        <w:t>配置为16核心512GB内存；随着业务的高速发展，内存容量不足，本项目对K1 Power E950的内存</w:t>
      </w:r>
      <w:r>
        <w:rPr>
          <w:rFonts w:asciiTheme="minorEastAsia" w:hAnsiTheme="minorEastAsia"/>
          <w:sz w:val="24"/>
          <w:szCs w:val="24"/>
        </w:rPr>
        <w:t>进行扩容</w:t>
      </w:r>
      <w:r>
        <w:rPr>
          <w:rFonts w:hint="eastAsia" w:ascii="宋体" w:hAnsi="宋体" w:eastAsia="宋体"/>
          <w:sz w:val="24"/>
        </w:rPr>
        <w:t>。</w:t>
      </w:r>
      <w:bookmarkEnd w:id="0"/>
      <w:bookmarkEnd w:id="1"/>
    </w:p>
    <w:p>
      <w:pPr>
        <w:spacing w:line="360" w:lineRule="auto"/>
        <w:rPr>
          <w:rFonts w:asciiTheme="minorEastAsia" w:hAnsiTheme="minorEastAsia"/>
          <w:b/>
          <w:sz w:val="28"/>
          <w:szCs w:val="28"/>
        </w:rPr>
      </w:pPr>
      <w:r>
        <w:rPr>
          <w:rFonts w:asciiTheme="minorEastAsia" w:hAnsiTheme="minorEastAsia"/>
          <w:b/>
          <w:sz w:val="28"/>
          <w:szCs w:val="28"/>
        </w:rPr>
        <w:t>二、</w:t>
      </w:r>
      <w:r>
        <w:rPr>
          <w:rFonts w:hint="eastAsia" w:asciiTheme="minorEastAsia" w:hAnsiTheme="minorEastAsia"/>
          <w:b/>
          <w:sz w:val="28"/>
          <w:szCs w:val="28"/>
        </w:rPr>
        <w:t>项目</w:t>
      </w:r>
      <w:r>
        <w:rPr>
          <w:rFonts w:asciiTheme="minorEastAsia" w:hAnsiTheme="minorEastAsia"/>
          <w:b/>
          <w:sz w:val="28"/>
          <w:szCs w:val="28"/>
        </w:rPr>
        <w:t>内容及技术要求</w:t>
      </w:r>
    </w:p>
    <w:p>
      <w:pPr>
        <w:spacing w:line="360" w:lineRule="auto"/>
        <w:rPr>
          <w:rFonts w:asciiTheme="minorEastAsia" w:hAnsiTheme="minorEastAsia"/>
          <w:sz w:val="24"/>
          <w:szCs w:val="24"/>
        </w:rPr>
      </w:pPr>
      <w:r>
        <w:rPr>
          <w:rFonts w:asciiTheme="minorEastAsia" w:hAnsiTheme="minorEastAsia"/>
          <w:sz w:val="24"/>
          <w:szCs w:val="24"/>
        </w:rPr>
        <w:t>（一）采购标的清单</w:t>
      </w:r>
    </w:p>
    <w:tbl>
      <w:tblPr>
        <w:tblStyle w:val="5"/>
        <w:tblW w:w="86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567"/>
        <w:gridCol w:w="1134"/>
        <w:gridCol w:w="4111"/>
        <w:gridCol w:w="709"/>
        <w:gridCol w:w="567"/>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00" w:hRule="atLeast"/>
          <w:jc w:val="center"/>
        </w:trPr>
        <w:tc>
          <w:tcPr>
            <w:tcW w:w="567" w:type="dxa"/>
            <w:vAlign w:val="center"/>
          </w:tcPr>
          <w:p>
            <w:pPr>
              <w:rPr>
                <w:rFonts w:asciiTheme="minorEastAsia" w:hAnsiTheme="minorEastAsia"/>
                <w:sz w:val="24"/>
                <w:szCs w:val="24"/>
              </w:rPr>
            </w:pPr>
            <w:r>
              <w:rPr>
                <w:rFonts w:asciiTheme="minorEastAsia" w:hAnsiTheme="minorEastAsia"/>
                <w:sz w:val="24"/>
                <w:szCs w:val="24"/>
              </w:rPr>
              <w:t>序号</w:t>
            </w:r>
          </w:p>
        </w:tc>
        <w:tc>
          <w:tcPr>
            <w:tcW w:w="1134" w:type="dxa"/>
            <w:vAlign w:val="center"/>
          </w:tcPr>
          <w:p>
            <w:pPr>
              <w:jc w:val="center"/>
              <w:rPr>
                <w:rFonts w:asciiTheme="minorEastAsia" w:hAnsiTheme="minorEastAsia"/>
                <w:sz w:val="24"/>
                <w:szCs w:val="24"/>
              </w:rPr>
            </w:pPr>
            <w:r>
              <w:rPr>
                <w:rFonts w:asciiTheme="minorEastAsia" w:hAnsiTheme="minorEastAsia"/>
                <w:sz w:val="24"/>
                <w:szCs w:val="24"/>
              </w:rPr>
              <w:t>产品名称</w:t>
            </w:r>
          </w:p>
        </w:tc>
        <w:tc>
          <w:tcPr>
            <w:tcW w:w="4111" w:type="dxa"/>
            <w:vAlign w:val="center"/>
          </w:tcPr>
          <w:p>
            <w:pPr>
              <w:jc w:val="center"/>
              <w:rPr>
                <w:rFonts w:asciiTheme="minorEastAsia" w:hAnsiTheme="minorEastAsia"/>
                <w:sz w:val="24"/>
                <w:szCs w:val="24"/>
              </w:rPr>
            </w:pPr>
            <w:r>
              <w:rPr>
                <w:rFonts w:asciiTheme="minorEastAsia" w:hAnsiTheme="minorEastAsia"/>
                <w:sz w:val="24"/>
                <w:szCs w:val="24"/>
              </w:rPr>
              <w:t>规格参数</w:t>
            </w:r>
          </w:p>
        </w:tc>
        <w:tc>
          <w:tcPr>
            <w:tcW w:w="709" w:type="dxa"/>
            <w:vAlign w:val="center"/>
          </w:tcPr>
          <w:p>
            <w:pPr>
              <w:jc w:val="center"/>
              <w:rPr>
                <w:rFonts w:asciiTheme="minorEastAsia" w:hAnsiTheme="minorEastAsia"/>
                <w:sz w:val="24"/>
                <w:szCs w:val="24"/>
              </w:rPr>
            </w:pPr>
            <w:r>
              <w:rPr>
                <w:rFonts w:asciiTheme="minorEastAsia" w:hAnsiTheme="minorEastAsia"/>
                <w:sz w:val="24"/>
                <w:szCs w:val="24"/>
              </w:rPr>
              <w:t>数量</w:t>
            </w:r>
          </w:p>
        </w:tc>
        <w:tc>
          <w:tcPr>
            <w:tcW w:w="567" w:type="dxa"/>
            <w:vAlign w:val="center"/>
          </w:tcPr>
          <w:p>
            <w:pPr>
              <w:jc w:val="center"/>
              <w:rPr>
                <w:rFonts w:asciiTheme="minorEastAsia" w:hAnsiTheme="minorEastAsia"/>
                <w:sz w:val="24"/>
                <w:szCs w:val="24"/>
              </w:rPr>
            </w:pPr>
            <w:r>
              <w:rPr>
                <w:rFonts w:asciiTheme="minorEastAsia" w:hAnsiTheme="minorEastAsia"/>
                <w:sz w:val="24"/>
                <w:szCs w:val="24"/>
              </w:rPr>
              <w:t>单位</w:t>
            </w:r>
          </w:p>
        </w:tc>
        <w:tc>
          <w:tcPr>
            <w:tcW w:w="1559" w:type="dxa"/>
            <w:vAlign w:val="center"/>
          </w:tcPr>
          <w:p>
            <w:pPr>
              <w:jc w:val="center"/>
              <w:rPr>
                <w:rFonts w:asciiTheme="minorEastAsia" w:hAnsiTheme="minorEastAsia"/>
                <w:sz w:val="24"/>
                <w:szCs w:val="24"/>
              </w:rPr>
            </w:pPr>
            <w:r>
              <w:rPr>
                <w:rFonts w:asciiTheme="minorEastAsia" w:hAnsiTheme="minorEastAsia"/>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00" w:hRule="atLeast"/>
          <w:jc w:val="center"/>
        </w:trPr>
        <w:tc>
          <w:tcPr>
            <w:tcW w:w="567" w:type="dxa"/>
            <w:vAlign w:val="center"/>
          </w:tcPr>
          <w:p>
            <w:pPr>
              <w:jc w:val="center"/>
              <w:rPr>
                <w:rFonts w:asciiTheme="minorEastAsia" w:hAnsiTheme="minorEastAsia"/>
                <w:sz w:val="24"/>
                <w:szCs w:val="24"/>
              </w:rPr>
            </w:pPr>
            <w:r>
              <w:rPr>
                <w:rFonts w:asciiTheme="minorEastAsia" w:hAnsiTheme="minorEastAsia"/>
                <w:sz w:val="24"/>
                <w:szCs w:val="24"/>
              </w:rPr>
              <w:t>1</w:t>
            </w:r>
          </w:p>
        </w:tc>
        <w:tc>
          <w:tcPr>
            <w:tcW w:w="1134" w:type="dxa"/>
            <w:vAlign w:val="center"/>
          </w:tcPr>
          <w:p>
            <w:pPr>
              <w:jc w:val="center"/>
              <w:rPr>
                <w:rFonts w:asciiTheme="minorEastAsia" w:hAnsiTheme="minorEastAsia"/>
                <w:sz w:val="24"/>
                <w:szCs w:val="24"/>
              </w:rPr>
            </w:pPr>
            <w:r>
              <w:rPr>
                <w:rFonts w:hint="eastAsia" w:asciiTheme="minorEastAsia" w:hAnsiTheme="minorEastAsia"/>
                <w:sz w:val="24"/>
                <w:szCs w:val="24"/>
              </w:rPr>
              <w:t>内存</w:t>
            </w:r>
            <w:r>
              <w:rPr>
                <w:rFonts w:asciiTheme="minorEastAsia" w:hAnsiTheme="minorEastAsia"/>
                <w:sz w:val="24"/>
                <w:szCs w:val="24"/>
              </w:rPr>
              <w:t>扩容</w:t>
            </w:r>
          </w:p>
        </w:tc>
        <w:tc>
          <w:tcPr>
            <w:tcW w:w="4111" w:type="dxa"/>
            <w:vAlign w:val="center"/>
          </w:tcPr>
          <w:p>
            <w:pPr>
              <w:spacing w:line="360" w:lineRule="auto"/>
              <w:jc w:val="left"/>
              <w:rPr>
                <w:rFonts w:asciiTheme="minorEastAsia" w:hAnsiTheme="minorEastAsia"/>
                <w:sz w:val="24"/>
                <w:szCs w:val="24"/>
              </w:rPr>
            </w:pPr>
            <w:r>
              <w:rPr>
                <w:rFonts w:asciiTheme="minorEastAsia" w:hAnsiTheme="minorEastAsia"/>
                <w:sz w:val="24"/>
                <w:szCs w:val="24"/>
              </w:rPr>
              <w:t>适配K1 POWER E950服务器，DDR4 规格，单条容量≥32GB，内存速率</w:t>
            </w:r>
            <w:bookmarkStart w:id="2" w:name="OLE_LINK3"/>
            <w:bookmarkStart w:id="3" w:name="OLE_LINK4"/>
            <w:r>
              <w:rPr>
                <w:rFonts w:asciiTheme="minorEastAsia" w:hAnsiTheme="minorEastAsia"/>
                <w:sz w:val="24"/>
                <w:szCs w:val="24"/>
              </w:rPr>
              <w:t>≥</w:t>
            </w:r>
            <w:bookmarkEnd w:id="2"/>
            <w:bookmarkEnd w:id="3"/>
            <w:r>
              <w:rPr>
                <w:rFonts w:asciiTheme="minorEastAsia" w:hAnsiTheme="minorEastAsia"/>
                <w:sz w:val="24"/>
                <w:szCs w:val="24"/>
              </w:rPr>
              <w:t>2666MHz，ECC校验，与原有内存完全兼容</w:t>
            </w:r>
          </w:p>
        </w:tc>
        <w:tc>
          <w:tcPr>
            <w:tcW w:w="709" w:type="dxa"/>
            <w:vAlign w:val="center"/>
          </w:tcPr>
          <w:p>
            <w:pPr>
              <w:jc w:val="center"/>
              <w:rPr>
                <w:rFonts w:asciiTheme="minorEastAsia" w:hAnsiTheme="minorEastAsia"/>
                <w:sz w:val="24"/>
                <w:szCs w:val="24"/>
              </w:rPr>
            </w:pPr>
            <w:r>
              <w:rPr>
                <w:rFonts w:asciiTheme="minorEastAsia" w:hAnsiTheme="minorEastAsia"/>
                <w:sz w:val="24"/>
                <w:szCs w:val="24"/>
              </w:rPr>
              <w:t>16</w:t>
            </w:r>
          </w:p>
        </w:tc>
        <w:tc>
          <w:tcPr>
            <w:tcW w:w="567" w:type="dxa"/>
            <w:vAlign w:val="center"/>
          </w:tcPr>
          <w:p>
            <w:pPr>
              <w:jc w:val="center"/>
              <w:rPr>
                <w:rFonts w:asciiTheme="minorEastAsia" w:hAnsiTheme="minorEastAsia"/>
                <w:sz w:val="24"/>
                <w:szCs w:val="24"/>
              </w:rPr>
            </w:pPr>
            <w:r>
              <w:rPr>
                <w:rFonts w:asciiTheme="minorEastAsia" w:hAnsiTheme="minorEastAsia"/>
                <w:sz w:val="24"/>
                <w:szCs w:val="24"/>
              </w:rPr>
              <w:t>条</w:t>
            </w:r>
          </w:p>
        </w:tc>
        <w:tc>
          <w:tcPr>
            <w:tcW w:w="1559" w:type="dxa"/>
            <w:vAlign w:val="center"/>
          </w:tcPr>
          <w:p>
            <w:pPr>
              <w:jc w:val="center"/>
              <w:rPr>
                <w:rFonts w:asciiTheme="minorEastAsia" w:hAnsiTheme="minorEastAsia"/>
                <w:sz w:val="24"/>
                <w:szCs w:val="24"/>
              </w:rPr>
            </w:pPr>
            <w:r>
              <w:rPr>
                <w:rFonts w:asciiTheme="minorEastAsia" w:hAnsiTheme="minorEastAsia"/>
                <w:sz w:val="24"/>
                <w:szCs w:val="24"/>
              </w:rPr>
              <w:t>每台服务器新增8条，共2 台</w:t>
            </w:r>
          </w:p>
        </w:tc>
      </w:tr>
    </w:tbl>
    <w:p>
      <w:pPr>
        <w:spacing w:line="360" w:lineRule="auto"/>
        <w:rPr>
          <w:rFonts w:ascii="MS Gothic" w:hAnsi="MS Gothic" w:cs="MS Gothic"/>
          <w:sz w:val="24"/>
          <w:szCs w:val="24"/>
        </w:rPr>
      </w:pPr>
      <w:r>
        <w:rPr>
          <w:rFonts w:asciiTheme="minorEastAsia" w:hAnsiTheme="minorEastAsia"/>
          <w:sz w:val="24"/>
          <w:szCs w:val="24"/>
        </w:rPr>
        <w:t>（二）核心技术要求</w:t>
      </w:r>
    </w:p>
    <w:p>
      <w:pPr>
        <w:spacing w:line="360" w:lineRule="auto"/>
        <w:rPr>
          <w:rFonts w:asciiTheme="minorEastAsia" w:hAnsiTheme="minorEastAsia"/>
          <w:sz w:val="24"/>
          <w:szCs w:val="24"/>
        </w:rPr>
      </w:pPr>
      <w:r>
        <w:rPr>
          <w:rFonts w:hint="eastAsia" w:cs="MS Gothic" w:asciiTheme="minorEastAsia" w:hAnsiTheme="minorEastAsia"/>
          <w:sz w:val="24"/>
          <w:szCs w:val="24"/>
        </w:rPr>
        <w:t>1、</w:t>
      </w:r>
      <w:r>
        <w:rPr>
          <w:rFonts w:asciiTheme="minorEastAsia" w:hAnsiTheme="minorEastAsia"/>
          <w:sz w:val="24"/>
          <w:szCs w:val="24"/>
        </w:rPr>
        <w:t>兼容性要求：新增内存必须与</w:t>
      </w:r>
      <w:r>
        <w:rPr>
          <w:rFonts w:hint="eastAsia" w:asciiTheme="minorEastAsia" w:hAnsiTheme="minorEastAsia"/>
          <w:sz w:val="24"/>
          <w:szCs w:val="24"/>
        </w:rPr>
        <w:t>我院</w:t>
      </w:r>
      <w:r>
        <w:rPr>
          <w:rFonts w:asciiTheme="minorEastAsia" w:hAnsiTheme="minorEastAsia"/>
          <w:sz w:val="24"/>
          <w:szCs w:val="24"/>
        </w:rPr>
        <w:t>现有K1 POWER E950服务器硬件及操作系统（含现有应用软件）完全兼容，无兼容性故障，确保服务器扩容后稳定运行；</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2、</w:t>
      </w:r>
      <w:r>
        <w:rPr>
          <w:rFonts w:asciiTheme="minorEastAsia" w:hAnsiTheme="minorEastAsia"/>
          <w:sz w:val="24"/>
          <w:szCs w:val="24"/>
        </w:rPr>
        <w:t>质量要求：内存产品需为原厂全新正品，具备原厂质量认证，符合国家及行业相关质量标准，质保期需</w:t>
      </w:r>
      <w:r>
        <w:rPr>
          <w:rFonts w:hint="eastAsia" w:asciiTheme="minorEastAsia" w:hAnsiTheme="minorEastAsia"/>
          <w:sz w:val="24"/>
          <w:szCs w:val="24"/>
        </w:rPr>
        <w:t>随</w:t>
      </w:r>
      <w:r>
        <w:rPr>
          <w:rFonts w:asciiTheme="minorEastAsia" w:hAnsiTheme="minorEastAsia"/>
          <w:sz w:val="24"/>
          <w:szCs w:val="24"/>
        </w:rPr>
        <w:t>我院机器绑定质保</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3、</w:t>
      </w:r>
      <w:r>
        <w:rPr>
          <w:rFonts w:asciiTheme="minorEastAsia" w:hAnsiTheme="minorEastAsia"/>
          <w:sz w:val="24"/>
          <w:szCs w:val="24"/>
        </w:rPr>
        <w:t>性能要求：</w:t>
      </w:r>
      <w:r>
        <w:rPr>
          <w:rFonts w:hint="eastAsia" w:asciiTheme="minorEastAsia" w:hAnsiTheme="minorEastAsia"/>
          <w:sz w:val="24"/>
          <w:szCs w:val="24"/>
        </w:rPr>
        <w:t>内存数量</w:t>
      </w:r>
      <w:r>
        <w:rPr>
          <w:rFonts w:asciiTheme="minorEastAsia" w:hAnsiTheme="minorEastAsia"/>
          <w:sz w:val="24"/>
          <w:szCs w:val="24"/>
        </w:rPr>
        <w:t>≥</w:t>
      </w:r>
      <w:r>
        <w:rPr>
          <w:rFonts w:hint="eastAsia" w:asciiTheme="minorEastAsia" w:hAnsiTheme="minorEastAsia"/>
          <w:sz w:val="24"/>
          <w:szCs w:val="24"/>
        </w:rPr>
        <w:t>1</w:t>
      </w:r>
      <w:r>
        <w:rPr>
          <w:rFonts w:asciiTheme="minorEastAsia" w:hAnsiTheme="minorEastAsia"/>
          <w:sz w:val="24"/>
          <w:szCs w:val="24"/>
        </w:rPr>
        <w:t>6</w:t>
      </w:r>
      <w:r>
        <w:rPr>
          <w:rFonts w:hint="eastAsia" w:asciiTheme="minorEastAsia" w:hAnsiTheme="minorEastAsia"/>
          <w:sz w:val="24"/>
          <w:szCs w:val="24"/>
        </w:rPr>
        <w:t>，</w:t>
      </w:r>
      <w:r>
        <w:rPr>
          <w:rFonts w:asciiTheme="minorEastAsia" w:hAnsiTheme="minorEastAsia"/>
          <w:sz w:val="24"/>
          <w:szCs w:val="24"/>
        </w:rPr>
        <w:t>内存速率需满足≥2666MHz，</w:t>
      </w:r>
      <w:r>
        <w:rPr>
          <w:rFonts w:hint="eastAsia" w:asciiTheme="minorEastAsia" w:hAnsiTheme="minorEastAsia"/>
          <w:sz w:val="24"/>
          <w:szCs w:val="24"/>
        </w:rPr>
        <w:t>单条容量≥32GB，DDR4 规格，ECC校验，</w:t>
      </w:r>
      <w:r>
        <w:rPr>
          <w:rFonts w:asciiTheme="minorEastAsia" w:hAnsiTheme="minorEastAsia"/>
          <w:sz w:val="24"/>
          <w:szCs w:val="24"/>
        </w:rPr>
        <w:t>实际运行中无降频、卡顿等性能问题，确保服务器业务处理效率不低于扩容前水平。</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4、</w:t>
      </w:r>
      <w:r>
        <w:rPr>
          <w:rFonts w:asciiTheme="minorEastAsia" w:hAnsiTheme="minorEastAsia"/>
          <w:sz w:val="24"/>
          <w:szCs w:val="24"/>
        </w:rPr>
        <w:t>安装调试要求：供应商需派遣具备K1 POWER服务器专业认证的原厂工程师上门安装调试，安装过程中需遵守医院机房安全管理规定，不得影响现有服务器正常运行（如需停机，需提前与</w:t>
      </w:r>
      <w:r>
        <w:rPr>
          <w:rFonts w:hint="eastAsia" w:asciiTheme="minorEastAsia" w:hAnsiTheme="minorEastAsia"/>
          <w:sz w:val="24"/>
          <w:szCs w:val="24"/>
        </w:rPr>
        <w:t>我方</w:t>
      </w:r>
      <w:r>
        <w:rPr>
          <w:rFonts w:asciiTheme="minorEastAsia" w:hAnsiTheme="minorEastAsia"/>
          <w:sz w:val="24"/>
          <w:szCs w:val="24"/>
        </w:rPr>
        <w:t>人员协商确定停机时间，停机时长不超过4小时）。</w:t>
      </w:r>
    </w:p>
    <w:p>
      <w:pPr>
        <w:spacing w:line="360" w:lineRule="auto"/>
        <w:rPr>
          <w:rFonts w:hint="eastAsia" w:asciiTheme="minorEastAsia" w:hAnsiTheme="minorEastAsia"/>
          <w:sz w:val="24"/>
          <w:szCs w:val="24"/>
          <w:lang w:eastAsia="zh-CN"/>
        </w:rPr>
      </w:pPr>
      <w:r>
        <w:rPr>
          <w:rFonts w:hint="eastAsia" w:asciiTheme="minorEastAsia" w:hAnsiTheme="minorEastAsia"/>
          <w:sz w:val="24"/>
          <w:szCs w:val="24"/>
          <w:lang w:eastAsia="zh-CN"/>
        </w:rPr>
        <w:t>（三）交付要求</w:t>
      </w:r>
    </w:p>
    <w:p>
      <w:pPr>
        <w:spacing w:line="360" w:lineRule="auto"/>
        <w:ind w:firstLine="480" w:firstLineChars="200"/>
        <w:rPr>
          <w:rFonts w:ascii="MS Gothic" w:hAnsi="MS Gothic" w:cs="MS Gothic"/>
          <w:sz w:val="24"/>
          <w:szCs w:val="24"/>
        </w:rPr>
      </w:pPr>
      <w:r>
        <w:rPr>
          <w:rFonts w:hint="eastAsia" w:asciiTheme="minorEastAsia" w:hAnsiTheme="minorEastAsia"/>
          <w:sz w:val="24"/>
          <w:szCs w:val="24"/>
          <w:lang w:val="en-US" w:eastAsia="zh-CN"/>
        </w:rPr>
        <w:t>1、</w:t>
      </w:r>
      <w:r>
        <w:rPr>
          <w:rFonts w:asciiTheme="minorEastAsia" w:hAnsiTheme="minorEastAsia"/>
          <w:sz w:val="24"/>
          <w:szCs w:val="24"/>
        </w:rPr>
        <w:t>交货及安装地点：北京清华长庚医院指定地点</w:t>
      </w:r>
      <w:r>
        <w:rPr>
          <w:rFonts w:ascii="MS Gothic" w:hAnsi="MS Gothic" w:cs="MS Gothic"/>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2、</w:t>
      </w:r>
      <w:r>
        <w:rPr>
          <w:rFonts w:asciiTheme="minorEastAsia" w:hAnsiTheme="minorEastAsia"/>
          <w:sz w:val="24"/>
          <w:szCs w:val="24"/>
        </w:rPr>
        <w:t>交货及安装周期：合同签订后15个日历日内完成内存的供货、安装、调试及验收</w:t>
      </w:r>
      <w:r>
        <w:rPr>
          <w:rFonts w:ascii="MS Gothic" w:hAnsi="MS Gothic" w:cs="MS Gothic"/>
          <w:sz w:val="24"/>
          <w:szCs w:val="24"/>
        </w:rPr>
        <w:t>。</w:t>
      </w:r>
    </w:p>
    <w:p>
      <w:pPr>
        <w:spacing w:line="360" w:lineRule="auto"/>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三、评审方法</w:t>
      </w:r>
    </w:p>
    <w:p>
      <w:pPr>
        <w:pStyle w:val="15"/>
        <w:tabs>
          <w:tab w:val="left" w:pos="7980"/>
        </w:tabs>
        <w:snapToGrid/>
        <w:spacing w:before="156" w:beforeLines="50" w:line="360" w:lineRule="auto"/>
        <w:ind w:firstLine="0"/>
        <w:rPr>
          <w:rFonts w:hint="eastAsia" w:ascii="宋体" w:hAnsi="宋体" w:eastAsia="宋体" w:cs="宋体"/>
          <w:b w:val="0"/>
          <w:bCs/>
          <w:szCs w:val="24"/>
          <w:lang w:val="en-US" w:eastAsia="zh-CN"/>
        </w:rPr>
      </w:pPr>
      <w:r>
        <w:rPr>
          <w:rFonts w:hint="eastAsia" w:ascii="宋体" w:hAnsi="宋体" w:eastAsia="宋体" w:cs="宋体"/>
          <w:b w:val="0"/>
          <w:bCs/>
          <w:szCs w:val="24"/>
          <w:lang w:val="en-US" w:eastAsia="zh-CN"/>
        </w:rPr>
        <w:t>1、评标方法</w:t>
      </w:r>
    </w:p>
    <w:p>
      <w:pPr>
        <w:autoSpaceDE w:val="0"/>
        <w:autoSpaceDN w:val="0"/>
        <w:adjustRightInd w:val="0"/>
        <w:spacing w:before="5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numPr>
          <w:ilvl w:val="0"/>
          <w:numId w:val="1"/>
        </w:numPr>
        <w:autoSpaceDE w:val="0"/>
        <w:autoSpaceDN w:val="0"/>
        <w:adjustRightInd w:val="0"/>
        <w:spacing w:before="50" w:line="360" w:lineRule="auto"/>
        <w:ind w:left="0" w:leftChars="0"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评分标准</w:t>
      </w:r>
    </w:p>
    <w:tbl>
      <w:tblPr>
        <w:tblStyle w:val="5"/>
        <w:tblW w:w="87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1233"/>
        <w:gridCol w:w="1233"/>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680"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33"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lang w:eastAsia="zh-CN"/>
              </w:rPr>
              <w:t>评审因素</w:t>
            </w:r>
          </w:p>
        </w:tc>
        <w:tc>
          <w:tcPr>
            <w:tcW w:w="1233"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评分内容</w:t>
            </w:r>
          </w:p>
        </w:tc>
        <w:tc>
          <w:tcPr>
            <w:tcW w:w="5649"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评分说明和标准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trPr>
        <w:tc>
          <w:tcPr>
            <w:tcW w:w="680"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w w:val="89"/>
                <w:sz w:val="24"/>
                <w:szCs w:val="24"/>
              </w:rPr>
              <w:t>1</w:t>
            </w: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价格部分</w:t>
            </w:r>
          </w:p>
        </w:tc>
        <w:tc>
          <w:tcPr>
            <w:tcW w:w="1233"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报价</w:t>
            </w:r>
          </w:p>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7"/>
                <w:sz w:val="24"/>
                <w:szCs w:val="24"/>
              </w:rPr>
              <w:t>分</w:t>
            </w:r>
            <w:r>
              <w:rPr>
                <w:rFonts w:hint="eastAsia" w:ascii="宋体" w:hAnsi="宋体" w:eastAsia="宋体" w:cs="宋体"/>
                <w:sz w:val="24"/>
                <w:szCs w:val="24"/>
              </w:rPr>
              <w:t>）</w:t>
            </w:r>
          </w:p>
        </w:tc>
        <w:tc>
          <w:tcPr>
            <w:tcW w:w="5649" w:type="dxa"/>
            <w:vAlign w:val="center"/>
          </w:tcPr>
          <w:p>
            <w:pPr>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满足招标文件要求且投标价格最低的投标报价为评标基准价，其价格分为满分。其他投标人的价格分统一按照下列公式计算：</w:t>
            </w:r>
          </w:p>
          <w:p>
            <w:pPr>
              <w:autoSpaceDE w:val="0"/>
              <w:autoSpaceDN w:val="0"/>
              <w:adjustRightInd w:val="0"/>
              <w:spacing w:line="360" w:lineRule="atLeast"/>
              <w:jc w:val="left"/>
              <w:textAlignment w:val="baseline"/>
              <w:rPr>
                <w:rFonts w:hint="eastAsia" w:ascii="宋体" w:hAnsi="宋体" w:eastAsia="宋体" w:cs="宋体"/>
                <w:sz w:val="24"/>
              </w:rPr>
            </w:pPr>
            <w:r>
              <w:rPr>
                <w:rFonts w:hint="eastAsia" w:ascii="宋体" w:hAnsi="宋体" w:eastAsia="宋体" w:cs="宋体"/>
                <w:sz w:val="24"/>
              </w:rPr>
              <w:t>投标报价得分＝（评标基准价/投标报价）×30。</w:t>
            </w:r>
          </w:p>
          <w:p>
            <w:pPr>
              <w:autoSpaceDE w:val="0"/>
              <w:autoSpaceDN w:val="0"/>
              <w:adjustRightInd w:val="0"/>
              <w:spacing w:line="360" w:lineRule="atLeast"/>
              <w:jc w:val="left"/>
              <w:textAlignment w:val="baseline"/>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6"/>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eastAsia="zh-CN"/>
              </w:rPr>
              <w:t>2</w:t>
            </w: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w w:val="89"/>
                <w:sz w:val="24"/>
                <w:szCs w:val="24"/>
                <w:lang w:eastAsia="zh-CN"/>
              </w:rPr>
              <w:t>商务部分</w:t>
            </w: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投标产品业绩    （</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tc>
        <w:tc>
          <w:tcPr>
            <w:tcW w:w="5649" w:type="dxa"/>
            <w:vAlign w:val="center"/>
          </w:tcPr>
          <w:p>
            <w:pPr>
              <w:autoSpaceDE w:val="0"/>
              <w:autoSpaceDN w:val="0"/>
              <w:ind w:right="105" w:rightChars="50"/>
              <w:rPr>
                <w:rFonts w:hint="eastAsia" w:ascii="宋体" w:hAnsi="宋体" w:eastAsia="宋体" w:cs="宋体"/>
                <w:kern w:val="0"/>
                <w:sz w:val="24"/>
                <w:lang w:bidi="ar"/>
              </w:rPr>
            </w:pPr>
            <w:r>
              <w:rPr>
                <w:rFonts w:hint="eastAsia" w:ascii="宋体" w:hAnsi="宋体" w:eastAsia="宋体" w:cs="宋体"/>
                <w:kern w:val="0"/>
                <w:sz w:val="24"/>
                <w:lang w:bidi="ar"/>
              </w:rPr>
              <w:t>投标人提供2022年8月至今（以合同签订日期为准），与本项目类似的项目业绩。每提供1个有效业绩得2分，最高得</w:t>
            </w:r>
            <w:r>
              <w:rPr>
                <w:rFonts w:hint="eastAsia" w:ascii="宋体" w:hAnsi="宋体" w:eastAsia="宋体" w:cs="宋体"/>
                <w:kern w:val="0"/>
                <w:sz w:val="24"/>
                <w:lang w:val="en-US" w:eastAsia="zh-CN" w:bidi="ar"/>
              </w:rPr>
              <w:t>10</w:t>
            </w:r>
            <w:r>
              <w:rPr>
                <w:rFonts w:hint="eastAsia" w:ascii="宋体" w:hAnsi="宋体" w:eastAsia="宋体" w:cs="宋体"/>
                <w:kern w:val="0"/>
                <w:sz w:val="24"/>
                <w:lang w:bidi="ar"/>
              </w:rPr>
              <w:t>分。</w:t>
            </w:r>
          </w:p>
          <w:p>
            <w:pPr>
              <w:autoSpaceDE w:val="0"/>
              <w:autoSpaceDN w:val="0"/>
              <w:ind w:right="105" w:rightChars="50"/>
              <w:rPr>
                <w:rFonts w:hint="eastAsia" w:ascii="宋体" w:hAnsi="宋体" w:eastAsia="宋体" w:cs="宋体"/>
                <w:kern w:val="0"/>
                <w:sz w:val="24"/>
                <w:lang w:bidi="ar"/>
              </w:rPr>
            </w:pPr>
            <w:r>
              <w:rPr>
                <w:rFonts w:hint="eastAsia" w:ascii="宋体" w:hAnsi="宋体" w:eastAsia="宋体" w:cs="宋体"/>
                <w:kern w:val="0"/>
                <w:sz w:val="24"/>
                <w:lang w:bidi="ar"/>
              </w:rPr>
              <w:t>注：需至少提供合同首页、内容页以及签署页复印件。未按要求提供视为无效业绩不得分。</w:t>
            </w:r>
          </w:p>
          <w:p>
            <w:pPr>
              <w:autoSpaceDE w:val="0"/>
              <w:autoSpaceDN w:val="0"/>
              <w:ind w:right="105" w:rightChars="50"/>
              <w:rPr>
                <w:rFonts w:hint="eastAsia" w:ascii="宋体" w:hAnsi="宋体" w:eastAsia="宋体" w:cs="宋体"/>
                <w:sz w:val="24"/>
              </w:rPr>
            </w:pPr>
            <w:r>
              <w:rPr>
                <w:rFonts w:hint="eastAsia" w:ascii="宋体" w:hAnsi="宋体" w:eastAsia="宋体" w:cs="宋体"/>
                <w:kern w:val="0"/>
                <w:sz w:val="24"/>
                <w:lang w:bidi="ar"/>
              </w:rPr>
              <w:t>同一甲方合同按1个有效业绩计算。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6"/>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3</w:t>
            </w:r>
          </w:p>
        </w:tc>
        <w:tc>
          <w:tcPr>
            <w:tcW w:w="1233" w:type="dxa"/>
            <w:vMerge w:val="restart"/>
          </w:tcPr>
          <w:p>
            <w:pPr>
              <w:pStyle w:val="16"/>
              <w:keepNext w:val="0"/>
              <w:keepLines w:val="0"/>
              <w:pageBreakBefore w:val="0"/>
              <w:widowControl w:val="0"/>
              <w:kinsoku/>
              <w:wordWrap/>
              <w:overflowPunct/>
              <w:topLinePunct w:val="0"/>
              <w:autoSpaceDE w:val="0"/>
              <w:autoSpaceDN w:val="0"/>
              <w:bidi w:val="0"/>
              <w:adjustRightInd/>
              <w:snapToGrid/>
              <w:ind w:left="105" w:leftChars="50" w:right="105" w:rightChars="5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技术部分</w:t>
            </w:r>
          </w:p>
        </w:tc>
        <w:tc>
          <w:tcPr>
            <w:tcW w:w="1233" w:type="dxa"/>
            <w:vAlign w:val="center"/>
          </w:tcPr>
          <w:p>
            <w:pPr>
              <w:pStyle w:val="16"/>
              <w:ind w:left="105" w:leftChars="50" w:right="105" w:rightChars="50"/>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技术团队</w:t>
            </w:r>
          </w:p>
          <w:p>
            <w:pPr>
              <w:pStyle w:val="16"/>
              <w:ind w:left="105" w:leftChars="50" w:right="105" w:rightChars="50"/>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r>
              <w:rPr>
                <w:rFonts w:hint="eastAsia" w:eastAsia="宋体" w:cs="宋体"/>
                <w:color w:val="000000"/>
                <w:sz w:val="24"/>
                <w:szCs w:val="24"/>
                <w:lang w:val="en-US" w:eastAsia="zh-CN" w:bidi="ar"/>
              </w:rPr>
              <w:t>8</w:t>
            </w:r>
            <w:r>
              <w:rPr>
                <w:rFonts w:hint="eastAsia" w:ascii="宋体" w:hAnsi="宋体" w:eastAsia="宋体" w:cs="宋体"/>
                <w:color w:val="000000"/>
                <w:sz w:val="24"/>
                <w:szCs w:val="24"/>
                <w:lang w:eastAsia="zh-CN" w:bidi="ar"/>
              </w:rPr>
              <w:t>分）</w:t>
            </w:r>
          </w:p>
        </w:tc>
        <w:tc>
          <w:tcPr>
            <w:tcW w:w="5649" w:type="dxa"/>
          </w:tcPr>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 xml:space="preserve">投标人应提供针对本项目的项目技术团队配置情况。 </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（1）技术团队人员配置充裕合理，具有丰富的项目经验、专业能力强的，得</w:t>
            </w:r>
            <w:r>
              <w:rPr>
                <w:rFonts w:hint="eastAsia" w:ascii="宋体" w:hAnsi="宋体" w:eastAsia="宋体" w:cs="宋体"/>
                <w:spacing w:val="-3"/>
                <w:kern w:val="0"/>
                <w:sz w:val="24"/>
                <w:lang w:val="en-US" w:eastAsia="zh-CN"/>
              </w:rPr>
              <w:t>8</w:t>
            </w:r>
            <w:r>
              <w:rPr>
                <w:rFonts w:hint="eastAsia" w:ascii="宋体" w:hAnsi="宋体" w:eastAsia="宋体" w:cs="宋体"/>
                <w:spacing w:val="-3"/>
                <w:kern w:val="0"/>
                <w:sz w:val="24"/>
              </w:rPr>
              <w:t>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（2）技术团队人员配置基本合理，具备一定的专业能力及相关经验，得</w:t>
            </w:r>
            <w:r>
              <w:rPr>
                <w:rFonts w:hint="eastAsia" w:ascii="宋体" w:hAnsi="宋体" w:eastAsia="宋体" w:cs="宋体"/>
                <w:spacing w:val="-3"/>
                <w:kern w:val="0"/>
                <w:sz w:val="24"/>
                <w:lang w:val="en-US" w:eastAsia="zh-CN"/>
              </w:rPr>
              <w:t>5</w:t>
            </w:r>
            <w:r>
              <w:rPr>
                <w:rFonts w:hint="eastAsia" w:ascii="宋体" w:hAnsi="宋体" w:eastAsia="宋体" w:cs="宋体"/>
                <w:spacing w:val="-3"/>
                <w:kern w:val="0"/>
                <w:sz w:val="24"/>
              </w:rPr>
              <w:t>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（3）技术团队人员配置较少，专业能力或相关经验不足的，得</w:t>
            </w:r>
            <w:r>
              <w:rPr>
                <w:rFonts w:hint="eastAsia" w:ascii="宋体" w:hAnsi="宋体" w:eastAsia="宋体" w:cs="宋体"/>
                <w:spacing w:val="-3"/>
                <w:kern w:val="0"/>
                <w:sz w:val="24"/>
                <w:lang w:val="en-US" w:eastAsia="zh-CN"/>
              </w:rPr>
              <w:t>3</w:t>
            </w:r>
            <w:r>
              <w:rPr>
                <w:rFonts w:hint="eastAsia" w:ascii="宋体" w:hAnsi="宋体" w:eastAsia="宋体" w:cs="宋体"/>
                <w:spacing w:val="-3"/>
                <w:kern w:val="0"/>
                <w:sz w:val="24"/>
              </w:rPr>
              <w:t>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（4）未提供技术团队配置情况的，得0分。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w w:val="89"/>
                <w:sz w:val="24"/>
                <w:szCs w:val="24"/>
                <w:lang w:val="en-US" w:eastAsia="zh-CN"/>
              </w:rPr>
              <w:t>4</w:t>
            </w:r>
          </w:p>
        </w:tc>
        <w:tc>
          <w:tcPr>
            <w:tcW w:w="1233" w:type="dxa"/>
            <w:vMerge w:val="continue"/>
            <w:vAlign w:val="center"/>
          </w:tcPr>
          <w:p>
            <w:pPr>
              <w:pStyle w:val="16"/>
              <w:ind w:left="105" w:leftChars="50" w:right="105" w:rightChars="50"/>
              <w:jc w:val="center"/>
              <w:rPr>
                <w:rFonts w:hint="eastAsia" w:ascii="宋体" w:hAnsi="宋体" w:eastAsia="宋体" w:cs="宋体"/>
                <w:sz w:val="24"/>
                <w:szCs w:val="24"/>
              </w:rPr>
            </w:pP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rPr>
              <w:t>技术指标</w:t>
            </w:r>
            <w:r>
              <w:rPr>
                <w:rFonts w:hint="eastAsia" w:ascii="宋体" w:hAnsi="宋体" w:eastAsia="宋体" w:cs="宋体"/>
                <w:sz w:val="24"/>
                <w:szCs w:val="24"/>
                <w:lang w:eastAsia="zh-CN"/>
              </w:rPr>
              <w:t>响应</w:t>
            </w:r>
          </w:p>
          <w:p>
            <w:pPr>
              <w:pStyle w:val="16"/>
              <w:ind w:left="105" w:leftChars="50" w:right="105" w:rightChars="50"/>
              <w:jc w:val="center"/>
              <w:rPr>
                <w:rFonts w:hint="eastAsia" w:ascii="宋体" w:hAnsi="宋体" w:eastAsia="宋体" w:cs="宋体"/>
                <w:color w:val="FF0000"/>
                <w:sz w:val="24"/>
                <w:szCs w:val="24"/>
                <w:lang w:eastAsia="zh-CN"/>
              </w:rPr>
            </w:pPr>
            <w:r>
              <w:rPr>
                <w:rFonts w:hint="eastAsia" w:ascii="宋体" w:hAnsi="宋体" w:eastAsia="宋体" w:cs="宋体"/>
                <w:sz w:val="24"/>
                <w:szCs w:val="24"/>
                <w:lang w:eastAsia="zh-CN"/>
              </w:rPr>
              <w:t>（3</w:t>
            </w:r>
            <w:r>
              <w:rPr>
                <w:rFonts w:hint="eastAsia" w:eastAsia="宋体" w:cs="宋体"/>
                <w:sz w:val="24"/>
                <w:szCs w:val="24"/>
                <w:lang w:val="en-US" w:eastAsia="zh-CN"/>
              </w:rPr>
              <w:t>0</w:t>
            </w:r>
            <w:r>
              <w:rPr>
                <w:rFonts w:hint="eastAsia" w:ascii="宋体" w:hAnsi="宋体" w:eastAsia="宋体" w:cs="宋体"/>
                <w:sz w:val="24"/>
                <w:szCs w:val="24"/>
                <w:lang w:eastAsia="zh-CN"/>
              </w:rPr>
              <w:t>分）</w:t>
            </w:r>
          </w:p>
        </w:tc>
        <w:tc>
          <w:tcPr>
            <w:tcW w:w="5649" w:type="dxa"/>
            <w:vAlign w:val="center"/>
          </w:tcPr>
          <w:p>
            <w:pPr>
              <w:ind w:left="105" w:leftChars="50"/>
              <w:rPr>
                <w:rFonts w:hint="eastAsia" w:ascii="宋体" w:hAnsi="宋体" w:eastAsia="宋体" w:cs="宋体"/>
                <w:spacing w:val="-3"/>
                <w:sz w:val="24"/>
                <w:highlight w:val="none"/>
              </w:rPr>
            </w:pPr>
            <w:r>
              <w:rPr>
                <w:rFonts w:hint="eastAsia" w:ascii="宋体" w:hAnsi="宋体" w:eastAsia="宋体" w:cs="宋体"/>
                <w:spacing w:val="-3"/>
                <w:sz w:val="24"/>
                <w:highlight w:val="none"/>
              </w:rPr>
              <w:t>综合考虑投标人对第</w:t>
            </w:r>
            <w:r>
              <w:rPr>
                <w:rFonts w:hint="eastAsia" w:ascii="宋体" w:hAnsi="宋体" w:eastAsia="宋体" w:cs="宋体"/>
                <w:spacing w:val="-3"/>
                <w:sz w:val="24"/>
                <w:highlight w:val="none"/>
                <w:lang w:eastAsia="zh-CN"/>
              </w:rPr>
              <w:t>二</w:t>
            </w:r>
            <w:r>
              <w:rPr>
                <w:rFonts w:hint="eastAsia" w:ascii="宋体" w:hAnsi="宋体" w:eastAsia="宋体" w:cs="宋体"/>
                <w:spacing w:val="-3"/>
                <w:sz w:val="24"/>
                <w:highlight w:val="none"/>
              </w:rPr>
              <w:t>章</w:t>
            </w:r>
            <w:r>
              <w:rPr>
                <w:rFonts w:hint="eastAsia" w:asciiTheme="minorEastAsia" w:hAnsiTheme="minorEastAsia"/>
                <w:b w:val="0"/>
                <w:bCs/>
                <w:sz w:val="24"/>
                <w:szCs w:val="24"/>
              </w:rPr>
              <w:t>项目</w:t>
            </w:r>
            <w:r>
              <w:rPr>
                <w:rFonts w:asciiTheme="minorEastAsia" w:hAnsiTheme="minorEastAsia"/>
                <w:b w:val="0"/>
                <w:bCs/>
                <w:sz w:val="24"/>
                <w:szCs w:val="24"/>
              </w:rPr>
              <w:t>内容及技术要求</w:t>
            </w:r>
            <w:r>
              <w:rPr>
                <w:rFonts w:hint="eastAsia" w:asciiTheme="minorEastAsia" w:hAnsiTheme="minorEastAsia"/>
                <w:b w:val="0"/>
                <w:bCs/>
                <w:sz w:val="24"/>
                <w:szCs w:val="24"/>
                <w:lang w:eastAsia="zh-CN"/>
              </w:rPr>
              <w:t>中核心技术要求</w:t>
            </w:r>
            <w:r>
              <w:rPr>
                <w:rFonts w:hint="eastAsia" w:ascii="宋体" w:hAnsi="宋体" w:eastAsia="宋体" w:cs="宋体"/>
                <w:spacing w:val="-3"/>
                <w:sz w:val="24"/>
                <w:highlight w:val="none"/>
              </w:rPr>
              <w:t>进行响应，全部满足得满分</w:t>
            </w:r>
            <w:r>
              <w:rPr>
                <w:rFonts w:hint="eastAsia" w:ascii="宋体" w:hAnsi="宋体" w:eastAsia="宋体" w:cs="宋体"/>
                <w:spacing w:val="-3"/>
                <w:sz w:val="24"/>
                <w:highlight w:val="none"/>
                <w:lang w:val="en-US" w:eastAsia="zh-CN"/>
              </w:rPr>
              <w:t>30</w:t>
            </w:r>
            <w:r>
              <w:rPr>
                <w:rFonts w:hint="eastAsia" w:ascii="宋体" w:hAnsi="宋体" w:eastAsia="宋体" w:cs="宋体"/>
                <w:spacing w:val="-3"/>
                <w:sz w:val="24"/>
                <w:highlight w:val="none"/>
              </w:rPr>
              <w:t>分。</w:t>
            </w:r>
          </w:p>
          <w:p>
            <w:pPr>
              <w:ind w:left="105" w:leftChars="50"/>
              <w:rPr>
                <w:rFonts w:hint="eastAsia" w:ascii="宋体" w:hAnsi="宋体" w:eastAsia="宋体" w:cs="宋体"/>
                <w:bCs/>
                <w:sz w:val="24"/>
                <w:highlight w:val="none"/>
              </w:rPr>
            </w:pPr>
            <w:r>
              <w:rPr>
                <w:rFonts w:hint="eastAsia" w:ascii="宋体" w:hAnsi="宋体" w:eastAsia="宋体" w:cs="宋体"/>
                <w:bCs/>
                <w:sz w:val="24"/>
                <w:highlight w:val="none"/>
              </w:rPr>
              <w:t>1.完全满足“</w:t>
            </w:r>
            <w:r>
              <w:rPr>
                <w:rFonts w:hint="eastAsia" w:ascii="宋体" w:hAnsi="宋体" w:eastAsia="宋体" w:cs="宋体"/>
                <w:spacing w:val="-3"/>
                <w:sz w:val="24"/>
                <w:highlight w:val="none"/>
              </w:rPr>
              <w:t>第</w:t>
            </w:r>
            <w:r>
              <w:rPr>
                <w:rFonts w:hint="eastAsia" w:ascii="宋体" w:hAnsi="宋体" w:eastAsia="宋体" w:cs="宋体"/>
                <w:spacing w:val="-3"/>
                <w:sz w:val="24"/>
                <w:highlight w:val="none"/>
                <w:lang w:eastAsia="zh-CN"/>
              </w:rPr>
              <w:t>二</w:t>
            </w:r>
            <w:r>
              <w:rPr>
                <w:rFonts w:hint="eastAsia" w:ascii="宋体" w:hAnsi="宋体" w:eastAsia="宋体" w:cs="宋体"/>
                <w:spacing w:val="-3"/>
                <w:sz w:val="24"/>
                <w:highlight w:val="none"/>
              </w:rPr>
              <w:t>章</w:t>
            </w:r>
            <w:r>
              <w:rPr>
                <w:rFonts w:hint="eastAsia" w:asciiTheme="minorEastAsia" w:hAnsiTheme="minorEastAsia"/>
                <w:b w:val="0"/>
                <w:bCs/>
                <w:sz w:val="24"/>
                <w:szCs w:val="24"/>
              </w:rPr>
              <w:t>项目</w:t>
            </w:r>
            <w:r>
              <w:rPr>
                <w:rFonts w:asciiTheme="minorEastAsia" w:hAnsiTheme="minorEastAsia"/>
                <w:b w:val="0"/>
                <w:bCs/>
                <w:sz w:val="24"/>
                <w:szCs w:val="24"/>
              </w:rPr>
              <w:t>内容及技术要求</w:t>
            </w:r>
            <w:r>
              <w:rPr>
                <w:rFonts w:hint="eastAsia" w:asciiTheme="minorEastAsia" w:hAnsiTheme="minorEastAsia"/>
                <w:b w:val="0"/>
                <w:bCs/>
                <w:sz w:val="24"/>
                <w:szCs w:val="24"/>
                <w:lang w:eastAsia="zh-CN"/>
              </w:rPr>
              <w:t>中核心技术要求</w:t>
            </w:r>
            <w:r>
              <w:rPr>
                <w:rFonts w:hint="eastAsia" w:ascii="宋体" w:hAnsi="宋体" w:eastAsia="宋体" w:cs="宋体"/>
                <w:bCs/>
                <w:sz w:val="24"/>
                <w:highlight w:val="none"/>
              </w:rPr>
              <w:t>”得满分</w:t>
            </w:r>
            <w:r>
              <w:rPr>
                <w:rFonts w:hint="eastAsia" w:ascii="宋体" w:hAnsi="宋体" w:eastAsia="宋体" w:cs="宋体"/>
                <w:bCs/>
                <w:sz w:val="24"/>
                <w:highlight w:val="none"/>
                <w:lang w:val="en-US" w:eastAsia="zh-CN"/>
              </w:rPr>
              <w:t>30</w:t>
            </w:r>
            <w:r>
              <w:rPr>
                <w:rFonts w:hint="eastAsia" w:ascii="宋体" w:hAnsi="宋体" w:eastAsia="宋体" w:cs="宋体"/>
                <w:bCs/>
                <w:sz w:val="24"/>
                <w:highlight w:val="none"/>
              </w:rPr>
              <w:t xml:space="preserve">分。 </w:t>
            </w:r>
          </w:p>
          <w:p>
            <w:pPr>
              <w:ind w:left="105" w:leftChars="50"/>
              <w:rPr>
                <w:rFonts w:hint="eastAsia" w:ascii="宋体" w:hAnsi="宋体" w:eastAsia="宋体" w:cs="宋体"/>
                <w:spacing w:val="-3"/>
                <w:kern w:val="0"/>
                <w:sz w:val="24"/>
              </w:rPr>
            </w:pPr>
            <w:r>
              <w:rPr>
                <w:rFonts w:hint="eastAsia" w:ascii="宋体" w:hAnsi="宋体" w:eastAsia="宋体" w:cs="宋体"/>
                <w:bCs/>
                <w:sz w:val="24"/>
                <w:highlight w:val="none"/>
              </w:rPr>
              <w:t>2.项目实施要求(共计4条)负偏离扣</w:t>
            </w:r>
            <w:r>
              <w:rPr>
                <w:rFonts w:hint="eastAsia" w:ascii="宋体" w:hAnsi="宋体" w:eastAsia="宋体" w:cs="宋体"/>
                <w:bCs/>
                <w:sz w:val="24"/>
                <w:highlight w:val="none"/>
                <w:lang w:val="en-US" w:eastAsia="zh-CN"/>
              </w:rPr>
              <w:t>7.5</w:t>
            </w:r>
            <w:r>
              <w:rPr>
                <w:rFonts w:hint="eastAsia" w:ascii="宋体" w:hAnsi="宋体" w:eastAsia="宋体" w:cs="宋体"/>
                <w:bCs/>
                <w:sz w:val="24"/>
                <w:highlight w:val="none"/>
              </w:rPr>
              <w:t>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6"/>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5</w:t>
            </w:r>
          </w:p>
        </w:tc>
        <w:tc>
          <w:tcPr>
            <w:tcW w:w="1233" w:type="dxa"/>
            <w:vMerge w:val="continue"/>
            <w:vAlign w:val="center"/>
          </w:tcPr>
          <w:p>
            <w:pPr>
              <w:jc w:val="center"/>
              <w:rPr>
                <w:rFonts w:hint="eastAsia" w:ascii="宋体" w:hAnsi="宋体" w:eastAsia="宋体" w:cs="宋体"/>
                <w:sz w:val="24"/>
              </w:rPr>
            </w:pPr>
          </w:p>
        </w:tc>
        <w:tc>
          <w:tcPr>
            <w:tcW w:w="1233" w:type="dxa"/>
            <w:vAlign w:val="center"/>
          </w:tcPr>
          <w:p>
            <w:pPr>
              <w:rPr>
                <w:rFonts w:hint="eastAsia" w:ascii="宋体" w:hAnsi="宋体" w:eastAsia="宋体" w:cs="宋体"/>
                <w:sz w:val="24"/>
              </w:rPr>
            </w:pPr>
          </w:p>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建设方案与实施计划</w:t>
            </w:r>
          </w:p>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（8分）</w:t>
            </w:r>
          </w:p>
        </w:tc>
        <w:tc>
          <w:tcPr>
            <w:tcW w:w="5649" w:type="dxa"/>
            <w:vAlign w:val="center"/>
          </w:tcPr>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综合考量投标人建设方案与项目适配度，包括系统部署的架构图、配置清单、业务连续性保障、进度计划方案、项目计划风险应对策略等：</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（1）项目建设方案完善，实施计划高效可行，能够完全保障项目执行，得8分；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（2）项目建设方案完整，实施计划合理可行，能够保障项目执行，得5</w:t>
            </w:r>
            <w:r>
              <w:rPr>
                <w:rFonts w:hint="eastAsia" w:eastAsia="宋体" w:cs="宋体"/>
                <w:spacing w:val="-3"/>
                <w:sz w:val="24"/>
                <w:szCs w:val="24"/>
                <w:lang w:val="en-US" w:eastAsia="zh-CN"/>
              </w:rPr>
              <w:t>-7</w:t>
            </w:r>
            <w:r>
              <w:rPr>
                <w:rFonts w:hint="eastAsia" w:ascii="宋体" w:hAnsi="宋体" w:eastAsia="宋体" w:cs="宋体"/>
                <w:spacing w:val="-3"/>
                <w:sz w:val="24"/>
                <w:szCs w:val="24"/>
                <w:lang w:eastAsia="zh-CN"/>
              </w:rPr>
              <w:t>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（3）项目建设方案基本完整，实施计划基本可行，基本能够保障项目执行，得3</w:t>
            </w:r>
            <w:r>
              <w:rPr>
                <w:rFonts w:hint="eastAsia" w:eastAsia="宋体" w:cs="宋体"/>
                <w:spacing w:val="-3"/>
                <w:sz w:val="24"/>
                <w:szCs w:val="24"/>
                <w:lang w:val="en-US" w:eastAsia="zh-CN"/>
              </w:rPr>
              <w:t>-4</w:t>
            </w:r>
            <w:bookmarkStart w:id="4" w:name="_GoBack"/>
            <w:bookmarkEnd w:id="4"/>
            <w:r>
              <w:rPr>
                <w:rFonts w:hint="eastAsia" w:ascii="宋体" w:hAnsi="宋体" w:eastAsia="宋体" w:cs="宋体"/>
                <w:spacing w:val="-3"/>
                <w:sz w:val="24"/>
                <w:szCs w:val="24"/>
                <w:lang w:eastAsia="zh-CN"/>
              </w:rPr>
              <w:t>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（4）项目建设方案不完整或存在重大缺陷，不能保障项目执行，得1分；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6"/>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6</w:t>
            </w:r>
          </w:p>
        </w:tc>
        <w:tc>
          <w:tcPr>
            <w:tcW w:w="1233" w:type="dxa"/>
            <w:vMerge w:val="continue"/>
            <w:vAlign w:val="center"/>
          </w:tcPr>
          <w:p>
            <w:pPr>
              <w:jc w:val="center"/>
              <w:rPr>
                <w:rFonts w:hint="eastAsia" w:ascii="宋体" w:hAnsi="宋体" w:eastAsia="宋体" w:cs="宋体"/>
                <w:sz w:val="24"/>
              </w:rPr>
            </w:pPr>
          </w:p>
        </w:tc>
        <w:tc>
          <w:tcPr>
            <w:tcW w:w="1233" w:type="dxa"/>
            <w:vAlign w:val="center"/>
          </w:tcPr>
          <w:p>
            <w:pPr>
              <w:jc w:val="center"/>
              <w:rPr>
                <w:rFonts w:hint="eastAsia" w:ascii="宋体" w:hAnsi="宋体" w:eastAsia="宋体" w:cs="宋体"/>
                <w:sz w:val="24"/>
              </w:rPr>
            </w:pPr>
            <w:r>
              <w:rPr>
                <w:rFonts w:hint="eastAsia" w:ascii="宋体" w:hAnsi="宋体" w:eastAsia="宋体" w:cs="宋体"/>
                <w:sz w:val="24"/>
              </w:rPr>
              <w:t>培训方案</w:t>
            </w:r>
          </w:p>
          <w:p>
            <w:pPr>
              <w:jc w:val="center"/>
              <w:rPr>
                <w:rFonts w:hint="eastAsia" w:ascii="宋体" w:hAnsi="宋体" w:eastAsia="宋体" w:cs="宋体"/>
                <w:sz w:val="24"/>
              </w:rPr>
            </w:pPr>
            <w:r>
              <w:rPr>
                <w:rFonts w:hint="eastAsia" w:ascii="宋体" w:hAnsi="宋体" w:eastAsia="宋体" w:cs="宋体"/>
                <w:sz w:val="24"/>
              </w:rPr>
              <w:t>（4分）</w:t>
            </w:r>
          </w:p>
        </w:tc>
        <w:tc>
          <w:tcPr>
            <w:tcW w:w="5649" w:type="dxa"/>
            <w:vAlign w:val="center"/>
          </w:tcPr>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综合考虑投标人提供的培训方案（包括不限于培训内容、主讲人员、培训次数、培训实施计划）：</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培训方案完善，培训内容科学、专业，高度契合项目实施内容，培训次数、主讲人员，培训实施计划高效，可行，得4分；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培训方案完整，培训内容较专业，符合项目实施内容，培训次数、主讲人员满足采购需求，培训实施计划有效，具备一定的可行性，得2分；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培训方案不完整，或培训次数、主讲人员不满足采购需求，存在重大缺陷，得1分；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6"/>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7</w:t>
            </w: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售后服务</w:t>
            </w: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售后</w:t>
            </w:r>
            <w:r>
              <w:rPr>
                <w:rFonts w:hint="eastAsia" w:ascii="宋体" w:hAnsi="宋体" w:eastAsia="宋体" w:cs="宋体"/>
                <w:sz w:val="24"/>
                <w:szCs w:val="24"/>
              </w:rPr>
              <w:t>服务</w:t>
            </w:r>
            <w:r>
              <w:rPr>
                <w:rFonts w:hint="eastAsia" w:ascii="宋体" w:hAnsi="宋体" w:eastAsia="宋体" w:cs="宋体"/>
                <w:sz w:val="24"/>
                <w:szCs w:val="24"/>
                <w:lang w:eastAsia="zh-CN"/>
              </w:rPr>
              <w:t>方案</w:t>
            </w:r>
          </w:p>
          <w:p>
            <w:pPr>
              <w:pStyle w:val="16"/>
              <w:ind w:left="105" w:leftChars="50" w:right="105" w:rightChars="50"/>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pPr>
              <w:pStyle w:val="16"/>
              <w:ind w:left="105" w:leftChars="50" w:right="105" w:rightChars="50"/>
              <w:jc w:val="center"/>
              <w:rPr>
                <w:rFonts w:hint="eastAsia" w:ascii="宋体" w:hAnsi="宋体" w:eastAsia="宋体" w:cs="宋体"/>
                <w:spacing w:val="-1"/>
                <w:sz w:val="24"/>
                <w:szCs w:val="24"/>
                <w:lang w:eastAsia="zh-CN"/>
              </w:rPr>
            </w:pPr>
          </w:p>
        </w:tc>
        <w:tc>
          <w:tcPr>
            <w:tcW w:w="5649" w:type="dxa"/>
            <w:vAlign w:val="center"/>
          </w:tcPr>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综合考虑投标人提供的售后服务方案（包括不限于售后服务内容、售后标准、售后服务技术支持）：</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（1）售后服务方案完善，售后服务内容、各项服务标准科学、专业、响应高效，具备充分的技术支撑，能够完全保障项目执行，得</w:t>
            </w: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lang w:eastAsia="zh-CN"/>
              </w:rPr>
              <w:t>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（2）售后服务方案完整，售后服务内容、各项服务标准专业、有效，能对服务要求做出有效响应，具有一定的技术支撑，能够保障项目执行，得</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lang w:eastAsia="zh-CN"/>
              </w:rPr>
              <w:t>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（3）售后服务方案较完整，售后服务内容、各项服务标准较专业、较有效，具有一定的技术支撑，能够基本保障项目执行，得</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lang w:eastAsia="zh-CN"/>
              </w:rPr>
              <w:t>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（4）售后服务方案不完整或存在重大缺陷，不能保障项目执行，得</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lang w:eastAsia="zh-CN"/>
              </w:rPr>
              <w:t>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trPr>
        <w:tc>
          <w:tcPr>
            <w:tcW w:w="8795" w:type="dxa"/>
            <w:gridSpan w:val="4"/>
          </w:tcPr>
          <w:p>
            <w:pPr>
              <w:pStyle w:val="16"/>
              <w:jc w:val="center"/>
              <w:rPr>
                <w:rFonts w:hint="eastAsia" w:ascii="宋体" w:hAnsi="宋体" w:eastAsia="宋体" w:cs="宋体"/>
                <w:sz w:val="24"/>
                <w:szCs w:val="24"/>
              </w:rPr>
            </w:pPr>
            <w:r>
              <w:rPr>
                <w:rFonts w:hint="eastAsia" w:ascii="宋体" w:hAnsi="宋体" w:eastAsia="宋体" w:cs="宋体"/>
                <w:sz w:val="24"/>
                <w:szCs w:val="24"/>
                <w:lang w:eastAsia="zh-CN"/>
              </w:rPr>
              <w:t>合计（100 分）</w:t>
            </w:r>
          </w:p>
        </w:tc>
      </w:tr>
    </w:tbl>
    <w:p>
      <w:pPr>
        <w:spacing w:line="360" w:lineRule="auto"/>
        <w:rPr>
          <w:rFonts w:hint="default" w:asciiTheme="minorEastAsia" w:hAnsiTheme="minorEastAsia"/>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018717"/>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99412"/>
    <w:multiLevelType w:val="singleLevel"/>
    <w:tmpl w:val="C48994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16"/>
    <w:rsid w:val="00000347"/>
    <w:rsid w:val="00000DA7"/>
    <w:rsid w:val="0009308D"/>
    <w:rsid w:val="000C30F0"/>
    <w:rsid w:val="000C6850"/>
    <w:rsid w:val="000E37CD"/>
    <w:rsid w:val="00114A9C"/>
    <w:rsid w:val="00121A90"/>
    <w:rsid w:val="00176FE6"/>
    <w:rsid w:val="001775AB"/>
    <w:rsid w:val="001D0EDD"/>
    <w:rsid w:val="00266077"/>
    <w:rsid w:val="003C089E"/>
    <w:rsid w:val="00450A5B"/>
    <w:rsid w:val="00480C86"/>
    <w:rsid w:val="00516825"/>
    <w:rsid w:val="00535B43"/>
    <w:rsid w:val="0056104A"/>
    <w:rsid w:val="008832E5"/>
    <w:rsid w:val="008E2A16"/>
    <w:rsid w:val="00903179"/>
    <w:rsid w:val="00933E91"/>
    <w:rsid w:val="009A6810"/>
    <w:rsid w:val="00A83594"/>
    <w:rsid w:val="00A83AF1"/>
    <w:rsid w:val="00AD15AB"/>
    <w:rsid w:val="00B406AB"/>
    <w:rsid w:val="00B6550C"/>
    <w:rsid w:val="00BD38D6"/>
    <w:rsid w:val="00C21CCB"/>
    <w:rsid w:val="00CD1E16"/>
    <w:rsid w:val="00D04FF7"/>
    <w:rsid w:val="00D321FE"/>
    <w:rsid w:val="00DA0342"/>
    <w:rsid w:val="00E20D64"/>
    <w:rsid w:val="00E63520"/>
    <w:rsid w:val="00FE7E51"/>
    <w:rsid w:val="028E0A41"/>
    <w:rsid w:val="02C8629C"/>
    <w:rsid w:val="03385656"/>
    <w:rsid w:val="08F04EB8"/>
    <w:rsid w:val="0A94336A"/>
    <w:rsid w:val="0BAE3AB7"/>
    <w:rsid w:val="0E19612F"/>
    <w:rsid w:val="0EDC4ABF"/>
    <w:rsid w:val="0FAD6545"/>
    <w:rsid w:val="10CA3499"/>
    <w:rsid w:val="112C7CBB"/>
    <w:rsid w:val="12F066A2"/>
    <w:rsid w:val="12F7602D"/>
    <w:rsid w:val="17C346CC"/>
    <w:rsid w:val="188A30D0"/>
    <w:rsid w:val="18C26AAD"/>
    <w:rsid w:val="192148C8"/>
    <w:rsid w:val="1AB4145B"/>
    <w:rsid w:val="1B47424D"/>
    <w:rsid w:val="1B822DAD"/>
    <w:rsid w:val="1C831A57"/>
    <w:rsid w:val="1D0A5998"/>
    <w:rsid w:val="1E0E11DD"/>
    <w:rsid w:val="1EBE5AFE"/>
    <w:rsid w:val="1EDD2B2F"/>
    <w:rsid w:val="22A86068"/>
    <w:rsid w:val="22BD058C"/>
    <w:rsid w:val="24DB0907"/>
    <w:rsid w:val="266F2F1B"/>
    <w:rsid w:val="272107C1"/>
    <w:rsid w:val="27E92788"/>
    <w:rsid w:val="29E412C9"/>
    <w:rsid w:val="2DE8740E"/>
    <w:rsid w:val="2E660AAD"/>
    <w:rsid w:val="2EB973AA"/>
    <w:rsid w:val="2F1653CE"/>
    <w:rsid w:val="2F7B2B74"/>
    <w:rsid w:val="3364565D"/>
    <w:rsid w:val="349C315B"/>
    <w:rsid w:val="34CF5F34"/>
    <w:rsid w:val="3572573D"/>
    <w:rsid w:val="39933C03"/>
    <w:rsid w:val="3AA23DC1"/>
    <w:rsid w:val="3AD13008"/>
    <w:rsid w:val="3E9B4946"/>
    <w:rsid w:val="43C57DBB"/>
    <w:rsid w:val="43D6135A"/>
    <w:rsid w:val="485A1E43"/>
    <w:rsid w:val="488F3217"/>
    <w:rsid w:val="49C97A9C"/>
    <w:rsid w:val="4A2645B2"/>
    <w:rsid w:val="4ACB2B41"/>
    <w:rsid w:val="4DFB61FC"/>
    <w:rsid w:val="4F6457CE"/>
    <w:rsid w:val="4F78446F"/>
    <w:rsid w:val="50C2570B"/>
    <w:rsid w:val="5A2B56FD"/>
    <w:rsid w:val="5BB93C0A"/>
    <w:rsid w:val="5BEF0861"/>
    <w:rsid w:val="5C4D1EFF"/>
    <w:rsid w:val="5D383918"/>
    <w:rsid w:val="5DC13FDF"/>
    <w:rsid w:val="5DEA51A3"/>
    <w:rsid w:val="5E9E26C8"/>
    <w:rsid w:val="607B63D6"/>
    <w:rsid w:val="608B4472"/>
    <w:rsid w:val="61AC454A"/>
    <w:rsid w:val="634877EE"/>
    <w:rsid w:val="6549603A"/>
    <w:rsid w:val="663A0E45"/>
    <w:rsid w:val="66B17B8A"/>
    <w:rsid w:val="66EA5766"/>
    <w:rsid w:val="67AA451F"/>
    <w:rsid w:val="68340A52"/>
    <w:rsid w:val="6AE901F4"/>
    <w:rsid w:val="6E391BE5"/>
    <w:rsid w:val="6E7064BC"/>
    <w:rsid w:val="70DF533C"/>
    <w:rsid w:val="72376BF2"/>
    <w:rsid w:val="72764159"/>
    <w:rsid w:val="75761242"/>
    <w:rsid w:val="77A727DC"/>
    <w:rsid w:val="77D47E28"/>
    <w:rsid w:val="7ADB231E"/>
    <w:rsid w:val="7BBC740E"/>
    <w:rsid w:val="7D741447"/>
    <w:rsid w:val="7DA372AE"/>
    <w:rsid w:val="7DD16AF9"/>
    <w:rsid w:val="7E994343"/>
    <w:rsid w:val="7FEC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lb"/>
    <w:basedOn w:val="6"/>
    <w:qFormat/>
    <w:uiPriority w:val="0"/>
  </w:style>
  <w:style w:type="character" w:customStyle="1" w:styleId="10">
    <w:name w:val="outer-u-container"/>
    <w:basedOn w:val="6"/>
    <w:qFormat/>
    <w:uiPriority w:val="0"/>
  </w:style>
  <w:style w:type="paragraph" w:styleId="11">
    <w:name w:val="List Paragraph"/>
    <w:basedOn w:val="1"/>
    <w:qFormat/>
    <w:uiPriority w:val="34"/>
    <w:pPr>
      <w:ind w:firstLine="420" w:firstLineChars="200"/>
    </w:pPr>
  </w:style>
  <w:style w:type="character" w:customStyle="1" w:styleId="12">
    <w:name w:val="标题 2 字符"/>
    <w:basedOn w:val="6"/>
    <w:link w:val="2"/>
    <w:qFormat/>
    <w:uiPriority w:val="9"/>
    <w:rPr>
      <w:rFonts w:ascii="宋体" w:hAnsi="宋体" w:eastAsia="宋体" w:cs="宋体"/>
      <w:b/>
      <w:bCs/>
      <w:kern w:val="0"/>
      <w:sz w:val="36"/>
      <w:szCs w:val="36"/>
    </w:rPr>
  </w:style>
  <w:style w:type="character" w:customStyle="1" w:styleId="13">
    <w:name w:val="页眉 字符"/>
    <w:basedOn w:val="6"/>
    <w:link w:val="4"/>
    <w:qFormat/>
    <w:uiPriority w:val="99"/>
    <w:rPr>
      <w:sz w:val="18"/>
      <w:szCs w:val="18"/>
    </w:rPr>
  </w:style>
  <w:style w:type="character" w:customStyle="1" w:styleId="14">
    <w:name w:val="页脚 字符"/>
    <w:basedOn w:val="6"/>
    <w:link w:val="3"/>
    <w:qFormat/>
    <w:uiPriority w:val="99"/>
    <w:rPr>
      <w:sz w:val="18"/>
      <w:szCs w:val="18"/>
    </w:rPr>
  </w:style>
  <w:style w:type="paragraph" w:customStyle="1" w:styleId="15">
    <w:name w:val="SOW正文"/>
    <w:basedOn w:val="1"/>
    <w:qFormat/>
    <w:uiPriority w:val="0"/>
    <w:pPr>
      <w:snapToGrid w:val="0"/>
      <w:spacing w:before="120" w:line="400" w:lineRule="exact"/>
      <w:ind w:firstLine="425"/>
    </w:pPr>
    <w:rPr>
      <w:sz w:val="24"/>
    </w:rPr>
  </w:style>
  <w:style w:type="paragraph" w:customStyle="1" w:styleId="1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104</Words>
  <Characters>593</Characters>
  <Lines>4</Lines>
  <Paragraphs>1</Paragraphs>
  <TotalTime>1</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2025-12-04T01:35:00Z</dcterms:created>
  <dc:creator>Seagle</dc:creator>
  <cp:lastModifiedBy>sxc</cp:lastModifiedBy>
  <dcterms:modified xsi:type="dcterms:W3CDTF">2026-01-09T06:43:16Z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312378106D284D9791DEF526A3CD061E</vt:lpwstr>
  </property>
</Properties>
</file>