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一、项目概况</w:t>
      </w:r>
    </w:p>
    <w:p>
      <w:pPr>
        <w:kinsoku w:val="0"/>
        <w:overflowPunct w:val="0"/>
        <w:autoSpaceDE w:val="0"/>
        <w:autoSpaceDN w:val="0"/>
        <w:adjustRightInd w:val="0"/>
        <w:spacing w:after="0" w:line="360" w:lineRule="auto"/>
        <w:jc w:val="both"/>
        <w:rPr>
          <w:rFonts w:hint="eastAsia" w:ascii="幼圆" w:hAnsi="幼圆" w:eastAsia="幼圆" w:cs="幼圆"/>
          <w:sz w:val="21"/>
          <w:szCs w:val="20"/>
          <w:lang w:eastAsia="zh-CN"/>
        </w:rPr>
      </w:pPr>
      <w:r>
        <w:rPr>
          <w:rFonts w:hint="eastAsia" w:ascii="幼圆" w:hAnsi="幼圆" w:eastAsia="幼圆" w:cs="幼圆"/>
          <w:sz w:val="21"/>
          <w:szCs w:val="20"/>
          <w:lang w:eastAsia="zh-CN"/>
        </w:rPr>
        <w:t>项目</w:t>
      </w:r>
      <w:r>
        <w:rPr>
          <w:rFonts w:hint="eastAsia" w:ascii="幼圆" w:hAnsi="幼圆" w:eastAsia="幼圆" w:cs="幼圆"/>
          <w:sz w:val="21"/>
          <w:szCs w:val="20"/>
        </w:rPr>
        <w:t>名称：5号楼3层内镜中心改造工程监理服务采购项目</w:t>
      </w:r>
    </w:p>
    <w:p>
      <w:pPr>
        <w:kinsoku w:val="0"/>
        <w:overflowPunct w:val="0"/>
        <w:autoSpaceDE w:val="0"/>
        <w:autoSpaceDN w:val="0"/>
        <w:adjustRightInd w:val="0"/>
        <w:spacing w:after="0" w:line="360" w:lineRule="auto"/>
        <w:jc w:val="both"/>
        <w:rPr>
          <w:rFonts w:hint="eastAsia" w:ascii="幼圆" w:hAnsi="幼圆" w:eastAsia="幼圆" w:cs="幼圆"/>
          <w:sz w:val="21"/>
          <w:szCs w:val="20"/>
        </w:rPr>
      </w:pPr>
      <w:r>
        <w:rPr>
          <w:rFonts w:hint="eastAsia" w:ascii="幼圆" w:hAnsi="幼圆" w:eastAsia="幼圆" w:cs="幼圆"/>
          <w:sz w:val="21"/>
          <w:szCs w:val="20"/>
        </w:rPr>
        <w:t>建设单位：北京清华长庚医院</w:t>
      </w:r>
    </w:p>
    <w:p>
      <w:pPr>
        <w:kinsoku w:val="0"/>
        <w:overflowPunct w:val="0"/>
        <w:autoSpaceDE w:val="0"/>
        <w:autoSpaceDN w:val="0"/>
        <w:adjustRightInd w:val="0"/>
        <w:spacing w:after="0" w:line="360" w:lineRule="auto"/>
        <w:jc w:val="both"/>
        <w:rPr>
          <w:rFonts w:hint="eastAsia" w:ascii="幼圆" w:hAnsi="幼圆" w:eastAsia="幼圆" w:cs="幼圆"/>
          <w:sz w:val="21"/>
          <w:szCs w:val="20"/>
        </w:rPr>
      </w:pPr>
      <w:r>
        <w:rPr>
          <w:rFonts w:hint="eastAsia" w:ascii="幼圆" w:hAnsi="幼圆" w:eastAsia="幼圆" w:cs="幼圆"/>
          <w:sz w:val="21"/>
          <w:szCs w:val="20"/>
        </w:rPr>
        <w:t>建设地点：北京市昌平区立汤路168号</w:t>
      </w:r>
    </w:p>
    <w:p>
      <w:pPr>
        <w:pStyle w:val="2"/>
        <w:rPr>
          <w:rFonts w:hint="default" w:eastAsia="幼圆"/>
          <w:lang w:val="en-US" w:eastAsia="zh-CN"/>
        </w:rPr>
      </w:pPr>
      <w:r>
        <w:rPr>
          <w:rFonts w:hint="eastAsia" w:ascii="幼圆" w:hAnsi="幼圆" w:eastAsia="幼圆" w:cs="幼圆"/>
          <w:sz w:val="21"/>
          <w:szCs w:val="20"/>
          <w:lang w:val="en-US" w:eastAsia="zh-CN"/>
        </w:rPr>
        <w:t>建筑面积：约2400平方米</w:t>
      </w:r>
      <w:bookmarkStart w:id="1" w:name="_GoBack"/>
      <w:bookmarkEnd w:id="1"/>
    </w:p>
    <w:p>
      <w:pPr>
        <w:numPr>
          <w:ilvl w:val="0"/>
          <w:numId w:val="8"/>
        </w:num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项目范围</w:t>
      </w:r>
    </w:p>
    <w:p>
      <w:pPr>
        <w:numPr>
          <w:ilvl w:val="0"/>
          <w:numId w:val="0"/>
        </w:numPr>
        <w:spacing w:line="360" w:lineRule="auto"/>
        <w:rPr>
          <w:rFonts w:hint="eastAsia" w:ascii="幼圆" w:hAnsi="幼圆" w:eastAsia="幼圆" w:cs="幼圆"/>
          <w:b w:val="0"/>
          <w:bCs w:val="0"/>
          <w:sz w:val="21"/>
          <w:szCs w:val="20"/>
          <w:lang w:val="en-US" w:eastAsia="zh-CN"/>
        </w:rPr>
      </w:pPr>
      <w:r>
        <w:rPr>
          <w:rFonts w:hint="eastAsia" w:ascii="幼圆" w:hAnsi="幼圆" w:eastAsia="幼圆" w:cs="幼圆"/>
          <w:b w:val="0"/>
          <w:bCs w:val="0"/>
          <w:sz w:val="21"/>
          <w:szCs w:val="20"/>
          <w:lang w:val="en-US" w:eastAsia="zh-CN"/>
        </w:rPr>
        <w:t>详见《技术需求及评分标准》中内容。</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1、具有有效的企业营业执照；</w:t>
      </w:r>
      <w:r>
        <w:rPr>
          <w:rFonts w:hint="eastAsia" w:ascii="幼圆" w:hAnsi="幼圆" w:eastAsia="幼圆" w:cs="幼圆"/>
          <w:b/>
          <w:bCs/>
          <w:color w:val="FF0000"/>
          <w:sz w:val="21"/>
          <w:szCs w:val="20"/>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2、具有房屋建筑工程监理甲级、机电安装工程监理乙级及以上资质； </w:t>
      </w:r>
      <w:r>
        <w:rPr>
          <w:rFonts w:hint="eastAsia" w:ascii="幼圆" w:hAnsi="幼圆" w:eastAsia="幼圆" w:cs="幼圆"/>
          <w:b/>
          <w:bCs/>
          <w:color w:val="FF0000"/>
          <w:sz w:val="21"/>
          <w:szCs w:val="20"/>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lang w:val="en-US" w:eastAsia="zh-CN"/>
        </w:rPr>
      </w:pPr>
      <w:r>
        <w:rPr>
          <w:rFonts w:hint="eastAsia" w:ascii="幼圆" w:hAnsi="幼圆" w:eastAsia="幼圆" w:cs="幼圆"/>
          <w:b w:val="0"/>
          <w:bCs w:val="0"/>
          <w:color w:val="auto"/>
          <w:sz w:val="21"/>
          <w:szCs w:val="20"/>
          <w:lang w:val="en-US" w:eastAsia="zh-CN"/>
        </w:rPr>
        <w:t>3、投标人拟派总监理工程师须具备注册监理工程师证书；</w:t>
      </w:r>
      <w:r>
        <w:rPr>
          <w:rFonts w:hint="eastAsia" w:ascii="幼圆" w:hAnsi="幼圆" w:eastAsia="幼圆" w:cs="幼圆"/>
          <w:sz w:val="21"/>
          <w:szCs w:val="20"/>
          <w:lang w:val="en-US" w:eastAsia="zh-CN"/>
        </w:rPr>
        <w:t xml:space="preserve"> </w:t>
      </w:r>
      <w:r>
        <w:rPr>
          <w:rFonts w:hint="eastAsia" w:ascii="幼圆" w:hAnsi="幼圆" w:eastAsia="幼圆" w:cs="幼圆"/>
          <w:b/>
          <w:bCs/>
          <w:color w:val="FF0000"/>
          <w:sz w:val="21"/>
          <w:szCs w:val="20"/>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4、投标人在近三年内（2023年1月-至今） 没有骗取中标和严重违约及重大项目质量问题；参加本采购活动前三年内，在经营活动中没有重大违法记录；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5、具有良好的商业信誉和健全的财务会计制度；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6、具有依法缴纳税收和社会保障资金的良好记录；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7、本项目不接受联合体投标。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 xml:space="preserve">四、服务期要求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合同履行期限：计划开工日期2026年1月27日,共计85天。</w:t>
      </w:r>
      <w:r>
        <w:rPr>
          <w:rFonts w:hint="eastAsia" w:ascii="幼圆" w:hAnsi="幼圆" w:eastAsia="幼圆" w:cs="幼圆"/>
          <w:b/>
          <w:bCs/>
          <w:color w:val="FF0000"/>
          <w:sz w:val="21"/>
          <w:szCs w:val="20"/>
          <w:lang w:val="en-US" w:eastAsia="zh-CN"/>
        </w:rPr>
        <w:t>（*必须响应，废标项）</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五、服务内容</w:t>
      </w:r>
    </w:p>
    <w:p>
      <w:pPr>
        <w:widowControl w:val="0"/>
        <w:autoSpaceDE w:val="0"/>
        <w:autoSpaceDN w:val="0"/>
        <w:adjustRightInd w:val="0"/>
        <w:spacing w:line="360" w:lineRule="auto"/>
        <w:jc w:val="both"/>
        <w:textAlignment w:val="auto"/>
        <w:rPr>
          <w:rFonts w:hint="eastAsia" w:ascii="幼圆" w:hAnsi="幼圆" w:eastAsia="幼圆" w:cs="幼圆"/>
          <w:b/>
          <w:bCs/>
          <w:sz w:val="21"/>
          <w:szCs w:val="20"/>
        </w:rPr>
      </w:pPr>
      <w:bookmarkStart w:id="0" w:name="_Toc195775598"/>
      <w:r>
        <w:rPr>
          <w:rFonts w:hint="eastAsia" w:ascii="幼圆" w:hAnsi="幼圆" w:eastAsia="幼圆" w:cs="幼圆"/>
          <w:b/>
          <w:bCs/>
          <w:sz w:val="21"/>
          <w:szCs w:val="20"/>
        </w:rPr>
        <w:t>（一）内容包括但不限于质量、进度、造价控制，做好合同、信息、资料的管理，同时配合委托方完成现场各参建单位的组织协调工作。具体内容如下：</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1、质量控制</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（1）</w:t>
      </w:r>
      <w:r>
        <w:rPr>
          <w:rFonts w:hint="eastAsia" w:ascii="幼圆" w:hAnsi="幼圆" w:eastAsia="幼圆" w:cs="幼圆"/>
          <w:sz w:val="21"/>
          <w:szCs w:val="21"/>
        </w:rPr>
        <w:t>熟悉施工图，参加设计交底会议，提出相关建议或意见；</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（2）</w:t>
      </w:r>
      <w:r>
        <w:rPr>
          <w:rFonts w:hint="eastAsia" w:ascii="幼圆" w:hAnsi="幼圆" w:eastAsia="幼圆" w:cs="幼圆"/>
          <w:sz w:val="21"/>
          <w:szCs w:val="21"/>
        </w:rPr>
        <w:t>审查和批准施工组织设计，核实并签发施工必须遵循的设计要求、采用的技术标准、技术规程规范等质量文件；</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（3）</w:t>
      </w:r>
      <w:r>
        <w:rPr>
          <w:rFonts w:hint="eastAsia" w:ascii="幼圆" w:hAnsi="幼圆" w:eastAsia="幼圆" w:cs="幼圆"/>
          <w:sz w:val="21"/>
          <w:szCs w:val="21"/>
        </w:rPr>
        <w:t>审查工程开工条件，检查施工前的各项准备工作；</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（4）</w:t>
      </w:r>
      <w:r>
        <w:rPr>
          <w:rFonts w:hint="eastAsia" w:ascii="幼圆" w:hAnsi="幼圆" w:eastAsia="幼圆" w:cs="幼圆"/>
          <w:sz w:val="21"/>
          <w:szCs w:val="21"/>
        </w:rPr>
        <w:t>复核和审查施工单位、分包单位以及材料、设备、构配件等供应单位的资格及发包手续、备案情况等；严格监控工程材料、构配件和设备的数量、质量，按委托人的授权要求管理甲供的材料。</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（5）</w:t>
      </w:r>
      <w:r>
        <w:rPr>
          <w:rFonts w:hint="eastAsia" w:ascii="幼圆" w:hAnsi="幼圆" w:eastAsia="幼圆" w:cs="幼圆"/>
          <w:sz w:val="21"/>
          <w:szCs w:val="21"/>
        </w:rPr>
        <w:t>审批工程项目单位工程、分部分项工程和检验批的划分，并依据监理规划分析、调整和确定质量控制重点、质量控制工作流程和监理措施，制定质量控制的各项实施细则、规定及其它管理制度；</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（6）</w:t>
      </w:r>
      <w:r>
        <w:rPr>
          <w:rFonts w:hint="eastAsia" w:ascii="幼圆" w:hAnsi="幼圆" w:eastAsia="幼圆" w:cs="幼圆"/>
          <w:sz w:val="21"/>
          <w:szCs w:val="21"/>
        </w:rPr>
        <w:t>检查督促承包人建立健全适合于本工程的质量管理体系，并能切实发挥作用，督促承包人进行全面质量管理工作；</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（7）</w:t>
      </w:r>
      <w:r>
        <w:rPr>
          <w:rFonts w:hint="eastAsia" w:ascii="幼圆" w:hAnsi="幼圆" w:eastAsia="幼圆" w:cs="幼圆"/>
          <w:sz w:val="21"/>
          <w:szCs w:val="21"/>
        </w:rPr>
        <w:t>协助委托人移交与项目施工有关的测量控制网点；审查承包人提交的测量实施报告，并依据监理规范要求检查和复核有关测量成果；</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（8）</w:t>
      </w:r>
      <w:r>
        <w:rPr>
          <w:rFonts w:hint="eastAsia" w:ascii="幼圆" w:hAnsi="幼圆" w:eastAsia="幼圆" w:cs="幼圆"/>
          <w:sz w:val="21"/>
          <w:szCs w:val="21"/>
        </w:rPr>
        <w:t>审查承包人自建的试验室或委托试验的试验室；审查批准承包人按合同规定进行的材料、工艺试验及确定各项施工参数的试验；</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（9）</w:t>
      </w:r>
      <w:r>
        <w:rPr>
          <w:rFonts w:hint="eastAsia" w:ascii="幼圆" w:hAnsi="幼圆" w:eastAsia="幼圆" w:cs="幼圆"/>
          <w:sz w:val="21"/>
          <w:szCs w:val="21"/>
        </w:rPr>
        <w:t>审查进场工程材料的质量证明文件及施工承包人按有关规定进行的试验检测结果。必要时，监理人可按合同约定进行一定数量的抽样检测试验；</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（10）</w:t>
      </w:r>
      <w:r>
        <w:rPr>
          <w:rFonts w:hint="eastAsia" w:ascii="幼圆" w:hAnsi="幼圆" w:eastAsia="幼圆" w:cs="幼圆"/>
          <w:sz w:val="21"/>
          <w:szCs w:val="21"/>
        </w:rPr>
        <w:t>施工质量进行全过程的监督管理，在加强现场管理工作的前提下对重要部位、隐蔽工程和关键工序应采取旁站监理；对施工质量情况及时做好记录和统计工作，对发现质量问题的施工现场及时进行拍照或录相；</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（11）</w:t>
      </w:r>
      <w:r>
        <w:rPr>
          <w:rFonts w:hint="eastAsia" w:ascii="幼圆" w:hAnsi="幼圆" w:eastAsia="幼圆" w:cs="幼圆"/>
          <w:sz w:val="21"/>
          <w:szCs w:val="21"/>
        </w:rPr>
        <w:t>组织或参与质量事故的调查，审批事故处理方案，并监督质量事故的处理；</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（12）</w:t>
      </w:r>
      <w:r>
        <w:rPr>
          <w:rFonts w:hint="eastAsia" w:ascii="幼圆" w:hAnsi="幼圆" w:eastAsia="幼圆" w:cs="幼圆"/>
          <w:sz w:val="21"/>
          <w:szCs w:val="21"/>
        </w:rPr>
        <w:t>组织并主持定期或不定期的质量检查会和分析会，分析、通报施工质量情况，协调有关单位间的施工活动以消除影响质量的各种外部干扰因素；</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（13）</w:t>
      </w:r>
      <w:r>
        <w:rPr>
          <w:rFonts w:hint="eastAsia" w:ascii="幼圆" w:hAnsi="幼圆" w:eastAsia="幼圆" w:cs="幼圆"/>
          <w:sz w:val="21"/>
          <w:szCs w:val="21"/>
        </w:rPr>
        <w:t>对工程项目的检验批、分部分项工程、单位工程等及时进行施工质量验收和质量评定工作；</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（14）</w:t>
      </w:r>
      <w:r>
        <w:rPr>
          <w:rFonts w:hint="eastAsia" w:ascii="幼圆" w:hAnsi="幼圆" w:eastAsia="幼圆" w:cs="幼圆"/>
          <w:sz w:val="21"/>
          <w:szCs w:val="21"/>
        </w:rPr>
        <w:t>审查竣工资料，协助委托人组织竣工预验收；</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（15）</w:t>
      </w:r>
      <w:r>
        <w:rPr>
          <w:rFonts w:hint="eastAsia" w:ascii="幼圆" w:hAnsi="幼圆" w:eastAsia="幼圆" w:cs="幼圆"/>
          <w:sz w:val="21"/>
          <w:szCs w:val="21"/>
        </w:rPr>
        <w:t>参与委托人组织的竣工验收，提交质量评估报告；</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（16）</w:t>
      </w:r>
      <w:r>
        <w:rPr>
          <w:rFonts w:hint="eastAsia" w:ascii="幼圆" w:hAnsi="幼圆" w:eastAsia="幼圆" w:cs="幼圆"/>
          <w:sz w:val="21"/>
          <w:szCs w:val="21"/>
        </w:rPr>
        <w:t>委托方交代的其他相关工作</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2、进度控制</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（1）</w:t>
      </w:r>
      <w:r>
        <w:rPr>
          <w:rFonts w:hint="eastAsia" w:ascii="幼圆" w:hAnsi="幼圆" w:eastAsia="幼圆" w:cs="幼圆"/>
          <w:sz w:val="21"/>
          <w:szCs w:val="21"/>
        </w:rPr>
        <w:t>熟悉招标文件和合同文件中有关进度的条款；</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（2）</w:t>
      </w:r>
      <w:r>
        <w:rPr>
          <w:rFonts w:hint="eastAsia" w:ascii="幼圆" w:hAnsi="幼圆" w:eastAsia="幼圆" w:cs="幼圆"/>
          <w:sz w:val="21"/>
          <w:szCs w:val="21"/>
        </w:rPr>
        <w:t>审核、分析各投标单位的进度计划；</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（3）</w:t>
      </w:r>
      <w:r>
        <w:rPr>
          <w:rFonts w:hint="eastAsia" w:ascii="幼圆" w:hAnsi="幼圆" w:eastAsia="幼圆" w:cs="幼圆"/>
          <w:sz w:val="21"/>
          <w:szCs w:val="21"/>
        </w:rPr>
        <w:t>审核施工总进度计划，并在项目施工过程中控制其执行，必要时，及时调整施工总进度；</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（4）</w:t>
      </w:r>
      <w:r>
        <w:rPr>
          <w:rFonts w:hint="eastAsia" w:ascii="幼圆" w:hAnsi="幼圆" w:eastAsia="幼圆" w:cs="幼圆"/>
          <w:sz w:val="21"/>
          <w:szCs w:val="21"/>
        </w:rPr>
        <w:t>审核项目施工各阶段、年、季、月度的进度计划，并控制其执行，必要时作调整建议；</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（5）</w:t>
      </w:r>
      <w:r>
        <w:rPr>
          <w:rFonts w:hint="eastAsia" w:ascii="幼圆" w:hAnsi="幼圆" w:eastAsia="幼圆" w:cs="幼圆"/>
          <w:sz w:val="21"/>
          <w:szCs w:val="21"/>
        </w:rPr>
        <w:t>在项目实施过程中，必要时采用计算机进行进度计划值与实际值的比较，每月、季、年提交各种进度控制报告。</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（6）</w:t>
      </w:r>
      <w:r>
        <w:rPr>
          <w:rFonts w:hint="eastAsia" w:ascii="幼圆" w:hAnsi="幼圆" w:eastAsia="幼圆" w:cs="幼圆"/>
          <w:sz w:val="21"/>
          <w:szCs w:val="21"/>
        </w:rPr>
        <w:t>符合总进度计划前提下，协调工程承包商制定并落实每阶段的施工进度计划，监理工程师按此随时检查其执行情况，发现有问题时，查清原因，记录在案，以便分清责任。</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（7）</w:t>
      </w:r>
      <w:r>
        <w:rPr>
          <w:rFonts w:hint="eastAsia" w:ascii="幼圆" w:hAnsi="幼圆" w:eastAsia="幼圆" w:cs="幼圆"/>
          <w:sz w:val="21"/>
          <w:szCs w:val="21"/>
        </w:rPr>
        <w:t>除日常协调处理施工进度存在的问题外，定期（每周不少于一次）组织工程进度协调会。</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（8）</w:t>
      </w:r>
      <w:r>
        <w:rPr>
          <w:rFonts w:hint="eastAsia" w:ascii="幼圆" w:hAnsi="幼圆" w:eastAsia="幼圆" w:cs="幼圆"/>
          <w:sz w:val="21"/>
          <w:szCs w:val="21"/>
        </w:rPr>
        <w:t>对工程承包商拖延进度提出意见和措施，在保证工程质量的前提下，与工程承包商共同商定补救办法。</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3、造价控制</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（1）</w:t>
      </w:r>
      <w:r>
        <w:rPr>
          <w:rFonts w:hint="eastAsia" w:ascii="幼圆" w:hAnsi="幼圆" w:eastAsia="幼圆" w:cs="幼圆"/>
          <w:sz w:val="21"/>
          <w:szCs w:val="21"/>
        </w:rPr>
        <w:t>对工程实际进度情况作好完善的记录和必要的变更洽商材料；</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（2）</w:t>
      </w:r>
      <w:r>
        <w:rPr>
          <w:rFonts w:hint="eastAsia" w:ascii="幼圆" w:hAnsi="幼圆" w:eastAsia="幼圆" w:cs="幼圆"/>
          <w:sz w:val="21"/>
          <w:szCs w:val="21"/>
        </w:rPr>
        <w:t>对工程的修改、变更以及返工等情况作好完善的记录和必要的变更洽商材料；</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（3）</w:t>
      </w:r>
      <w:r>
        <w:rPr>
          <w:rFonts w:hint="eastAsia" w:ascii="幼圆" w:hAnsi="幼圆" w:eastAsia="幼圆" w:cs="幼圆"/>
          <w:sz w:val="21"/>
          <w:szCs w:val="21"/>
        </w:rPr>
        <w:t>对与工程有关的措施等作好完善的记录和必要的变更洽商材料；</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（4）</w:t>
      </w:r>
      <w:r>
        <w:rPr>
          <w:rFonts w:hint="eastAsia" w:ascii="幼圆" w:hAnsi="幼圆" w:eastAsia="幼圆" w:cs="幼圆"/>
          <w:sz w:val="21"/>
          <w:szCs w:val="21"/>
        </w:rPr>
        <w:t>监理人应于每月25日前对承包人提交的工程量月报表进行复核，并向</w:t>
      </w:r>
      <w:r>
        <w:rPr>
          <w:rFonts w:hint="eastAsia" w:ascii="幼圆" w:hAnsi="幼圆" w:eastAsia="幼圆" w:cs="幼圆"/>
          <w:sz w:val="21"/>
          <w:szCs w:val="21"/>
          <w:lang w:val="en-US" w:eastAsia="zh-CN"/>
        </w:rPr>
        <w:t>委托人</w:t>
      </w:r>
      <w:r>
        <w:rPr>
          <w:rFonts w:hint="eastAsia" w:ascii="幼圆" w:hAnsi="幼圆" w:eastAsia="幼圆" w:cs="幼圆"/>
          <w:sz w:val="21"/>
          <w:szCs w:val="21"/>
        </w:rPr>
        <w:t>报送复核结果，以确定当月完成的工程。有疑问时，可以要求承包人派人与监理人共同复核。</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（5）</w:t>
      </w:r>
      <w:r>
        <w:rPr>
          <w:rFonts w:hint="eastAsia" w:ascii="幼圆" w:hAnsi="幼圆" w:eastAsia="幼圆" w:cs="幼圆"/>
          <w:sz w:val="21"/>
          <w:szCs w:val="21"/>
        </w:rPr>
        <w:t>及时督促、审核变更洽商、工程结算书等材料；</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（6）</w:t>
      </w:r>
      <w:r>
        <w:rPr>
          <w:rFonts w:hint="eastAsia" w:ascii="幼圆" w:hAnsi="幼圆" w:eastAsia="幼圆" w:cs="幼圆"/>
          <w:sz w:val="21"/>
          <w:szCs w:val="21"/>
        </w:rPr>
        <w:t>审核工程付款申请单，及时出具相应支付证书；</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（7）</w:t>
      </w:r>
      <w:r>
        <w:rPr>
          <w:rFonts w:hint="eastAsia" w:ascii="幼圆" w:hAnsi="幼圆" w:eastAsia="幼圆" w:cs="幼圆"/>
          <w:sz w:val="21"/>
          <w:szCs w:val="21"/>
        </w:rPr>
        <w:t>参与审核及处理各项施工索赔中与资金有关的事宜；</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（8）</w:t>
      </w:r>
      <w:r>
        <w:rPr>
          <w:rFonts w:hint="eastAsia" w:ascii="幼圆" w:hAnsi="幼圆" w:eastAsia="幼圆" w:cs="幼圆"/>
          <w:sz w:val="21"/>
          <w:szCs w:val="21"/>
        </w:rPr>
        <w:t>监理单位必须有专职造价人员驻场对项目进行造价控制，造价控制需要按照</w:t>
      </w:r>
      <w:r>
        <w:rPr>
          <w:rFonts w:hint="eastAsia" w:ascii="幼圆" w:hAnsi="幼圆" w:eastAsia="幼圆" w:cs="幼圆"/>
          <w:sz w:val="21"/>
          <w:szCs w:val="21"/>
          <w:lang w:eastAsia="zh-CN"/>
        </w:rPr>
        <w:t>委托人</w:t>
      </w:r>
      <w:r>
        <w:rPr>
          <w:rFonts w:hint="eastAsia" w:ascii="幼圆" w:hAnsi="幼圆" w:eastAsia="幼圆" w:cs="幼圆"/>
          <w:sz w:val="21"/>
          <w:szCs w:val="21"/>
        </w:rPr>
        <w:t>要求进行。</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4、安全文明生产监督管理</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（1）</w:t>
      </w:r>
      <w:r>
        <w:rPr>
          <w:rFonts w:hint="eastAsia" w:ascii="幼圆" w:hAnsi="幼圆" w:eastAsia="幼圆" w:cs="幼圆"/>
          <w:sz w:val="21"/>
          <w:szCs w:val="21"/>
        </w:rPr>
        <w:t>审核施工安全专项方案、督促施工单位落实安全保证体系；</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（2）</w:t>
      </w:r>
      <w:r>
        <w:rPr>
          <w:rFonts w:hint="eastAsia" w:ascii="幼圆" w:hAnsi="幼圆" w:eastAsia="幼圆" w:cs="幼圆"/>
          <w:sz w:val="21"/>
          <w:szCs w:val="21"/>
        </w:rPr>
        <w:t>督促施工单位履行施工安全、文明保障义务；</w:t>
      </w:r>
    </w:p>
    <w:p>
      <w:pPr>
        <w:pStyle w:val="172"/>
        <w:numPr>
          <w:ilvl w:val="0"/>
          <w:numId w:val="0"/>
        </w:numPr>
        <w:spacing w:line="360" w:lineRule="auto"/>
        <w:ind w:left="0" w:leftChars="0" w:firstLine="420" w:firstLineChars="200"/>
        <w:rPr>
          <w:rFonts w:hint="eastAsia" w:ascii="幼圆" w:hAnsi="幼圆" w:eastAsia="幼圆" w:cs="幼圆"/>
          <w:bCs/>
          <w:sz w:val="21"/>
          <w:szCs w:val="21"/>
        </w:rPr>
      </w:pPr>
      <w:r>
        <w:rPr>
          <w:rFonts w:hint="eastAsia" w:ascii="幼圆" w:hAnsi="幼圆" w:eastAsia="幼圆" w:cs="幼圆"/>
          <w:bCs/>
          <w:kern w:val="2"/>
          <w:sz w:val="21"/>
          <w:szCs w:val="21"/>
          <w:lang w:val="en-US" w:eastAsia="zh-CN" w:bidi="ar-SA"/>
        </w:rPr>
        <w:t>（3）</w:t>
      </w:r>
      <w:r>
        <w:rPr>
          <w:rFonts w:hint="eastAsia" w:ascii="幼圆" w:hAnsi="幼圆" w:eastAsia="幼圆" w:cs="幼圆"/>
          <w:sz w:val="21"/>
          <w:szCs w:val="21"/>
        </w:rPr>
        <w:t>负责组织施工现场安全文明施工巡查，每周开展安全大检查、每月开展安全巡查，做好记录，要求承办单位立即整改并</w:t>
      </w:r>
      <w:r>
        <w:rPr>
          <w:rFonts w:hint="eastAsia" w:ascii="幼圆" w:hAnsi="幼圆" w:eastAsia="幼圆" w:cs="幼圆"/>
          <w:bCs/>
          <w:sz w:val="21"/>
          <w:szCs w:val="21"/>
        </w:rPr>
        <w:t>书面报告有关领导；</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（4）</w:t>
      </w:r>
      <w:r>
        <w:rPr>
          <w:rFonts w:hint="eastAsia" w:ascii="幼圆" w:hAnsi="幼圆" w:eastAsia="幼圆" w:cs="幼圆"/>
          <w:sz w:val="21"/>
          <w:szCs w:val="21"/>
        </w:rPr>
        <w:t>协助制订项目委托人方的应急措施；</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（5）</w:t>
      </w:r>
      <w:r>
        <w:rPr>
          <w:rFonts w:hint="eastAsia" w:ascii="幼圆" w:hAnsi="幼圆" w:eastAsia="幼圆" w:cs="幼圆"/>
          <w:sz w:val="21"/>
          <w:szCs w:val="21"/>
        </w:rPr>
        <w:t>协助处理安全事故；</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（6）</w:t>
      </w:r>
      <w:r>
        <w:rPr>
          <w:rFonts w:hint="eastAsia" w:ascii="幼圆" w:hAnsi="幼圆" w:eastAsia="幼圆" w:cs="幼圆"/>
          <w:sz w:val="21"/>
          <w:szCs w:val="21"/>
        </w:rPr>
        <w:t>督促施工单位组织工地卫生及文明施工检查；</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（7）</w:t>
      </w:r>
      <w:r>
        <w:rPr>
          <w:rFonts w:hint="eastAsia" w:ascii="幼圆" w:hAnsi="幼圆" w:eastAsia="幼圆" w:cs="幼圆"/>
          <w:sz w:val="21"/>
          <w:szCs w:val="21"/>
        </w:rPr>
        <w:t>督促施工单位协调处理工地的各种纠纷；</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（8）</w:t>
      </w:r>
      <w:r>
        <w:rPr>
          <w:rFonts w:hint="eastAsia" w:ascii="幼圆" w:hAnsi="幼圆" w:eastAsia="幼圆" w:cs="幼圆"/>
          <w:sz w:val="21"/>
          <w:szCs w:val="21"/>
        </w:rPr>
        <w:t>督促施工单位组织落实工地的保卫及产品保护工作。</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5、合同管理</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（1）</w:t>
      </w:r>
      <w:r>
        <w:rPr>
          <w:rFonts w:hint="eastAsia" w:ascii="幼圆" w:hAnsi="幼圆" w:eastAsia="幼圆" w:cs="幼圆"/>
          <w:sz w:val="21"/>
          <w:szCs w:val="21"/>
        </w:rPr>
        <w:t>协助委托方处理有关索赔事宜，并处理合同纠纷</w:t>
      </w:r>
      <w:r>
        <w:rPr>
          <w:rFonts w:hint="eastAsia" w:ascii="幼圆" w:hAnsi="幼圆" w:eastAsia="幼圆" w:cs="幼圆"/>
          <w:sz w:val="21"/>
          <w:szCs w:val="21"/>
          <w:lang w:eastAsia="zh-CN"/>
        </w:rPr>
        <w:t>；</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（2）</w:t>
      </w:r>
      <w:r>
        <w:rPr>
          <w:rFonts w:hint="eastAsia" w:ascii="幼圆" w:hAnsi="幼圆" w:eastAsia="幼圆" w:cs="幼圆"/>
          <w:sz w:val="21"/>
          <w:szCs w:val="21"/>
        </w:rPr>
        <w:t>进行各类合同的跟踪管理并定期提供合同管理的各种报告。</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6、信息管理</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（1）</w:t>
      </w:r>
      <w:r>
        <w:rPr>
          <w:rFonts w:hint="eastAsia" w:ascii="幼圆" w:hAnsi="幼圆" w:eastAsia="幼圆" w:cs="幼圆"/>
          <w:sz w:val="21"/>
          <w:szCs w:val="21"/>
        </w:rPr>
        <w:t>进行各种工程信息的收集、整理、存档；</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（2）</w:t>
      </w:r>
      <w:r>
        <w:rPr>
          <w:rFonts w:hint="eastAsia" w:ascii="幼圆" w:hAnsi="幼圆" w:eastAsia="幼圆" w:cs="幼圆"/>
          <w:sz w:val="21"/>
          <w:szCs w:val="21"/>
        </w:rPr>
        <w:t>定期提供各类工程项目管理报表；</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（3）</w:t>
      </w:r>
      <w:r>
        <w:rPr>
          <w:rFonts w:hint="eastAsia" w:ascii="幼圆" w:hAnsi="幼圆" w:eastAsia="幼圆" w:cs="幼圆"/>
          <w:sz w:val="21"/>
          <w:szCs w:val="21"/>
        </w:rPr>
        <w:t>建立工地例会制度</w:t>
      </w:r>
      <w:r>
        <w:rPr>
          <w:rFonts w:hint="eastAsia" w:ascii="幼圆" w:hAnsi="幼圆" w:eastAsia="幼圆" w:cs="幼圆"/>
          <w:sz w:val="21"/>
          <w:szCs w:val="21"/>
          <w:lang w:eastAsia="zh-CN"/>
        </w:rPr>
        <w:t>，</w:t>
      </w:r>
      <w:r>
        <w:rPr>
          <w:rFonts w:hint="eastAsia" w:ascii="幼圆" w:hAnsi="幼圆" w:eastAsia="幼圆" w:cs="幼圆"/>
          <w:sz w:val="21"/>
          <w:szCs w:val="21"/>
        </w:rPr>
        <w:t>并做好会议记录；</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（4）</w:t>
      </w:r>
      <w:r>
        <w:rPr>
          <w:rFonts w:hint="eastAsia" w:ascii="幼圆" w:hAnsi="幼圆" w:eastAsia="幼圆" w:cs="幼圆"/>
          <w:sz w:val="21"/>
          <w:szCs w:val="21"/>
        </w:rPr>
        <w:t>督促各施工单位整理工程技术资料、定期提交施工现场照片。</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7、监理单位必须严格按照国家、北京市有关建设监理规定进行监理，完成监理规范要求的全部工作内容。</w:t>
      </w:r>
    </w:p>
    <w:p>
      <w:pPr>
        <w:widowControl w:val="0"/>
        <w:autoSpaceDE w:val="0"/>
        <w:autoSpaceDN w:val="0"/>
        <w:adjustRightInd w:val="0"/>
        <w:spacing w:line="360" w:lineRule="auto"/>
        <w:jc w:val="both"/>
        <w:textAlignment w:val="auto"/>
        <w:rPr>
          <w:rFonts w:hint="eastAsia" w:ascii="幼圆" w:hAnsi="幼圆" w:eastAsia="幼圆" w:cs="幼圆"/>
          <w:b/>
          <w:bCs/>
          <w:sz w:val="21"/>
          <w:szCs w:val="20"/>
        </w:rPr>
      </w:pPr>
      <w:r>
        <w:rPr>
          <w:rFonts w:hint="eastAsia" w:ascii="幼圆" w:hAnsi="幼圆" w:eastAsia="幼圆" w:cs="幼圆"/>
          <w:b/>
          <w:bCs/>
          <w:sz w:val="21"/>
          <w:szCs w:val="20"/>
        </w:rPr>
        <w:t>（二）保修阶段监理</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1、协助委托人、物业管理部检查回访工程质量，及时处理客户投诉，参与工程质量事故（缺陷）的鉴定，督促施工单位及时维修。</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2、工程进入保修阶段，监理公司编写保修阶段的监理细则，安排足够的监理人员进行定期质量回访，主动找出工程质量及服务质量存在的问题，及时安排施工单位进行处理。</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3、工程质量缺陷：监理公司应主动配合</w:t>
      </w:r>
      <w:r>
        <w:rPr>
          <w:rFonts w:hint="eastAsia" w:ascii="幼圆" w:hAnsi="幼圆" w:eastAsia="幼圆" w:cs="幼圆"/>
          <w:sz w:val="21"/>
          <w:szCs w:val="20"/>
          <w:lang w:val="en-US" w:eastAsia="zh-CN"/>
        </w:rPr>
        <w:t>委托人</w:t>
      </w:r>
      <w:r>
        <w:rPr>
          <w:rFonts w:hint="eastAsia" w:ascii="幼圆" w:hAnsi="幼圆" w:eastAsia="幼圆" w:cs="幼圆"/>
          <w:kern w:val="2"/>
          <w:sz w:val="21"/>
          <w:szCs w:val="21"/>
          <w:lang w:val="en-US" w:eastAsia="zh-CN" w:bidi="ar-SA"/>
        </w:rPr>
        <w:t>组织设计、承包人和有关各方对工程质量缺陷的原因、责任进行调查和确认，并协助处理至客户满意。</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4、接到投诉后，监理工程师应会同承包人及时到达现场，认真分析投诉产生的原因，确定质量缺陷的责任，提出缺陷的解决方案，经委托人审批后实施，一般整改期限不超过七天，特殊的经委托人同意后制定整改计划，按计划实施。</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5、保修期内发生质量缺陷，监理工程师应将引起工程保修延长的事件及延长时间书面通知委托人和承包人，在工程保修期内发生质量缺陷或损害，致使工程不能使用，则工程保修期应延长。</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6、项目总监理工程师应在保修期结束之后及时签发解除保修期质量责任书给承包人并抄报委托人。</w:t>
      </w:r>
    </w:p>
    <w:p>
      <w:pPr>
        <w:widowControl w:val="0"/>
        <w:autoSpaceDE w:val="0"/>
        <w:autoSpaceDN w:val="0"/>
        <w:adjustRightInd w:val="0"/>
        <w:spacing w:line="360" w:lineRule="auto"/>
        <w:textAlignment w:val="auto"/>
        <w:rPr>
          <w:rFonts w:hint="eastAsia" w:ascii="幼圆" w:hAnsi="幼圆" w:eastAsia="幼圆" w:cs="幼圆"/>
          <w:sz w:val="21"/>
          <w:szCs w:val="20"/>
        </w:rPr>
      </w:pPr>
      <w:r>
        <w:rPr>
          <w:rFonts w:hint="eastAsia" w:ascii="幼圆" w:hAnsi="幼圆" w:eastAsia="幼圆" w:cs="幼圆"/>
          <w:b/>
          <w:sz w:val="21"/>
          <w:szCs w:val="20"/>
        </w:rPr>
        <w:t>四、其他要求</w:t>
      </w:r>
    </w:p>
    <w:p>
      <w:pPr>
        <w:widowControl w:val="0"/>
        <w:autoSpaceDE w:val="0"/>
        <w:autoSpaceDN w:val="0"/>
        <w:adjustRightInd w:val="0"/>
        <w:spacing w:line="360" w:lineRule="auto"/>
        <w:jc w:val="both"/>
        <w:textAlignment w:val="auto"/>
        <w:rPr>
          <w:rFonts w:hint="eastAsia" w:ascii="幼圆" w:hAnsi="幼圆" w:eastAsia="幼圆" w:cs="幼圆"/>
          <w:b/>
          <w:bCs/>
          <w:sz w:val="21"/>
          <w:szCs w:val="20"/>
        </w:rPr>
      </w:pPr>
      <w:r>
        <w:rPr>
          <w:rFonts w:hint="eastAsia" w:ascii="幼圆" w:hAnsi="幼圆" w:eastAsia="幼圆" w:cs="幼圆"/>
          <w:b/>
          <w:bCs/>
          <w:sz w:val="21"/>
          <w:szCs w:val="20"/>
        </w:rPr>
        <w:t>（一）监理人员要求</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1、为满足本工程监理需要，投标人应根据招标项目工程内容、规模、工期等特点配置监理项目班子人员，人数应经委托人同意。</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 xml:space="preserve">2、监理组人员应按照工程需要按期进场到位开展工作。 </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 xml:space="preserve">3、投标人投标时的监理组人员未经招标单位书面批准不得随意调换，若自行更换或撤离，将按照相关约定处理。 </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 xml:space="preserve">4、投标人投标时的总监理工程师如有不尽其职或挂靠，采购人有权要求撤换，直至要求终止合同，由此造成的损失由投标人负责赔偿。 </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5、在监理服务期限内，项目监理组人员应保持相对稳定，以保证服务工作的正常进行。投标人可根据工程进展和业务需要对项目监理机构人员作出合理调整。若更换现场监理人员，应以相当资格与技能的人员替换，并经委托人的同意方能实施。其中，更换总监理工程师须提前7日向采购人书面报告，经委托人书面同意后方可更换，并办妥相应的变更手续。</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6、监理实施过程特殊要求</w:t>
      </w:r>
    </w:p>
    <w:p>
      <w:pPr>
        <w:widowControl w:val="0"/>
        <w:adjustRightInd/>
        <w:spacing w:line="360" w:lineRule="auto"/>
        <w:ind w:firstLine="420" w:firstLineChars="200"/>
        <w:jc w:val="both"/>
        <w:textAlignment w:val="auto"/>
        <w:rPr>
          <w:rFonts w:hint="eastAsia" w:ascii="幼圆" w:hAnsi="幼圆" w:eastAsia="幼圆" w:cs="幼圆"/>
          <w:kern w:val="2"/>
          <w:sz w:val="21"/>
          <w:szCs w:val="20"/>
        </w:rPr>
      </w:pPr>
      <w:r>
        <w:rPr>
          <w:rFonts w:hint="eastAsia" w:ascii="幼圆" w:hAnsi="幼圆" w:eastAsia="幼圆" w:cs="幼圆"/>
          <w:kern w:val="2"/>
          <w:sz w:val="21"/>
          <w:szCs w:val="20"/>
        </w:rPr>
        <w:t>监理公司在工作中，除满足监理公司自身的管理要求外，必须满足委托人制定的相关监理工作管理制度的具体要求。监理人的监理质量标准必须符合委托人的相关工程质量标准及细则。</w:t>
      </w:r>
    </w:p>
    <w:p>
      <w:pPr>
        <w:widowControl w:val="0"/>
        <w:adjustRightInd/>
        <w:spacing w:line="360" w:lineRule="auto"/>
        <w:ind w:firstLine="420" w:firstLineChars="200"/>
        <w:jc w:val="both"/>
        <w:textAlignment w:val="auto"/>
        <w:rPr>
          <w:rFonts w:hint="eastAsia" w:ascii="幼圆" w:hAnsi="幼圆" w:eastAsia="幼圆" w:cs="幼圆"/>
          <w:kern w:val="2"/>
          <w:sz w:val="21"/>
          <w:szCs w:val="20"/>
        </w:rPr>
      </w:pPr>
      <w:r>
        <w:rPr>
          <w:rFonts w:hint="eastAsia" w:ascii="幼圆" w:hAnsi="幼圆" w:eastAsia="幼圆" w:cs="幼圆"/>
          <w:kern w:val="2"/>
          <w:sz w:val="21"/>
          <w:szCs w:val="20"/>
        </w:rPr>
        <w:t>监理工作的特殊要求规定如下，未涉及到的监理工作内容应符合国家监理规范和</w:t>
      </w:r>
      <w:r>
        <w:rPr>
          <w:rFonts w:hint="eastAsia" w:ascii="幼圆" w:hAnsi="幼圆" w:eastAsia="幼圆" w:cs="幼圆"/>
          <w:b/>
          <w:kern w:val="2"/>
          <w:sz w:val="21"/>
          <w:szCs w:val="20"/>
        </w:rPr>
        <w:t>北京市</w:t>
      </w:r>
      <w:r>
        <w:rPr>
          <w:rFonts w:hint="eastAsia" w:ascii="幼圆" w:hAnsi="幼圆" w:eastAsia="幼圆" w:cs="幼圆"/>
          <w:kern w:val="2"/>
          <w:sz w:val="21"/>
          <w:szCs w:val="20"/>
        </w:rPr>
        <w:t>监理规程的要求。</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（1）</w:t>
      </w:r>
      <w:r>
        <w:rPr>
          <w:rFonts w:hint="eastAsia" w:ascii="幼圆" w:hAnsi="幼圆" w:eastAsia="幼圆" w:cs="幼圆"/>
          <w:sz w:val="21"/>
          <w:szCs w:val="21"/>
        </w:rPr>
        <w:t xml:space="preserve">旁站制度 </w:t>
      </w:r>
    </w:p>
    <w:p>
      <w:pPr>
        <w:widowControl w:val="0"/>
        <w:numPr>
          <w:ilvl w:val="0"/>
          <w:numId w:val="0"/>
        </w:numPr>
        <w:adjustRightInd/>
        <w:spacing w:line="360" w:lineRule="auto"/>
        <w:ind w:left="0" w:leftChars="0" w:firstLine="420" w:firstLineChars="200"/>
        <w:jc w:val="both"/>
        <w:textAlignment w:val="auto"/>
        <w:rPr>
          <w:rFonts w:hint="eastAsia" w:ascii="幼圆" w:hAnsi="幼圆" w:eastAsia="幼圆" w:cs="幼圆"/>
          <w:kern w:val="2"/>
          <w:sz w:val="21"/>
          <w:szCs w:val="20"/>
        </w:rPr>
      </w:pPr>
      <w:r>
        <w:rPr>
          <w:rFonts w:hint="eastAsia" w:ascii="幼圆" w:hAnsi="幼圆" w:eastAsia="幼圆" w:cs="幼圆"/>
          <w:kern w:val="2"/>
          <w:sz w:val="21"/>
          <w:szCs w:val="21"/>
          <w:lang w:val="en-US" w:eastAsia="zh-CN" w:bidi="ar-SA"/>
        </w:rPr>
        <w:t>1）</w:t>
      </w:r>
      <w:r>
        <w:rPr>
          <w:rFonts w:hint="eastAsia" w:ascii="幼圆" w:hAnsi="幼圆" w:eastAsia="幼圆" w:cs="幼圆"/>
          <w:kern w:val="2"/>
          <w:sz w:val="21"/>
          <w:szCs w:val="20"/>
        </w:rPr>
        <w:t xml:space="preserve">监理公司应编制有针对性的详细的分项工程旁站计划，报委托人审批后在项目工程中坚决执行。 </w:t>
      </w:r>
    </w:p>
    <w:p>
      <w:pPr>
        <w:widowControl w:val="0"/>
        <w:numPr>
          <w:ilvl w:val="0"/>
          <w:numId w:val="0"/>
        </w:numPr>
        <w:adjustRightInd/>
        <w:spacing w:line="360" w:lineRule="auto"/>
        <w:ind w:left="0" w:leftChars="0" w:firstLine="420" w:firstLineChars="200"/>
        <w:jc w:val="both"/>
        <w:textAlignment w:val="auto"/>
        <w:rPr>
          <w:rFonts w:hint="eastAsia" w:ascii="幼圆" w:hAnsi="幼圆" w:eastAsia="幼圆" w:cs="幼圆"/>
          <w:kern w:val="2"/>
          <w:sz w:val="21"/>
          <w:szCs w:val="20"/>
        </w:rPr>
      </w:pPr>
      <w:r>
        <w:rPr>
          <w:rFonts w:hint="eastAsia" w:ascii="幼圆" w:hAnsi="幼圆" w:eastAsia="幼圆" w:cs="幼圆"/>
          <w:kern w:val="2"/>
          <w:sz w:val="21"/>
          <w:szCs w:val="21"/>
          <w:lang w:val="en-US" w:eastAsia="zh-CN" w:bidi="ar-SA"/>
        </w:rPr>
        <w:t>2）</w:t>
      </w:r>
      <w:r>
        <w:rPr>
          <w:rFonts w:hint="eastAsia" w:ascii="幼圆" w:hAnsi="幼圆" w:eastAsia="幼圆" w:cs="幼圆"/>
          <w:kern w:val="2"/>
          <w:sz w:val="21"/>
          <w:szCs w:val="20"/>
        </w:rPr>
        <w:t xml:space="preserve">监理公司应在旁站监理工序施工前 4 小时安排好旁站监理人员，报委托人备案，根据工序施工时间长短安排旁站监理人员数量，一般不少于两人； </w:t>
      </w:r>
    </w:p>
    <w:p>
      <w:pPr>
        <w:widowControl w:val="0"/>
        <w:numPr>
          <w:ilvl w:val="0"/>
          <w:numId w:val="0"/>
        </w:numPr>
        <w:adjustRightInd/>
        <w:spacing w:line="360" w:lineRule="auto"/>
        <w:ind w:left="0" w:leftChars="0" w:firstLine="420" w:firstLineChars="200"/>
        <w:jc w:val="both"/>
        <w:textAlignment w:val="auto"/>
        <w:rPr>
          <w:rFonts w:hint="eastAsia" w:ascii="幼圆" w:hAnsi="幼圆" w:eastAsia="幼圆" w:cs="幼圆"/>
          <w:kern w:val="2"/>
          <w:sz w:val="21"/>
          <w:szCs w:val="20"/>
        </w:rPr>
      </w:pPr>
      <w:r>
        <w:rPr>
          <w:rFonts w:hint="eastAsia" w:ascii="幼圆" w:hAnsi="幼圆" w:eastAsia="幼圆" w:cs="幼圆"/>
          <w:kern w:val="2"/>
          <w:sz w:val="21"/>
          <w:szCs w:val="21"/>
          <w:lang w:val="en-US" w:eastAsia="zh-CN" w:bidi="ar-SA"/>
        </w:rPr>
        <w:t>3）</w:t>
      </w:r>
      <w:r>
        <w:rPr>
          <w:rFonts w:hint="eastAsia" w:ascii="幼圆" w:hAnsi="幼圆" w:eastAsia="幼圆" w:cs="幼圆"/>
          <w:kern w:val="2"/>
          <w:sz w:val="21"/>
          <w:szCs w:val="20"/>
        </w:rPr>
        <w:t xml:space="preserve">监理公司应对旁站人员事前做好培训，制定旁站检查内容和记录要求； </w:t>
      </w:r>
    </w:p>
    <w:p>
      <w:pPr>
        <w:widowControl w:val="0"/>
        <w:numPr>
          <w:ilvl w:val="0"/>
          <w:numId w:val="0"/>
        </w:numPr>
        <w:adjustRightInd/>
        <w:spacing w:line="360" w:lineRule="auto"/>
        <w:ind w:left="0" w:leftChars="0" w:firstLine="420" w:firstLineChars="200"/>
        <w:jc w:val="both"/>
        <w:textAlignment w:val="auto"/>
        <w:rPr>
          <w:rFonts w:hint="eastAsia" w:ascii="幼圆" w:hAnsi="幼圆" w:eastAsia="幼圆" w:cs="幼圆"/>
          <w:kern w:val="2"/>
          <w:sz w:val="21"/>
          <w:szCs w:val="20"/>
        </w:rPr>
      </w:pPr>
      <w:r>
        <w:rPr>
          <w:rFonts w:hint="eastAsia" w:ascii="幼圆" w:hAnsi="幼圆" w:eastAsia="幼圆" w:cs="幼圆"/>
          <w:kern w:val="2"/>
          <w:sz w:val="21"/>
          <w:szCs w:val="21"/>
          <w:lang w:val="en-US" w:eastAsia="zh-CN" w:bidi="ar-SA"/>
        </w:rPr>
        <w:t>4）</w:t>
      </w:r>
      <w:r>
        <w:rPr>
          <w:rFonts w:hint="eastAsia" w:ascii="幼圆" w:hAnsi="幼圆" w:eastAsia="幼圆" w:cs="幼圆"/>
          <w:kern w:val="2"/>
          <w:sz w:val="21"/>
          <w:szCs w:val="20"/>
        </w:rPr>
        <w:t xml:space="preserve">在旁站监理过程中，监理人员应随施工不间断进行检查，发现问题及时处理，对较为严重的质量、安全隐患应立即报告总监和委托人，待隐患处理完后再继续施工，必要时发停工令； </w:t>
      </w:r>
    </w:p>
    <w:p>
      <w:pPr>
        <w:widowControl w:val="0"/>
        <w:numPr>
          <w:ilvl w:val="0"/>
          <w:numId w:val="0"/>
        </w:numPr>
        <w:adjustRightInd/>
        <w:spacing w:line="360" w:lineRule="auto"/>
        <w:ind w:left="0" w:leftChars="0" w:firstLine="420" w:firstLineChars="200"/>
        <w:jc w:val="both"/>
        <w:textAlignment w:val="auto"/>
        <w:rPr>
          <w:rFonts w:hint="eastAsia" w:ascii="幼圆" w:hAnsi="幼圆" w:eastAsia="幼圆" w:cs="幼圆"/>
          <w:kern w:val="2"/>
          <w:sz w:val="21"/>
          <w:szCs w:val="20"/>
        </w:rPr>
      </w:pPr>
      <w:r>
        <w:rPr>
          <w:rFonts w:hint="eastAsia" w:ascii="幼圆" w:hAnsi="幼圆" w:eastAsia="幼圆" w:cs="幼圆"/>
          <w:kern w:val="2"/>
          <w:sz w:val="21"/>
          <w:szCs w:val="21"/>
          <w:lang w:val="en-US" w:eastAsia="zh-CN" w:bidi="ar-SA"/>
        </w:rPr>
        <w:t>5）</w:t>
      </w:r>
      <w:r>
        <w:rPr>
          <w:rFonts w:hint="eastAsia" w:ascii="幼圆" w:hAnsi="幼圆" w:eastAsia="幼圆" w:cs="幼圆"/>
          <w:kern w:val="2"/>
          <w:sz w:val="21"/>
          <w:szCs w:val="20"/>
        </w:rPr>
        <w:t xml:space="preserve">旁站记录要真实、全面，保持记录的连续，不得编造假记录，一经发现将严肃处理； </w:t>
      </w:r>
    </w:p>
    <w:p>
      <w:pPr>
        <w:widowControl w:val="0"/>
        <w:numPr>
          <w:ilvl w:val="0"/>
          <w:numId w:val="0"/>
        </w:numPr>
        <w:adjustRightInd/>
        <w:spacing w:line="360" w:lineRule="auto"/>
        <w:ind w:left="0" w:leftChars="0" w:firstLine="420" w:firstLineChars="200"/>
        <w:jc w:val="both"/>
        <w:textAlignment w:val="auto"/>
        <w:rPr>
          <w:rFonts w:hint="eastAsia" w:ascii="幼圆" w:hAnsi="幼圆" w:eastAsia="幼圆" w:cs="幼圆"/>
          <w:kern w:val="2"/>
          <w:sz w:val="21"/>
          <w:szCs w:val="20"/>
        </w:rPr>
      </w:pPr>
      <w:r>
        <w:rPr>
          <w:rFonts w:hint="eastAsia" w:ascii="幼圆" w:hAnsi="幼圆" w:eastAsia="幼圆" w:cs="幼圆"/>
          <w:kern w:val="2"/>
          <w:sz w:val="21"/>
          <w:szCs w:val="21"/>
          <w:lang w:val="en-US" w:eastAsia="zh-CN" w:bidi="ar-SA"/>
        </w:rPr>
        <w:t>6）</w:t>
      </w:r>
      <w:r>
        <w:rPr>
          <w:rFonts w:hint="eastAsia" w:ascii="幼圆" w:hAnsi="幼圆" w:eastAsia="幼圆" w:cs="幼圆"/>
          <w:kern w:val="2"/>
          <w:sz w:val="21"/>
          <w:szCs w:val="20"/>
        </w:rPr>
        <w:t xml:space="preserve">旁站监理记录在施工结束后24小时内整理完毕并报委托人审阅； </w:t>
      </w:r>
    </w:p>
    <w:p>
      <w:pPr>
        <w:widowControl w:val="0"/>
        <w:numPr>
          <w:ilvl w:val="0"/>
          <w:numId w:val="0"/>
        </w:numPr>
        <w:adjustRightInd/>
        <w:spacing w:line="360" w:lineRule="auto"/>
        <w:ind w:left="0" w:leftChars="0" w:firstLine="420" w:firstLineChars="200"/>
        <w:jc w:val="both"/>
        <w:textAlignment w:val="auto"/>
        <w:rPr>
          <w:rFonts w:hint="eastAsia" w:ascii="幼圆" w:hAnsi="幼圆" w:eastAsia="幼圆" w:cs="幼圆"/>
          <w:kern w:val="2"/>
          <w:sz w:val="21"/>
          <w:szCs w:val="20"/>
        </w:rPr>
      </w:pPr>
      <w:r>
        <w:rPr>
          <w:rFonts w:hint="eastAsia" w:ascii="幼圆" w:hAnsi="幼圆" w:eastAsia="幼圆" w:cs="幼圆"/>
          <w:kern w:val="2"/>
          <w:sz w:val="21"/>
          <w:szCs w:val="21"/>
          <w:lang w:val="en-US" w:eastAsia="zh-CN" w:bidi="ar-SA"/>
        </w:rPr>
        <w:t>7）</w:t>
      </w:r>
      <w:r>
        <w:rPr>
          <w:rFonts w:hint="eastAsia" w:ascii="幼圆" w:hAnsi="幼圆" w:eastAsia="幼圆" w:cs="幼圆"/>
          <w:kern w:val="2"/>
          <w:sz w:val="21"/>
          <w:szCs w:val="20"/>
        </w:rPr>
        <w:t xml:space="preserve">对旁站监理人员做好安全检查交底工作，特别是夜间旁站监理，不仅要做好施工单位的安全检查工作，也要做好自我保护。 </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（2）</w:t>
      </w:r>
      <w:r>
        <w:rPr>
          <w:rFonts w:hint="eastAsia" w:ascii="幼圆" w:hAnsi="幼圆" w:eastAsia="幼圆" w:cs="幼圆"/>
          <w:sz w:val="21"/>
          <w:szCs w:val="21"/>
        </w:rPr>
        <w:t xml:space="preserve">样板引路制度 </w:t>
      </w:r>
    </w:p>
    <w:p>
      <w:pPr>
        <w:widowControl w:val="0"/>
        <w:numPr>
          <w:ilvl w:val="0"/>
          <w:numId w:val="0"/>
        </w:numPr>
        <w:adjustRightInd/>
        <w:spacing w:line="360" w:lineRule="auto"/>
        <w:ind w:left="0" w:leftChars="0" w:firstLine="420" w:firstLineChars="200"/>
        <w:jc w:val="both"/>
        <w:textAlignment w:val="auto"/>
        <w:rPr>
          <w:rFonts w:hint="eastAsia" w:ascii="幼圆" w:hAnsi="幼圆" w:eastAsia="幼圆" w:cs="幼圆"/>
          <w:kern w:val="2"/>
          <w:sz w:val="21"/>
          <w:szCs w:val="20"/>
        </w:rPr>
      </w:pPr>
      <w:r>
        <w:rPr>
          <w:rFonts w:hint="eastAsia" w:ascii="幼圆" w:hAnsi="幼圆" w:eastAsia="幼圆" w:cs="幼圆"/>
          <w:kern w:val="2"/>
          <w:sz w:val="21"/>
          <w:szCs w:val="21"/>
          <w:lang w:val="en-US" w:eastAsia="zh-CN" w:bidi="ar-SA"/>
        </w:rPr>
        <w:t>1）</w:t>
      </w:r>
      <w:r>
        <w:rPr>
          <w:rFonts w:hint="eastAsia" w:ascii="幼圆" w:hAnsi="幼圆" w:eastAsia="幼圆" w:cs="幼圆"/>
          <w:kern w:val="2"/>
          <w:sz w:val="21"/>
          <w:szCs w:val="20"/>
        </w:rPr>
        <w:t>工序样板。主要工序施工前必须先做施工样板，样板经委托人和监理组织专项现场验收，得到确认后方可进行大面积施工，同时组织施工单位进行现场样板交底；</w:t>
      </w:r>
    </w:p>
    <w:p>
      <w:pPr>
        <w:widowControl w:val="0"/>
        <w:numPr>
          <w:ilvl w:val="0"/>
          <w:numId w:val="0"/>
        </w:numPr>
        <w:adjustRightInd/>
        <w:spacing w:line="360" w:lineRule="auto"/>
        <w:ind w:left="0" w:leftChars="0" w:firstLine="420" w:firstLineChars="200"/>
        <w:jc w:val="both"/>
        <w:textAlignment w:val="auto"/>
        <w:rPr>
          <w:rFonts w:hint="eastAsia" w:ascii="幼圆" w:hAnsi="幼圆" w:eastAsia="幼圆" w:cs="幼圆"/>
          <w:kern w:val="2"/>
          <w:sz w:val="21"/>
          <w:szCs w:val="20"/>
        </w:rPr>
      </w:pPr>
      <w:r>
        <w:rPr>
          <w:rFonts w:hint="eastAsia" w:ascii="幼圆" w:hAnsi="幼圆" w:eastAsia="幼圆" w:cs="幼圆"/>
          <w:kern w:val="2"/>
          <w:sz w:val="21"/>
          <w:szCs w:val="21"/>
          <w:lang w:val="en-US" w:eastAsia="zh-CN" w:bidi="ar-SA"/>
        </w:rPr>
        <w:t>2）</w:t>
      </w:r>
      <w:r>
        <w:rPr>
          <w:rFonts w:hint="eastAsia" w:ascii="幼圆" w:hAnsi="幼圆" w:eastAsia="幼圆" w:cs="幼圆"/>
          <w:kern w:val="2"/>
          <w:sz w:val="21"/>
          <w:szCs w:val="20"/>
        </w:rPr>
        <w:t xml:space="preserve">根据委托人要求，做好施工样板间、示范单位的监督和交底工作。 </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（3）</w:t>
      </w:r>
      <w:r>
        <w:rPr>
          <w:rFonts w:hint="eastAsia" w:ascii="幼圆" w:hAnsi="幼圆" w:eastAsia="幼圆" w:cs="幼圆"/>
          <w:sz w:val="21"/>
          <w:szCs w:val="21"/>
        </w:rPr>
        <w:t xml:space="preserve">监理作息时间要求 </w:t>
      </w:r>
    </w:p>
    <w:p>
      <w:pPr>
        <w:widowControl w:val="0"/>
        <w:numPr>
          <w:ilvl w:val="0"/>
          <w:numId w:val="0"/>
        </w:numPr>
        <w:adjustRightInd/>
        <w:spacing w:line="360" w:lineRule="auto"/>
        <w:ind w:left="0" w:leftChars="0" w:firstLine="420" w:firstLineChars="200"/>
        <w:jc w:val="both"/>
        <w:textAlignment w:val="auto"/>
        <w:rPr>
          <w:rFonts w:hint="eastAsia" w:ascii="幼圆" w:hAnsi="幼圆" w:eastAsia="幼圆" w:cs="幼圆"/>
          <w:kern w:val="2"/>
          <w:sz w:val="21"/>
          <w:szCs w:val="20"/>
        </w:rPr>
      </w:pPr>
      <w:r>
        <w:rPr>
          <w:rFonts w:hint="eastAsia" w:ascii="幼圆" w:hAnsi="幼圆" w:eastAsia="幼圆" w:cs="幼圆"/>
          <w:kern w:val="2"/>
          <w:sz w:val="21"/>
          <w:szCs w:val="21"/>
          <w:lang w:val="en-US" w:eastAsia="zh-CN" w:bidi="ar-SA"/>
        </w:rPr>
        <w:t>1）</w:t>
      </w:r>
      <w:r>
        <w:rPr>
          <w:rFonts w:hint="eastAsia" w:ascii="幼圆" w:hAnsi="幼圆" w:eastAsia="幼圆" w:cs="幼圆"/>
          <w:kern w:val="2"/>
          <w:sz w:val="21"/>
          <w:szCs w:val="20"/>
        </w:rPr>
        <w:t>监理公司所有人员要严格遵守作息时间，不得迟到早退；</w:t>
      </w:r>
    </w:p>
    <w:p>
      <w:pPr>
        <w:widowControl w:val="0"/>
        <w:numPr>
          <w:ilvl w:val="0"/>
          <w:numId w:val="0"/>
        </w:numPr>
        <w:adjustRightInd/>
        <w:spacing w:line="360" w:lineRule="auto"/>
        <w:ind w:left="0" w:leftChars="0" w:firstLine="420" w:firstLineChars="200"/>
        <w:jc w:val="both"/>
        <w:textAlignment w:val="auto"/>
        <w:rPr>
          <w:rFonts w:hint="eastAsia" w:ascii="幼圆" w:hAnsi="幼圆" w:eastAsia="幼圆" w:cs="幼圆"/>
          <w:kern w:val="2"/>
          <w:sz w:val="21"/>
          <w:szCs w:val="20"/>
        </w:rPr>
      </w:pPr>
      <w:r>
        <w:rPr>
          <w:rFonts w:hint="eastAsia" w:ascii="幼圆" w:hAnsi="幼圆" w:eastAsia="幼圆" w:cs="幼圆"/>
          <w:kern w:val="2"/>
          <w:sz w:val="21"/>
          <w:szCs w:val="21"/>
          <w:lang w:val="en-US" w:eastAsia="zh-CN" w:bidi="ar-SA"/>
        </w:rPr>
        <w:t>2）</w:t>
      </w:r>
      <w:r>
        <w:rPr>
          <w:rFonts w:hint="eastAsia" w:ascii="幼圆" w:hAnsi="幼圆" w:eastAsia="幼圆" w:cs="幼圆"/>
          <w:kern w:val="2"/>
          <w:sz w:val="21"/>
          <w:szCs w:val="20"/>
        </w:rPr>
        <w:t xml:space="preserve">监理公司的作息时间一般与施工单位作息时间一致，根据施工情况特点，要求监理公司根据工程需要合理安排好现场工程管理监督的人员； </w:t>
      </w:r>
    </w:p>
    <w:p>
      <w:pPr>
        <w:widowControl w:val="0"/>
        <w:numPr>
          <w:ilvl w:val="0"/>
          <w:numId w:val="0"/>
        </w:numPr>
        <w:adjustRightInd/>
        <w:spacing w:line="360" w:lineRule="auto"/>
        <w:ind w:left="0" w:leftChars="0" w:firstLine="420" w:firstLineChars="200"/>
        <w:jc w:val="both"/>
        <w:textAlignment w:val="auto"/>
        <w:rPr>
          <w:rFonts w:hint="eastAsia" w:ascii="幼圆" w:hAnsi="幼圆" w:eastAsia="幼圆" w:cs="幼圆"/>
          <w:kern w:val="2"/>
          <w:sz w:val="21"/>
          <w:szCs w:val="20"/>
        </w:rPr>
      </w:pPr>
      <w:r>
        <w:rPr>
          <w:rFonts w:hint="eastAsia" w:ascii="幼圆" w:hAnsi="幼圆" w:eastAsia="幼圆" w:cs="幼圆"/>
          <w:kern w:val="2"/>
          <w:sz w:val="21"/>
          <w:szCs w:val="21"/>
          <w:lang w:val="en-US" w:eastAsia="zh-CN" w:bidi="ar-SA"/>
        </w:rPr>
        <w:t>3）</w:t>
      </w:r>
      <w:r>
        <w:rPr>
          <w:rFonts w:hint="eastAsia" w:ascii="幼圆" w:hAnsi="幼圆" w:eastAsia="幼圆" w:cs="幼圆"/>
          <w:kern w:val="2"/>
          <w:sz w:val="21"/>
          <w:szCs w:val="20"/>
        </w:rPr>
        <w:t xml:space="preserve">节假日监理公司要安排人员值班，并将值班人员安排表提前3天报委托人备案，若施工单位节假日正常上班，监理公司应根据施工内容安排好相应专业监理人员值班，保证工程施工的正常监督管理工作； </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（4）</w:t>
      </w:r>
      <w:r>
        <w:rPr>
          <w:rFonts w:hint="eastAsia" w:ascii="幼圆" w:hAnsi="幼圆" w:eastAsia="幼圆" w:cs="幼圆"/>
          <w:sz w:val="21"/>
          <w:szCs w:val="21"/>
        </w:rPr>
        <w:t>巡视检查要求</w:t>
      </w:r>
    </w:p>
    <w:p>
      <w:pPr>
        <w:widowControl w:val="0"/>
        <w:adjustRightInd/>
        <w:spacing w:line="360" w:lineRule="auto"/>
        <w:ind w:firstLine="420" w:firstLineChars="200"/>
        <w:jc w:val="both"/>
        <w:textAlignment w:val="auto"/>
        <w:rPr>
          <w:rFonts w:hint="eastAsia" w:ascii="幼圆" w:hAnsi="幼圆" w:eastAsia="幼圆" w:cs="幼圆"/>
          <w:kern w:val="2"/>
          <w:sz w:val="21"/>
          <w:szCs w:val="20"/>
        </w:rPr>
      </w:pPr>
      <w:r>
        <w:rPr>
          <w:rFonts w:hint="eastAsia" w:ascii="幼圆" w:hAnsi="幼圆" w:eastAsia="幼圆" w:cs="幼圆"/>
          <w:kern w:val="2"/>
          <w:sz w:val="21"/>
          <w:szCs w:val="20"/>
        </w:rPr>
        <w:t>监理公司的监理人员必须保证白天正常工作时间内，有6小时以上在施工作业面巡视；</w:t>
      </w:r>
    </w:p>
    <w:p>
      <w:pPr>
        <w:widowControl w:val="0"/>
        <w:adjustRightInd/>
        <w:spacing w:line="360" w:lineRule="auto"/>
        <w:ind w:firstLine="420" w:firstLineChars="200"/>
        <w:jc w:val="both"/>
        <w:textAlignment w:val="auto"/>
        <w:rPr>
          <w:rFonts w:hint="eastAsia" w:ascii="幼圆" w:hAnsi="幼圆" w:eastAsia="幼圆" w:cs="幼圆"/>
          <w:kern w:val="2"/>
          <w:sz w:val="21"/>
          <w:szCs w:val="20"/>
        </w:rPr>
      </w:pPr>
      <w:r>
        <w:rPr>
          <w:rFonts w:hint="eastAsia" w:ascii="幼圆" w:hAnsi="幼圆" w:eastAsia="幼圆" w:cs="幼圆"/>
          <w:kern w:val="2"/>
          <w:sz w:val="21"/>
          <w:szCs w:val="20"/>
        </w:rPr>
        <w:t>监理工程按照现行国家建筑工程施工质量验收规范要求进行巡视；</w:t>
      </w:r>
    </w:p>
    <w:p>
      <w:pPr>
        <w:widowControl w:val="0"/>
        <w:adjustRightInd/>
        <w:spacing w:line="360" w:lineRule="auto"/>
        <w:ind w:firstLine="420" w:firstLineChars="200"/>
        <w:jc w:val="both"/>
        <w:textAlignment w:val="auto"/>
        <w:rPr>
          <w:rFonts w:hint="eastAsia" w:ascii="幼圆" w:hAnsi="幼圆" w:eastAsia="幼圆" w:cs="幼圆"/>
          <w:kern w:val="2"/>
          <w:sz w:val="21"/>
          <w:szCs w:val="20"/>
        </w:rPr>
      </w:pPr>
      <w:r>
        <w:rPr>
          <w:rFonts w:hint="eastAsia" w:ascii="幼圆" w:hAnsi="幼圆" w:eastAsia="幼圆" w:cs="幼圆"/>
          <w:kern w:val="2"/>
          <w:sz w:val="21"/>
          <w:szCs w:val="20"/>
        </w:rPr>
        <w:t>巡视中对主控项目100％检查，对一般项目不少于50%的检查，对一般实测检查不少于30%自行平行检测；</w:t>
      </w:r>
    </w:p>
    <w:p>
      <w:pPr>
        <w:widowControl w:val="0"/>
        <w:adjustRightInd/>
        <w:spacing w:line="360" w:lineRule="auto"/>
        <w:ind w:firstLine="420" w:firstLineChars="200"/>
        <w:jc w:val="both"/>
        <w:textAlignment w:val="auto"/>
        <w:rPr>
          <w:rFonts w:hint="eastAsia" w:ascii="幼圆" w:hAnsi="幼圆" w:eastAsia="幼圆" w:cs="幼圆"/>
          <w:kern w:val="2"/>
          <w:sz w:val="21"/>
          <w:szCs w:val="20"/>
        </w:rPr>
      </w:pPr>
      <w:r>
        <w:rPr>
          <w:rFonts w:hint="eastAsia" w:ascii="幼圆" w:hAnsi="幼圆" w:eastAsia="幼圆" w:cs="幼圆"/>
          <w:kern w:val="2"/>
          <w:sz w:val="21"/>
          <w:szCs w:val="20"/>
        </w:rPr>
        <w:t xml:space="preserve">应记录检查的分部分项、检查位置，观测项目质量描述应包括存在质量问题、数量多少、是否符合验收要求，要求实测项目实行量化记录管理；实测项目应有监理工程师亲自实测的数据； </w:t>
      </w:r>
    </w:p>
    <w:p>
      <w:pPr>
        <w:pStyle w:val="172"/>
        <w:numPr>
          <w:ilvl w:val="0"/>
          <w:numId w:val="0"/>
        </w:numPr>
        <w:spacing w:line="360" w:lineRule="auto"/>
        <w:ind w:left="0" w:leftChars="0" w:firstLine="420" w:firstLineChars="200"/>
        <w:rPr>
          <w:rFonts w:hint="eastAsia" w:ascii="幼圆" w:hAnsi="幼圆" w:eastAsia="幼圆" w:cs="幼圆"/>
          <w:sz w:val="21"/>
          <w:szCs w:val="21"/>
        </w:rPr>
      </w:pPr>
      <w:r>
        <w:rPr>
          <w:rFonts w:hint="eastAsia" w:ascii="幼圆" w:hAnsi="幼圆" w:eastAsia="幼圆" w:cs="幼圆"/>
          <w:kern w:val="2"/>
          <w:sz w:val="21"/>
          <w:szCs w:val="21"/>
          <w:lang w:val="en-US" w:eastAsia="zh-CN" w:bidi="ar-SA"/>
        </w:rPr>
        <w:t>（5）</w:t>
      </w:r>
      <w:r>
        <w:rPr>
          <w:rFonts w:hint="eastAsia" w:ascii="幼圆" w:hAnsi="幼圆" w:eastAsia="幼圆" w:cs="幼圆"/>
          <w:sz w:val="21"/>
          <w:szCs w:val="21"/>
        </w:rPr>
        <w:t xml:space="preserve">监理公司应根据工程进度要求，编制简单易行的巡视检查表，每位监理人员要有专门巡视记录簿。 </w:t>
      </w:r>
    </w:p>
    <w:p>
      <w:pPr>
        <w:widowControl w:val="0"/>
        <w:autoSpaceDE w:val="0"/>
        <w:autoSpaceDN w:val="0"/>
        <w:adjustRightInd w:val="0"/>
        <w:spacing w:line="360" w:lineRule="auto"/>
        <w:jc w:val="both"/>
        <w:textAlignment w:val="auto"/>
        <w:rPr>
          <w:rFonts w:hint="eastAsia" w:ascii="幼圆" w:hAnsi="幼圆" w:eastAsia="幼圆" w:cs="幼圆"/>
          <w:b/>
          <w:bCs/>
          <w:sz w:val="21"/>
          <w:szCs w:val="20"/>
        </w:rPr>
      </w:pPr>
      <w:r>
        <w:rPr>
          <w:rFonts w:hint="eastAsia" w:ascii="幼圆" w:hAnsi="幼圆" w:eastAsia="幼圆" w:cs="幼圆"/>
          <w:b/>
          <w:bCs/>
          <w:sz w:val="21"/>
          <w:szCs w:val="20"/>
        </w:rPr>
        <w:t xml:space="preserve">（二）对监理程序及技术的基本要求 </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1、监理单位在监理过程中须独立地进行检测、检验、试验工作，即凡施工单位须做的检测、检验、试验项目，经过监理单位的旁站见证或独立检测、检验、试验后，能足以客观反映施工单位所做的检测、检验、试验项目数据及工程质量的真实情况。</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 xml:space="preserve">2、投标人在监理过程中不得使用施工单位的任何仪器、设备，不得使用施工单位的任何技术资料，不得与施工单位送到同一检测中心（站）进行检测。施工过程中的各类测量复核、设备安装等检测测试工作，均应按国家相关规定组织实施，投标人与施工单位的测试数据不得相互套用。 </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 xml:space="preserve">3、为保证本工程建设的有序管理，保证本项目及周边地区综合管线信息的科学性、完整性、准确性和现实性，根据有关规定以及有关法律法规，结合本工程实际情况，监理单位应对施工全过程进行旁站监督，并督促施工单位在管线埋设后覆土前及时书面通知有关管理部门。 </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 xml:space="preserve">4、监理资料的提供，应执行国家《建设工程监理规范》，使用的表式在确定监理投标人后，由采购人档案部门与投标人具体交底明确。 </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5、投标人提供的资料应符合《建设工程监理规范》之规定，同时需满足采购人的“工程竣工档案资料收集整理办法”的规定。</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 xml:space="preserve">6、对上述监理人员的基本要求、监理程序及技术的基本要求必须达到相关标准，且各投标人在监理大纲综合说明中必须写明如达不到上述要求的处罚办法。 </w:t>
      </w:r>
    </w:p>
    <w:p>
      <w:pPr>
        <w:widowControl w:val="0"/>
        <w:autoSpaceDE w:val="0"/>
        <w:autoSpaceDN w:val="0"/>
        <w:adjustRightInd w:val="0"/>
        <w:spacing w:line="360" w:lineRule="auto"/>
        <w:jc w:val="both"/>
        <w:textAlignment w:val="auto"/>
        <w:rPr>
          <w:rFonts w:hint="eastAsia" w:ascii="幼圆" w:hAnsi="幼圆" w:eastAsia="幼圆" w:cs="幼圆"/>
          <w:b/>
          <w:bCs/>
          <w:sz w:val="21"/>
          <w:szCs w:val="20"/>
        </w:rPr>
      </w:pPr>
      <w:r>
        <w:rPr>
          <w:rFonts w:hint="eastAsia" w:ascii="幼圆" w:hAnsi="幼圆" w:eastAsia="幼圆" w:cs="幼圆"/>
          <w:b/>
          <w:bCs/>
          <w:sz w:val="21"/>
          <w:szCs w:val="20"/>
        </w:rPr>
        <w:t xml:space="preserve">（三）对监理工作的管理要求 </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1、如因监理单位过失而造成采购人的经济损失，应当向采购人进行赔偿。</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 xml:space="preserve">2、如监理单位对施工单位上报的已完工作量未能准确复核，并签署了与实际不符的工作量的工程进度付款凭证、变更洽商材料等，采购人将追究其责任，对由此造成的损失应当向采购人进行赔偿。 </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3、监理单位必须按照约定及时足额发放监理员的工资，如委托人发现监理公司有流动资金不足、拖欠员工工资等现象，委托人有权先支付监理公司资金，保证监理工作的正常进行，支付的费用在应付监理费用中扣除，并视情节要求监理公司支付扣款费用20％的违约金。</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 xml:space="preserve">4、对监理部所配物资不能满足监理办公需要，监理公司又不能及时解决，已影响监理工作正常进行时，委托人有权进行配给，所需费用从应付监理费中扣除。 </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 xml:space="preserve">5、因项目进展需要，委托人提出增加管理人员时，监理方必须保证及时补充符合要求的监理人员。 </w:t>
      </w:r>
    </w:p>
    <w:p>
      <w:pPr>
        <w:widowControl w:val="0"/>
        <w:numPr>
          <w:ilvl w:val="0"/>
          <w:numId w:val="0"/>
        </w:numPr>
        <w:spacing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 xml:space="preserve">6、监理公司应正确处理与委托人、乙方的关系，监理公司应理解、落实监理委托人工程管理的延伸，而不仅仅是简单的合同关系。 </w:t>
      </w:r>
    </w:p>
    <w:p>
      <w:pPr>
        <w:kinsoku w:val="0"/>
        <w:overflowPunct w:val="0"/>
        <w:autoSpaceDE w:val="0"/>
        <w:autoSpaceDN w:val="0"/>
        <w:adjustRightInd w:val="0"/>
        <w:spacing w:after="0" w:line="360" w:lineRule="auto"/>
        <w:jc w:val="both"/>
        <w:rPr>
          <w:rFonts w:hint="eastAsia" w:ascii="幼圆" w:hAnsi="幼圆" w:eastAsia="幼圆" w:cs="幼圆"/>
          <w:kern w:val="2"/>
          <w:sz w:val="21"/>
          <w:szCs w:val="21"/>
          <w:lang w:val="en-US" w:eastAsia="zh-CN" w:bidi="ar-SA"/>
        </w:rPr>
      </w:pPr>
      <w:r>
        <w:rPr>
          <w:rFonts w:hint="eastAsia" w:ascii="幼圆" w:hAnsi="幼圆" w:eastAsia="幼圆" w:cs="幼圆"/>
          <w:kern w:val="2"/>
          <w:sz w:val="21"/>
          <w:szCs w:val="21"/>
          <w:lang w:val="en-US" w:eastAsia="zh-CN" w:bidi="ar-SA"/>
        </w:rPr>
        <w:t>7、监理认可并无条件履行采购人的有关项目建设的各项规章制度。</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六、施工监理规范</w:t>
      </w:r>
    </w:p>
    <w:p>
      <w:pPr>
        <w:rPr>
          <w:rFonts w:hint="eastAsia" w:ascii="幼圆" w:hAnsi="幼圆" w:eastAsia="幼圆" w:cs="幼圆"/>
          <w:lang w:val="en-US" w:eastAsia="zh-CN"/>
        </w:rPr>
      </w:pPr>
      <w:r>
        <w:rPr>
          <w:rFonts w:hint="eastAsia" w:ascii="幼圆" w:hAnsi="幼圆" w:eastAsia="幼圆" w:cs="幼圆"/>
          <w:lang w:val="en-US" w:eastAsia="zh-CN"/>
        </w:rPr>
        <w:t>本项目工程监理执行国家和本市现行的有关规范、规程和技术标准、北京市政府部门的有关要求，并且满足委托方相关的管理要求。包含但不限于以下规范标准：</w:t>
      </w:r>
    </w:p>
    <w:p>
      <w:pPr>
        <w:rPr>
          <w:rFonts w:hint="eastAsia" w:ascii="幼圆" w:hAnsi="幼圆" w:eastAsia="幼圆" w:cs="幼圆"/>
          <w:lang w:val="en-US" w:eastAsia="zh-CN"/>
        </w:rPr>
      </w:pPr>
      <w:r>
        <w:rPr>
          <w:rFonts w:hint="eastAsia" w:ascii="幼圆" w:hAnsi="幼圆" w:eastAsia="幼圆" w:cs="幼圆"/>
          <w:lang w:val="en-US" w:eastAsia="zh-CN"/>
        </w:rPr>
        <w:t>工程施工质量应满足但不限于下列规范标准要求：</w:t>
      </w:r>
    </w:p>
    <w:p>
      <w:pPr>
        <w:rPr>
          <w:rFonts w:hint="eastAsia" w:ascii="幼圆" w:hAnsi="幼圆" w:eastAsia="幼圆" w:cs="幼圆"/>
          <w:lang w:val="en-US" w:eastAsia="zh-CN"/>
        </w:rPr>
      </w:pPr>
      <w:r>
        <w:rPr>
          <w:rFonts w:hint="eastAsia" w:ascii="幼圆" w:hAnsi="幼圆" w:eastAsia="幼圆" w:cs="幼圆"/>
          <w:lang w:val="en-US" w:eastAsia="zh-CN"/>
        </w:rPr>
        <w:t>1.《建筑工程施工质量验收统一标准》GB 50300-2013</w:t>
      </w:r>
    </w:p>
    <w:p>
      <w:pPr>
        <w:rPr>
          <w:rFonts w:hint="eastAsia" w:ascii="幼圆" w:hAnsi="幼圆" w:eastAsia="幼圆" w:cs="幼圆"/>
          <w:lang w:val="en-US" w:eastAsia="zh-CN"/>
        </w:rPr>
      </w:pPr>
      <w:r>
        <w:rPr>
          <w:rFonts w:hint="eastAsia" w:ascii="幼圆" w:hAnsi="幼圆" w:eastAsia="幼圆" w:cs="幼圆"/>
          <w:lang w:val="en-US" w:eastAsia="zh-CN"/>
        </w:rPr>
        <w:t>2.《建筑装饰装修工程质量验收标准》GB 50210-2018</w:t>
      </w:r>
    </w:p>
    <w:p>
      <w:pPr>
        <w:rPr>
          <w:rFonts w:hint="eastAsia" w:ascii="幼圆" w:hAnsi="幼圆" w:eastAsia="幼圆" w:cs="幼圆"/>
          <w:lang w:val="en-US" w:eastAsia="zh-CN"/>
        </w:rPr>
      </w:pPr>
      <w:r>
        <w:rPr>
          <w:rFonts w:hint="eastAsia" w:ascii="幼圆" w:hAnsi="幼圆" w:eastAsia="幼圆" w:cs="幼圆"/>
          <w:lang w:val="en-US" w:eastAsia="zh-CN"/>
        </w:rPr>
        <w:t>3.《通风与空调工程施工质量验收规范》 GB50243-2016</w:t>
      </w:r>
    </w:p>
    <w:p>
      <w:pPr>
        <w:rPr>
          <w:rFonts w:hint="eastAsia" w:ascii="幼圆" w:hAnsi="幼圆" w:eastAsia="幼圆" w:cs="幼圆"/>
          <w:lang w:val="en-US" w:eastAsia="zh-CN"/>
        </w:rPr>
      </w:pPr>
      <w:r>
        <w:rPr>
          <w:rFonts w:hint="eastAsia" w:ascii="幼圆" w:hAnsi="幼圆" w:eastAsia="幼圆" w:cs="幼圆"/>
          <w:lang w:val="en-US" w:eastAsia="zh-CN"/>
        </w:rPr>
        <w:t>4.《建筑给水排水及采暖工程施工质量验收规范》GB 50242-2002</w:t>
      </w:r>
    </w:p>
    <w:p>
      <w:pPr>
        <w:rPr>
          <w:rFonts w:hint="eastAsia" w:ascii="幼圆" w:hAnsi="幼圆" w:eastAsia="幼圆" w:cs="幼圆"/>
          <w:lang w:val="en-US" w:eastAsia="zh-CN"/>
        </w:rPr>
      </w:pPr>
      <w:r>
        <w:rPr>
          <w:rFonts w:hint="eastAsia" w:ascii="幼圆" w:hAnsi="幼圆" w:eastAsia="幼圆" w:cs="幼圆"/>
          <w:lang w:val="en-US" w:eastAsia="zh-CN"/>
        </w:rPr>
        <w:t>5. 《建筑电气照明装置施工与验收规范》 GB50617-2010</w:t>
      </w:r>
    </w:p>
    <w:p>
      <w:pPr>
        <w:rPr>
          <w:rFonts w:hint="eastAsia" w:ascii="幼圆" w:hAnsi="幼圆" w:eastAsia="幼圆" w:cs="幼圆"/>
          <w:lang w:val="en-US" w:eastAsia="zh-CN"/>
        </w:rPr>
      </w:pPr>
      <w:r>
        <w:rPr>
          <w:rFonts w:hint="eastAsia" w:ascii="幼圆" w:hAnsi="幼圆" w:eastAsia="幼圆" w:cs="幼圆"/>
          <w:lang w:val="en-US" w:eastAsia="zh-CN"/>
        </w:rPr>
        <w:t>6.《医院建筑室内装饰装修技术规程》T/CBDA-2021</w:t>
      </w:r>
    </w:p>
    <w:p>
      <w:pPr>
        <w:rPr>
          <w:rFonts w:hint="eastAsia" w:ascii="幼圆" w:hAnsi="幼圆" w:eastAsia="幼圆" w:cs="幼圆"/>
          <w:lang w:val="en-US" w:eastAsia="zh-CN"/>
        </w:rPr>
      </w:pPr>
      <w:r>
        <w:rPr>
          <w:rFonts w:hint="eastAsia" w:ascii="幼圆" w:hAnsi="幼圆" w:eastAsia="幼圆" w:cs="幼圆"/>
          <w:lang w:val="en-US" w:eastAsia="zh-CN"/>
        </w:rPr>
        <w:t>7、《建筑电气工程施工质量验收规范》GB 50303-2015</w:t>
      </w:r>
    </w:p>
    <w:p>
      <w:pPr>
        <w:rPr>
          <w:rFonts w:hint="eastAsia" w:ascii="幼圆" w:hAnsi="幼圆" w:eastAsia="幼圆" w:cs="幼圆"/>
          <w:lang w:val="en-US" w:eastAsia="zh-CN"/>
        </w:rPr>
      </w:pPr>
      <w:r>
        <w:rPr>
          <w:rFonts w:hint="eastAsia" w:ascii="幼圆" w:hAnsi="幼圆" w:eastAsia="幼圆" w:cs="幼圆"/>
          <w:lang w:val="en-US" w:eastAsia="zh-CN"/>
        </w:rPr>
        <w:t>8、《混凝土结构工程施工质量验收规范》GB 50204-2015</w:t>
      </w:r>
    </w:p>
    <w:p>
      <w:pPr>
        <w:rPr>
          <w:rFonts w:hint="eastAsia" w:ascii="幼圆" w:hAnsi="幼圆" w:eastAsia="幼圆" w:cs="幼圆"/>
          <w:lang w:val="en-US" w:eastAsia="zh-CN"/>
        </w:rPr>
      </w:pPr>
      <w:r>
        <w:rPr>
          <w:rFonts w:hint="eastAsia" w:ascii="幼圆" w:hAnsi="幼圆" w:eastAsia="幼圆" w:cs="幼圆"/>
          <w:lang w:val="en-US" w:eastAsia="zh-CN"/>
        </w:rPr>
        <w:t>以上规范要求，如有最新版本或最新规定，以最新版本或最新规定为准执行。</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七、评审标准</w:t>
      </w:r>
      <w:bookmarkEnd w:id="0"/>
      <w:r>
        <w:rPr>
          <w:rFonts w:hint="eastAsia" w:ascii="幼圆" w:hAnsi="幼圆" w:eastAsia="幼圆" w:cs="幼圆"/>
          <w:b/>
          <w:bCs/>
          <w:color w:val="FF0000"/>
          <w:sz w:val="28"/>
          <w:szCs w:val="24"/>
          <w:lang w:val="en-US" w:eastAsia="zh-CN"/>
        </w:rPr>
        <w:t>（综合评分法）</w:t>
      </w:r>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1.评分因素及分值</w:t>
      </w:r>
    </w:p>
    <w:tbl>
      <w:tblPr>
        <w:tblStyle w:val="35"/>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1029"/>
        <w:gridCol w:w="2359"/>
        <w:gridCol w:w="1004"/>
        <w:gridCol w:w="430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2" w:type="pct"/>
            <w:noWrap w:val="0"/>
            <w:vAlign w:val="center"/>
          </w:tcPr>
          <w:p>
            <w:pPr>
              <w:snapToGrid w:val="0"/>
              <w:spacing w:after="0" w:line="360" w:lineRule="auto"/>
              <w:ind w:right="-28"/>
              <w:jc w:val="center"/>
              <w:rPr>
                <w:rFonts w:hint="eastAsia" w:ascii="幼圆" w:hAnsi="幼圆" w:eastAsia="幼圆" w:cs="幼圆"/>
                <w:b/>
                <w:bCs/>
                <w:sz w:val="24"/>
                <w:szCs w:val="20"/>
              </w:rPr>
            </w:pPr>
            <w:r>
              <w:rPr>
                <w:rFonts w:hint="eastAsia" w:ascii="幼圆" w:hAnsi="幼圆" w:eastAsia="幼圆" w:cs="幼圆"/>
                <w:b/>
                <w:bCs/>
                <w:sz w:val="24"/>
                <w:szCs w:val="20"/>
              </w:rPr>
              <w:t>序号</w:t>
            </w:r>
          </w:p>
        </w:tc>
        <w:tc>
          <w:tcPr>
            <w:tcW w:w="1355" w:type="pct"/>
            <w:noWrap w:val="0"/>
            <w:vAlign w:val="center"/>
          </w:tcPr>
          <w:p>
            <w:pPr>
              <w:snapToGrid w:val="0"/>
              <w:spacing w:after="0" w:line="360" w:lineRule="auto"/>
              <w:jc w:val="center"/>
              <w:rPr>
                <w:rFonts w:hint="eastAsia" w:ascii="幼圆" w:hAnsi="幼圆" w:eastAsia="幼圆" w:cs="幼圆"/>
                <w:b/>
                <w:bCs/>
                <w:sz w:val="24"/>
                <w:szCs w:val="20"/>
              </w:rPr>
            </w:pPr>
            <w:r>
              <w:rPr>
                <w:rFonts w:hint="eastAsia" w:ascii="幼圆" w:hAnsi="幼圆" w:eastAsia="幼圆" w:cs="幼圆"/>
                <w:b/>
                <w:bCs/>
                <w:sz w:val="24"/>
                <w:szCs w:val="20"/>
              </w:rPr>
              <w:t>评分标准</w:t>
            </w:r>
          </w:p>
        </w:tc>
        <w:tc>
          <w:tcPr>
            <w:tcW w:w="577" w:type="pct"/>
            <w:noWrap w:val="0"/>
            <w:vAlign w:val="center"/>
          </w:tcPr>
          <w:p>
            <w:pPr>
              <w:snapToGrid w:val="0"/>
              <w:spacing w:after="0" w:line="360" w:lineRule="auto"/>
              <w:ind w:left="113"/>
              <w:jc w:val="center"/>
              <w:rPr>
                <w:rFonts w:hint="eastAsia" w:ascii="幼圆" w:hAnsi="幼圆" w:eastAsia="幼圆" w:cs="幼圆"/>
                <w:b/>
                <w:bCs/>
                <w:sz w:val="24"/>
                <w:szCs w:val="20"/>
              </w:rPr>
            </w:pPr>
            <w:r>
              <w:rPr>
                <w:rFonts w:hint="eastAsia" w:ascii="幼圆" w:hAnsi="幼圆" w:eastAsia="幼圆" w:cs="幼圆"/>
                <w:b/>
                <w:bCs/>
                <w:sz w:val="24"/>
                <w:szCs w:val="20"/>
              </w:rPr>
              <w:t>分值</w:t>
            </w:r>
          </w:p>
        </w:tc>
        <w:tc>
          <w:tcPr>
            <w:tcW w:w="2474" w:type="pct"/>
            <w:noWrap w:val="0"/>
            <w:vAlign w:val="center"/>
          </w:tcPr>
          <w:p>
            <w:pPr>
              <w:snapToGrid w:val="0"/>
              <w:spacing w:after="0" w:line="360" w:lineRule="auto"/>
              <w:ind w:left="113"/>
              <w:jc w:val="center"/>
              <w:rPr>
                <w:rFonts w:hint="eastAsia" w:ascii="幼圆" w:hAnsi="幼圆" w:eastAsia="幼圆" w:cs="幼圆"/>
                <w:b/>
                <w:bCs/>
                <w:sz w:val="24"/>
                <w:szCs w:val="20"/>
              </w:rPr>
            </w:pPr>
            <w:r>
              <w:rPr>
                <w:rFonts w:hint="eastAsia" w:ascii="幼圆" w:hAnsi="幼圆" w:eastAsia="幼圆" w:cs="幼圆"/>
                <w:b/>
                <w:bCs/>
                <w:sz w:val="24"/>
                <w:szCs w:val="20"/>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2"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1</w:t>
            </w:r>
          </w:p>
        </w:tc>
        <w:tc>
          <w:tcPr>
            <w:tcW w:w="1355"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577" w:type="pct"/>
            <w:noWrap w:val="0"/>
            <w:vAlign w:val="center"/>
          </w:tcPr>
          <w:p>
            <w:pPr>
              <w:spacing w:after="0" w:line="360" w:lineRule="auto"/>
              <w:ind w:left="113"/>
              <w:jc w:val="center"/>
              <w:rPr>
                <w:rFonts w:hint="eastAsia" w:ascii="幼圆" w:hAnsi="幼圆" w:eastAsia="幼圆" w:cs="幼圆"/>
                <w:sz w:val="24"/>
                <w:szCs w:val="20"/>
                <w:lang w:val="en-US" w:eastAsia="zh-CN"/>
              </w:rPr>
            </w:pPr>
            <w:r>
              <w:rPr>
                <w:rFonts w:hint="eastAsia" w:ascii="幼圆" w:hAnsi="幼圆" w:eastAsia="幼圆" w:cs="幼圆"/>
                <w:sz w:val="24"/>
                <w:szCs w:val="20"/>
                <w:lang w:val="en-US" w:eastAsia="zh-CN"/>
              </w:rPr>
              <w:t>20</w:t>
            </w:r>
          </w:p>
        </w:tc>
        <w:tc>
          <w:tcPr>
            <w:tcW w:w="2474" w:type="pct"/>
            <w:vMerge w:val="restart"/>
            <w:noWrap w:val="0"/>
            <w:vAlign w:val="center"/>
          </w:tcPr>
          <w:p>
            <w:pPr>
              <w:spacing w:after="0" w:line="360" w:lineRule="auto"/>
              <w:ind w:left="113"/>
              <w:rPr>
                <w:rFonts w:hint="eastAsia" w:ascii="幼圆" w:hAnsi="幼圆" w:eastAsia="幼圆" w:cs="幼圆"/>
                <w:sz w:val="24"/>
                <w:szCs w:val="20"/>
              </w:rPr>
            </w:pPr>
            <w:r>
              <w:rPr>
                <w:rFonts w:hint="eastAsia" w:ascii="幼圆" w:hAnsi="幼圆" w:eastAsia="幼圆" w:cs="幼圆"/>
                <w:sz w:val="24"/>
                <w:szCs w:val="20"/>
              </w:rPr>
              <w:t>详细的评审内容见下述评分标准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2"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2</w:t>
            </w:r>
          </w:p>
        </w:tc>
        <w:tc>
          <w:tcPr>
            <w:tcW w:w="1355"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商务部分</w:t>
            </w:r>
          </w:p>
        </w:tc>
        <w:tc>
          <w:tcPr>
            <w:tcW w:w="577" w:type="pct"/>
            <w:noWrap w:val="0"/>
            <w:vAlign w:val="center"/>
          </w:tcPr>
          <w:p>
            <w:pPr>
              <w:spacing w:after="0" w:line="360" w:lineRule="auto"/>
              <w:ind w:left="113"/>
              <w:jc w:val="center"/>
              <w:rPr>
                <w:rFonts w:hint="default" w:ascii="幼圆" w:hAnsi="幼圆" w:eastAsia="幼圆" w:cs="幼圆"/>
                <w:sz w:val="24"/>
                <w:szCs w:val="20"/>
                <w:lang w:val="en-US" w:eastAsia="zh-CN"/>
              </w:rPr>
            </w:pPr>
            <w:r>
              <w:rPr>
                <w:rFonts w:hint="eastAsia" w:ascii="幼圆" w:hAnsi="幼圆" w:eastAsia="幼圆" w:cs="幼圆"/>
                <w:sz w:val="24"/>
                <w:szCs w:val="20"/>
                <w:lang w:val="en-US" w:eastAsia="zh-CN"/>
              </w:rPr>
              <w:t>15</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2"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w:t>
            </w:r>
          </w:p>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34</w:t>
            </w:r>
          </w:p>
        </w:tc>
        <w:tc>
          <w:tcPr>
            <w:tcW w:w="1355"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技术部分</w:t>
            </w:r>
          </w:p>
        </w:tc>
        <w:tc>
          <w:tcPr>
            <w:tcW w:w="577" w:type="pct"/>
            <w:noWrap w:val="0"/>
            <w:vAlign w:val="center"/>
          </w:tcPr>
          <w:p>
            <w:pPr>
              <w:spacing w:after="0" w:line="360" w:lineRule="auto"/>
              <w:ind w:left="113"/>
              <w:jc w:val="center"/>
              <w:rPr>
                <w:rFonts w:hint="default" w:ascii="幼圆" w:hAnsi="幼圆" w:eastAsia="幼圆" w:cs="幼圆"/>
                <w:sz w:val="24"/>
                <w:szCs w:val="20"/>
                <w:lang w:val="en-US" w:eastAsia="zh-CN"/>
              </w:rPr>
            </w:pPr>
            <w:r>
              <w:rPr>
                <w:rFonts w:hint="eastAsia" w:ascii="幼圆" w:hAnsi="幼圆" w:eastAsia="幼圆" w:cs="幼圆"/>
                <w:sz w:val="24"/>
                <w:szCs w:val="20"/>
                <w:lang w:val="en-US" w:eastAsia="zh-CN"/>
              </w:rPr>
              <w:t>26</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2" w:type="pct"/>
            <w:noWrap w:val="0"/>
            <w:vAlign w:val="center"/>
          </w:tcPr>
          <w:p>
            <w:pPr>
              <w:spacing w:after="0" w:line="360" w:lineRule="auto"/>
              <w:ind w:right="-28"/>
              <w:jc w:val="center"/>
              <w:rPr>
                <w:rFonts w:hint="eastAsia" w:ascii="幼圆" w:hAnsi="幼圆" w:eastAsia="幼圆" w:cs="幼圆"/>
                <w:sz w:val="24"/>
                <w:szCs w:val="20"/>
                <w:lang w:val="en-US" w:eastAsia="zh-CN"/>
              </w:rPr>
            </w:pPr>
            <w:r>
              <w:rPr>
                <w:rFonts w:hint="eastAsia" w:ascii="幼圆" w:hAnsi="幼圆" w:eastAsia="幼圆" w:cs="幼圆"/>
                <w:sz w:val="24"/>
                <w:szCs w:val="20"/>
                <w:lang w:val="en-US" w:eastAsia="zh-CN"/>
              </w:rPr>
              <w:t>4</w:t>
            </w:r>
          </w:p>
        </w:tc>
        <w:tc>
          <w:tcPr>
            <w:tcW w:w="1355" w:type="pct"/>
            <w:noWrap w:val="0"/>
            <w:vAlign w:val="center"/>
          </w:tcPr>
          <w:p>
            <w:pPr>
              <w:spacing w:after="0" w:line="360" w:lineRule="auto"/>
              <w:jc w:val="center"/>
              <w:rPr>
                <w:rFonts w:hint="eastAsia" w:ascii="幼圆" w:hAnsi="幼圆" w:eastAsia="幼圆" w:cs="幼圆"/>
                <w:sz w:val="24"/>
                <w:szCs w:val="20"/>
                <w:lang w:val="en-US" w:eastAsia="zh-CN"/>
              </w:rPr>
            </w:pPr>
            <w:r>
              <w:rPr>
                <w:rFonts w:hint="eastAsia" w:ascii="幼圆" w:hAnsi="幼圆" w:eastAsia="幼圆" w:cs="幼圆"/>
                <w:sz w:val="24"/>
                <w:szCs w:val="20"/>
                <w:lang w:val="en-US" w:eastAsia="zh-CN"/>
              </w:rPr>
              <w:t>服务部分</w:t>
            </w:r>
          </w:p>
        </w:tc>
        <w:tc>
          <w:tcPr>
            <w:tcW w:w="577" w:type="pct"/>
            <w:noWrap w:val="0"/>
            <w:vAlign w:val="center"/>
          </w:tcPr>
          <w:p>
            <w:pPr>
              <w:spacing w:after="0" w:line="360" w:lineRule="auto"/>
              <w:ind w:left="113"/>
              <w:jc w:val="center"/>
              <w:rPr>
                <w:rFonts w:hint="default" w:ascii="幼圆" w:hAnsi="幼圆" w:eastAsia="幼圆" w:cs="幼圆"/>
                <w:sz w:val="24"/>
                <w:szCs w:val="20"/>
                <w:lang w:val="en-US" w:eastAsia="zh-CN"/>
              </w:rPr>
            </w:pPr>
            <w:r>
              <w:rPr>
                <w:rFonts w:hint="eastAsia" w:ascii="幼圆" w:hAnsi="幼圆" w:eastAsia="幼圆" w:cs="幼圆"/>
                <w:sz w:val="24"/>
                <w:szCs w:val="20"/>
                <w:lang w:val="en-US" w:eastAsia="zh-CN"/>
              </w:rPr>
              <w:t>39</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1948" w:type="pct"/>
            <w:gridSpan w:val="2"/>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合计</w:t>
            </w:r>
          </w:p>
        </w:tc>
        <w:tc>
          <w:tcPr>
            <w:tcW w:w="577"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100</w:t>
            </w:r>
          </w:p>
        </w:tc>
        <w:tc>
          <w:tcPr>
            <w:tcW w:w="2474" w:type="pct"/>
            <w:noWrap w:val="0"/>
            <w:vAlign w:val="center"/>
          </w:tcPr>
          <w:p>
            <w:pPr>
              <w:spacing w:after="0" w:line="360" w:lineRule="auto"/>
              <w:ind w:left="113"/>
              <w:rPr>
                <w:rFonts w:hint="eastAsia" w:ascii="幼圆" w:hAnsi="幼圆" w:eastAsia="幼圆" w:cs="幼圆"/>
                <w:sz w:val="24"/>
                <w:szCs w:val="20"/>
              </w:rPr>
            </w:pPr>
          </w:p>
        </w:tc>
      </w:tr>
    </w:tbl>
    <w:p>
      <w:pPr>
        <w:rPr>
          <w:rFonts w:hint="eastAsia" w:ascii="幼圆" w:hAnsi="幼圆" w:eastAsia="幼圆" w:cs="幼圆"/>
          <w:b/>
          <w:bCs/>
          <w:sz w:val="24"/>
          <w:szCs w:val="20"/>
        </w:rPr>
      </w:pPr>
    </w:p>
    <w:p>
      <w:pPr>
        <w:rPr>
          <w:rFonts w:hint="eastAsia" w:ascii="幼圆" w:hAnsi="幼圆" w:eastAsia="幼圆" w:cs="幼圆"/>
          <w:b/>
          <w:bCs/>
          <w:sz w:val="24"/>
          <w:szCs w:val="20"/>
        </w:rPr>
      </w:pPr>
      <w:r>
        <w:rPr>
          <w:rFonts w:hint="eastAsia" w:ascii="幼圆" w:hAnsi="幼圆" w:eastAsia="幼圆" w:cs="幼圆"/>
          <w:b/>
          <w:bCs/>
          <w:sz w:val="24"/>
          <w:szCs w:val="20"/>
          <w:lang w:val="en-US" w:eastAsia="zh-CN"/>
        </w:rPr>
        <w:t>2.评分标准（如下）</w:t>
      </w:r>
      <w:r>
        <w:rPr>
          <w:rFonts w:hint="eastAsia" w:ascii="幼圆" w:hAnsi="幼圆" w:eastAsia="幼圆" w:cs="幼圆"/>
          <w:b/>
          <w:bCs/>
          <w:sz w:val="24"/>
          <w:szCs w:val="20"/>
        </w:rPr>
        <w:br w:type="page"/>
      </w:r>
    </w:p>
    <w:tbl>
      <w:tblPr>
        <w:tblStyle w:val="35"/>
        <w:tblpPr w:leftFromText="180" w:rightFromText="180" w:vertAnchor="text" w:horzAnchor="page" w:tblpX="334" w:tblpY="749"/>
        <w:tblOverlap w:val="never"/>
        <w:tblW w:w="107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03"/>
        <w:gridCol w:w="1170"/>
        <w:gridCol w:w="1125"/>
        <w:gridCol w:w="1125"/>
        <w:gridCol w:w="6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03"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b/>
                <w:bCs/>
                <w:kern w:val="2"/>
                <w:sz w:val="21"/>
                <w:szCs w:val="21"/>
              </w:rPr>
            </w:pPr>
            <w:r>
              <w:rPr>
                <w:rFonts w:hint="eastAsia" w:ascii="幼圆" w:hAnsi="幼圆" w:eastAsia="幼圆" w:cs="幼圆"/>
                <w:b/>
                <w:bCs/>
                <w:kern w:val="2"/>
                <w:sz w:val="21"/>
                <w:szCs w:val="21"/>
              </w:rPr>
              <w:t>序号</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b/>
                <w:bCs/>
                <w:kern w:val="2"/>
                <w:sz w:val="21"/>
                <w:szCs w:val="21"/>
              </w:rPr>
            </w:pPr>
            <w:r>
              <w:rPr>
                <w:rFonts w:hint="eastAsia" w:ascii="幼圆" w:hAnsi="幼圆" w:eastAsia="幼圆" w:cs="幼圆"/>
                <w:b/>
                <w:bCs/>
                <w:kern w:val="2"/>
                <w:sz w:val="21"/>
                <w:szCs w:val="21"/>
              </w:rPr>
              <w:t>评分因素</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b/>
                <w:bCs/>
                <w:kern w:val="2"/>
                <w:sz w:val="21"/>
                <w:szCs w:val="21"/>
              </w:rPr>
            </w:pPr>
            <w:r>
              <w:rPr>
                <w:rFonts w:hint="eastAsia" w:ascii="幼圆" w:hAnsi="幼圆" w:eastAsia="幼圆" w:cs="幼圆"/>
                <w:b/>
                <w:bCs/>
                <w:kern w:val="2"/>
                <w:sz w:val="21"/>
                <w:szCs w:val="21"/>
              </w:rPr>
              <w:t>各评分因素细分项</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幼圆" w:hAnsi="幼圆" w:eastAsia="幼圆" w:cs="幼圆"/>
                <w:b/>
                <w:bCs/>
                <w:kern w:val="2"/>
                <w:sz w:val="21"/>
                <w:szCs w:val="21"/>
              </w:rPr>
            </w:pPr>
            <w:r>
              <w:rPr>
                <w:rFonts w:hint="eastAsia" w:ascii="幼圆" w:hAnsi="幼圆" w:eastAsia="幼圆" w:cs="幼圆"/>
                <w:b/>
                <w:bCs/>
                <w:kern w:val="2"/>
                <w:sz w:val="21"/>
                <w:szCs w:val="21"/>
              </w:rPr>
              <w:t>分值</w:t>
            </w:r>
          </w:p>
        </w:tc>
        <w:tc>
          <w:tcPr>
            <w:tcW w:w="6668"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220" w:leftChars="100" w:right="163" w:rightChars="74"/>
              <w:jc w:val="center"/>
              <w:textAlignment w:val="auto"/>
              <w:rPr>
                <w:rFonts w:hint="eastAsia" w:ascii="幼圆" w:hAnsi="幼圆" w:eastAsia="幼圆" w:cs="幼圆"/>
                <w:b/>
                <w:bCs/>
                <w:kern w:val="2"/>
                <w:sz w:val="21"/>
                <w:szCs w:val="21"/>
              </w:rPr>
            </w:pPr>
            <w:r>
              <w:rPr>
                <w:rFonts w:hint="eastAsia" w:ascii="幼圆" w:hAnsi="幼圆" w:eastAsia="幼圆" w:cs="幼圆"/>
                <w:b/>
                <w:bCs/>
                <w:kern w:val="2"/>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03"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r>
              <w:rPr>
                <w:rFonts w:hint="eastAsia" w:ascii="幼圆" w:hAnsi="幼圆" w:eastAsia="幼圆" w:cs="幼圆"/>
                <w:kern w:val="2"/>
                <w:sz w:val="21"/>
                <w:szCs w:val="21"/>
              </w:rPr>
              <w:t xml:space="preserve"> 1</w:t>
            </w:r>
          </w:p>
        </w:tc>
        <w:tc>
          <w:tcPr>
            <w:tcW w:w="1170" w:type="dxa"/>
            <w:vAlign w:val="center"/>
          </w:tcPr>
          <w:p>
            <w:pPr>
              <w:pStyle w:val="173"/>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幼圆" w:hAnsi="幼圆" w:eastAsia="幼圆" w:cs="幼圆"/>
                <w:sz w:val="21"/>
                <w:szCs w:val="21"/>
                <w:lang w:eastAsia="zh-CN"/>
              </w:rPr>
            </w:pPr>
            <w:r>
              <w:rPr>
                <w:rFonts w:hint="eastAsia" w:ascii="幼圆" w:hAnsi="幼圆" w:eastAsia="幼圆" w:cs="幼圆"/>
                <w:sz w:val="21"/>
                <w:szCs w:val="21"/>
                <w:lang w:val="en-US" w:eastAsia="zh-CN"/>
              </w:rPr>
              <w:t>价格部分</w:t>
            </w:r>
            <w:r>
              <w:rPr>
                <w:rFonts w:hint="eastAsia" w:ascii="幼圆" w:hAnsi="幼圆" w:eastAsia="幼圆" w:cs="幼圆"/>
                <w:kern w:val="2"/>
                <w:sz w:val="21"/>
                <w:szCs w:val="21"/>
                <w:lang w:eastAsia="zh-CN"/>
              </w:rPr>
              <w:t>（</w:t>
            </w:r>
            <w:r>
              <w:rPr>
                <w:rFonts w:hint="eastAsia" w:ascii="幼圆" w:hAnsi="幼圆" w:eastAsia="幼圆" w:cs="幼圆"/>
                <w:kern w:val="2"/>
                <w:sz w:val="21"/>
                <w:szCs w:val="21"/>
                <w:lang w:val="en-US" w:eastAsia="zh-CN"/>
              </w:rPr>
              <w:t>20分</w:t>
            </w:r>
            <w:r>
              <w:rPr>
                <w:rFonts w:hint="eastAsia" w:ascii="幼圆" w:hAnsi="幼圆" w:eastAsia="幼圆" w:cs="幼圆"/>
                <w:kern w:val="2"/>
                <w:sz w:val="21"/>
                <w:szCs w:val="21"/>
                <w:lang w:eastAsia="zh-CN"/>
              </w:rPr>
              <w:t>）</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20" w:leftChars="100" w:right="167" w:rightChars="76"/>
              <w:jc w:val="center"/>
              <w:textAlignment w:val="auto"/>
              <w:rPr>
                <w:rFonts w:hint="eastAsia" w:ascii="幼圆" w:hAnsi="幼圆" w:eastAsia="幼圆" w:cs="幼圆"/>
                <w:kern w:val="2"/>
                <w:sz w:val="21"/>
                <w:szCs w:val="21"/>
              </w:rPr>
            </w:pPr>
            <w:r>
              <w:rPr>
                <w:rFonts w:hint="eastAsia" w:ascii="幼圆" w:hAnsi="幼圆" w:eastAsia="幼圆" w:cs="幼圆"/>
                <w:kern w:val="2"/>
                <w:sz w:val="21"/>
                <w:szCs w:val="21"/>
              </w:rPr>
              <w:t>响应报价</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幼圆" w:hAnsi="幼圆" w:eastAsia="幼圆" w:cs="幼圆"/>
                <w:kern w:val="2"/>
                <w:sz w:val="21"/>
                <w:szCs w:val="21"/>
                <w:lang w:val="en-US" w:eastAsia="zh-CN"/>
              </w:rPr>
            </w:pPr>
            <w:r>
              <w:rPr>
                <w:rFonts w:hint="eastAsia" w:ascii="幼圆" w:hAnsi="幼圆" w:eastAsia="幼圆" w:cs="幼圆"/>
                <w:kern w:val="2"/>
                <w:sz w:val="21"/>
                <w:szCs w:val="21"/>
                <w:lang w:val="en-US" w:eastAsia="zh-CN"/>
              </w:rPr>
              <w:t>20</w:t>
            </w:r>
          </w:p>
        </w:tc>
        <w:tc>
          <w:tcPr>
            <w:tcW w:w="6668"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right="163" w:rightChars="74"/>
              <w:jc w:val="both"/>
              <w:textAlignment w:val="auto"/>
              <w:rPr>
                <w:rFonts w:hint="eastAsia" w:ascii="幼圆" w:hAnsi="幼圆" w:eastAsia="幼圆" w:cs="幼圆"/>
                <w:kern w:val="2"/>
                <w:sz w:val="21"/>
                <w:szCs w:val="21"/>
              </w:rPr>
            </w:pPr>
            <w:r>
              <w:rPr>
                <w:rFonts w:hint="eastAsia" w:ascii="幼圆" w:hAnsi="幼圆" w:eastAsia="幼圆" w:cs="幼圆"/>
                <w:sz w:val="21"/>
                <w:szCs w:val="21"/>
              </w:rPr>
              <w:t>满足招标文件要求且投标价格最低的投标报价为评标基准价，其价格分为满分。其他投标人的价格分统一按照下列公式计算：投标报价得分=</w:t>
            </w:r>
            <w:r>
              <w:rPr>
                <w:rFonts w:hint="eastAsia" w:ascii="幼圆" w:hAnsi="幼圆" w:eastAsia="幼圆" w:cs="幼圆"/>
                <w:sz w:val="21"/>
                <w:szCs w:val="21"/>
                <w:lang w:eastAsia="zh-CN"/>
              </w:rPr>
              <w:t>（</w:t>
            </w:r>
            <w:r>
              <w:rPr>
                <w:rFonts w:hint="eastAsia" w:ascii="幼圆" w:hAnsi="幼圆" w:eastAsia="幼圆" w:cs="幼圆"/>
                <w:sz w:val="21"/>
                <w:szCs w:val="21"/>
              </w:rPr>
              <w:t>评标基准价／投标报价</w:t>
            </w:r>
            <w:r>
              <w:rPr>
                <w:rFonts w:hint="eastAsia" w:ascii="幼圆" w:hAnsi="幼圆" w:eastAsia="幼圆" w:cs="幼圆"/>
                <w:sz w:val="21"/>
                <w:szCs w:val="21"/>
                <w:lang w:eastAsia="zh-CN"/>
              </w:rPr>
              <w:t>）</w:t>
            </w:r>
            <w:r>
              <w:rPr>
                <w:rFonts w:hint="eastAsia" w:ascii="幼圆" w:hAnsi="幼圆" w:eastAsia="幼圆" w:cs="幼圆"/>
                <w:sz w:val="21"/>
                <w:szCs w:val="21"/>
              </w:rPr>
              <w:t>×</w:t>
            </w:r>
            <w:r>
              <w:rPr>
                <w:rFonts w:hint="eastAsia" w:ascii="幼圆" w:hAnsi="幼圆" w:eastAsia="幼圆" w:cs="幼圆"/>
                <w:sz w:val="21"/>
                <w:szCs w:val="21"/>
                <w:lang w:val="en-US" w:eastAsia="zh-CN"/>
              </w:rPr>
              <w:t>2</w:t>
            </w:r>
            <w:r>
              <w:rPr>
                <w:rFonts w:hint="eastAsia" w:ascii="幼圆" w:hAnsi="幼圆" w:eastAsia="幼圆" w:cs="幼圆"/>
                <w:sz w:val="21"/>
                <w:szCs w:val="21"/>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03"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r>
              <w:rPr>
                <w:rFonts w:hint="eastAsia" w:ascii="幼圆" w:hAnsi="幼圆" w:eastAsia="幼圆" w:cs="幼圆"/>
                <w:kern w:val="2"/>
                <w:sz w:val="21"/>
                <w:szCs w:val="21"/>
              </w:rPr>
              <w:t>2</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70"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服务部分</w:t>
            </w:r>
          </w:p>
          <w:p>
            <w:pPr>
              <w:pStyle w:val="173"/>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幼圆" w:hAnsi="幼圆" w:eastAsia="幼圆" w:cs="幼圆"/>
                <w:sz w:val="21"/>
                <w:szCs w:val="21"/>
              </w:rPr>
            </w:pPr>
            <w:r>
              <w:rPr>
                <w:rFonts w:hint="eastAsia" w:ascii="幼圆" w:hAnsi="幼圆" w:eastAsia="幼圆" w:cs="幼圆"/>
                <w:kern w:val="2"/>
                <w:sz w:val="21"/>
                <w:szCs w:val="21"/>
                <w:lang w:val="en-US" w:eastAsia="zh-CN"/>
              </w:rPr>
              <w:t>（39分）</w:t>
            </w:r>
          </w:p>
        </w:tc>
        <w:tc>
          <w:tcPr>
            <w:tcW w:w="1125"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20" w:leftChars="100" w:right="167" w:rightChars="76"/>
              <w:jc w:val="center"/>
              <w:textAlignment w:val="auto"/>
              <w:rPr>
                <w:rFonts w:hint="eastAsia" w:ascii="幼圆" w:hAnsi="幼圆" w:eastAsia="幼圆" w:cs="幼圆"/>
                <w:sz w:val="21"/>
                <w:szCs w:val="21"/>
                <w:lang w:val="en-US"/>
              </w:rPr>
            </w:pPr>
            <w:r>
              <w:rPr>
                <w:rFonts w:hint="eastAsia" w:ascii="幼圆" w:hAnsi="幼圆" w:eastAsia="幼圆" w:cs="幼圆"/>
                <w:sz w:val="21"/>
                <w:szCs w:val="21"/>
                <w:lang w:val="en-US" w:eastAsia="zh-CN"/>
              </w:rPr>
              <w:t>监理大纲</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20" w:leftChars="100" w:right="167" w:rightChars="76"/>
              <w:jc w:val="center"/>
              <w:textAlignment w:val="auto"/>
              <w:rPr>
                <w:rFonts w:hint="eastAsia" w:ascii="幼圆" w:hAnsi="幼圆" w:eastAsia="幼圆" w:cs="幼圆"/>
                <w:kern w:val="2"/>
                <w:sz w:val="21"/>
                <w:szCs w:val="21"/>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20" w:leftChars="100" w:right="167" w:rightChars="76"/>
              <w:jc w:val="center"/>
              <w:textAlignment w:val="auto"/>
              <w:rPr>
                <w:rFonts w:hint="eastAsia" w:ascii="幼圆" w:hAnsi="幼圆" w:eastAsia="幼圆" w:cs="幼圆"/>
                <w:kern w:val="2"/>
                <w:sz w:val="21"/>
                <w:szCs w:val="21"/>
              </w:rPr>
            </w:pPr>
          </w:p>
        </w:tc>
        <w:tc>
          <w:tcPr>
            <w:tcW w:w="112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幼圆" w:hAnsi="幼圆" w:eastAsia="幼圆" w:cs="幼圆"/>
                <w:kern w:val="2"/>
                <w:sz w:val="21"/>
                <w:szCs w:val="21"/>
              </w:rPr>
            </w:pPr>
            <w:r>
              <w:rPr>
                <w:rFonts w:hint="eastAsia" w:ascii="幼圆" w:hAnsi="幼圆" w:eastAsia="幼圆" w:cs="幼圆"/>
                <w:kern w:val="2"/>
                <w:sz w:val="21"/>
                <w:szCs w:val="21"/>
                <w:lang w:val="en-US" w:eastAsia="zh-CN"/>
              </w:rPr>
              <w:t>3</w:t>
            </w:r>
          </w:p>
        </w:tc>
        <w:tc>
          <w:tcPr>
            <w:tcW w:w="666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1"/>
              </w:rPr>
            </w:pPr>
            <w:r>
              <w:rPr>
                <w:rFonts w:hint="eastAsia" w:ascii="幼圆" w:hAnsi="幼圆" w:eastAsia="幼圆" w:cs="幼圆"/>
                <w:b/>
                <w:sz w:val="21"/>
                <w:szCs w:val="20"/>
                <w:lang w:val="en-US" w:eastAsia="zh-CN"/>
              </w:rPr>
              <w:t>针对工程特点、监理工作的重点与难点分析及监理对策</w:t>
            </w:r>
            <w:r>
              <w:rPr>
                <w:rFonts w:hint="eastAsia" w:ascii="幼圆" w:hAnsi="幼圆" w:eastAsia="幼圆" w:cs="幼圆"/>
                <w:b/>
                <w:sz w:val="21"/>
                <w:szCs w:val="20"/>
              </w:rPr>
              <w:t>进行综合评审：</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rPr>
            </w:pPr>
            <w:r>
              <w:rPr>
                <w:rFonts w:hint="eastAsia" w:ascii="幼圆" w:hAnsi="幼圆" w:eastAsia="幼圆" w:cs="幼圆"/>
                <w:sz w:val="21"/>
                <w:szCs w:val="20"/>
                <w:lang w:val="en-US" w:eastAsia="zh-CN"/>
              </w:rPr>
              <w:t>工程特点、监理工作的重点与难点分析</w:t>
            </w:r>
            <w:r>
              <w:rPr>
                <w:rFonts w:hint="eastAsia" w:ascii="幼圆" w:hAnsi="幼圆" w:eastAsia="幼圆" w:cs="幼圆"/>
                <w:sz w:val="21"/>
                <w:szCs w:val="20"/>
              </w:rPr>
              <w:t>全面</w:t>
            </w:r>
            <w:r>
              <w:rPr>
                <w:rFonts w:hint="eastAsia" w:ascii="幼圆" w:hAnsi="幼圆" w:eastAsia="幼圆" w:cs="幼圆"/>
                <w:sz w:val="21"/>
                <w:szCs w:val="20"/>
                <w:lang w:eastAsia="zh-CN"/>
              </w:rPr>
              <w:t>，</w:t>
            </w:r>
            <w:r>
              <w:rPr>
                <w:rFonts w:hint="eastAsia" w:ascii="幼圆" w:hAnsi="幼圆" w:eastAsia="幼圆" w:cs="幼圆"/>
                <w:sz w:val="21"/>
                <w:szCs w:val="20"/>
                <w:lang w:val="en-US" w:eastAsia="zh-CN"/>
              </w:rPr>
              <w:t>监理对策</w:t>
            </w:r>
            <w:r>
              <w:rPr>
                <w:rFonts w:hint="eastAsia" w:ascii="幼圆" w:hAnsi="幼圆" w:eastAsia="幼圆" w:cs="幼圆"/>
                <w:sz w:val="21"/>
                <w:szCs w:val="20"/>
              </w:rPr>
              <w:t>针对性强，得</w:t>
            </w:r>
            <w:r>
              <w:rPr>
                <w:rFonts w:hint="eastAsia" w:ascii="幼圆" w:hAnsi="幼圆" w:eastAsia="幼圆" w:cs="幼圆"/>
                <w:sz w:val="21"/>
                <w:szCs w:val="20"/>
                <w:lang w:val="en-US" w:eastAsia="zh-CN"/>
              </w:rPr>
              <w:t>3</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rPr>
            </w:pPr>
            <w:r>
              <w:rPr>
                <w:rFonts w:hint="eastAsia" w:ascii="幼圆" w:hAnsi="幼圆" w:eastAsia="幼圆" w:cs="幼圆"/>
                <w:sz w:val="21"/>
                <w:szCs w:val="20"/>
                <w:lang w:val="en-US" w:eastAsia="zh-CN"/>
              </w:rPr>
              <w:t>工程特点、监理工作的重点与难点分析一般</w:t>
            </w:r>
            <w:r>
              <w:rPr>
                <w:rFonts w:hint="eastAsia" w:ascii="幼圆" w:hAnsi="幼圆" w:eastAsia="幼圆" w:cs="幼圆"/>
                <w:sz w:val="21"/>
                <w:szCs w:val="20"/>
                <w:lang w:eastAsia="zh-CN"/>
              </w:rPr>
              <w:t>，</w:t>
            </w:r>
            <w:r>
              <w:rPr>
                <w:rFonts w:hint="eastAsia" w:ascii="幼圆" w:hAnsi="幼圆" w:eastAsia="幼圆" w:cs="幼圆"/>
                <w:sz w:val="21"/>
                <w:szCs w:val="20"/>
                <w:lang w:val="en-US" w:eastAsia="zh-CN"/>
              </w:rPr>
              <w:t>监理对策</w:t>
            </w:r>
            <w:r>
              <w:rPr>
                <w:rFonts w:hint="eastAsia" w:ascii="幼圆" w:hAnsi="幼圆" w:eastAsia="幼圆" w:cs="幼圆"/>
                <w:sz w:val="21"/>
                <w:szCs w:val="20"/>
              </w:rPr>
              <w:t>针对性</w:t>
            </w:r>
            <w:r>
              <w:rPr>
                <w:rFonts w:hint="eastAsia" w:ascii="幼圆" w:hAnsi="幼圆" w:eastAsia="幼圆" w:cs="幼圆"/>
                <w:sz w:val="21"/>
                <w:szCs w:val="20"/>
                <w:lang w:val="en-US" w:eastAsia="zh-CN"/>
              </w:rPr>
              <w:t>一般</w:t>
            </w:r>
            <w:r>
              <w:rPr>
                <w:rFonts w:hint="eastAsia" w:ascii="幼圆" w:hAnsi="幼圆" w:eastAsia="幼圆" w:cs="幼圆"/>
                <w:sz w:val="21"/>
                <w:szCs w:val="20"/>
              </w:rPr>
              <w:t>，得</w:t>
            </w:r>
            <w:r>
              <w:rPr>
                <w:rFonts w:hint="eastAsia" w:ascii="幼圆" w:hAnsi="幼圆" w:eastAsia="幼圆" w:cs="幼圆"/>
                <w:sz w:val="21"/>
                <w:szCs w:val="20"/>
                <w:lang w:val="en-US" w:eastAsia="zh-CN"/>
              </w:rPr>
              <w:t>2</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rPr>
            </w:pPr>
            <w:r>
              <w:rPr>
                <w:rFonts w:hint="eastAsia" w:ascii="幼圆" w:hAnsi="幼圆" w:eastAsia="幼圆" w:cs="幼圆"/>
                <w:sz w:val="21"/>
                <w:szCs w:val="20"/>
                <w:lang w:val="en-US" w:eastAsia="zh-CN"/>
              </w:rPr>
              <w:t>工程特点、监理工作的重点与难点分析不全</w:t>
            </w:r>
            <w:r>
              <w:rPr>
                <w:rFonts w:hint="eastAsia" w:ascii="幼圆" w:hAnsi="幼圆" w:eastAsia="幼圆" w:cs="幼圆"/>
                <w:sz w:val="21"/>
                <w:szCs w:val="20"/>
                <w:lang w:eastAsia="zh-CN"/>
              </w:rPr>
              <w:t>，</w:t>
            </w:r>
            <w:r>
              <w:rPr>
                <w:rFonts w:hint="eastAsia" w:ascii="幼圆" w:hAnsi="幼圆" w:eastAsia="幼圆" w:cs="幼圆"/>
                <w:sz w:val="21"/>
                <w:szCs w:val="20"/>
                <w:lang w:val="en-US" w:eastAsia="zh-CN"/>
              </w:rPr>
              <w:t>监理对策无</w:t>
            </w:r>
            <w:r>
              <w:rPr>
                <w:rFonts w:hint="eastAsia" w:ascii="幼圆" w:hAnsi="幼圆" w:eastAsia="幼圆" w:cs="幼圆"/>
                <w:sz w:val="21"/>
                <w:szCs w:val="20"/>
              </w:rPr>
              <w:t>针对性，得</w:t>
            </w:r>
            <w:r>
              <w:rPr>
                <w:rFonts w:hint="eastAsia" w:ascii="幼圆" w:hAnsi="幼圆" w:eastAsia="幼圆" w:cs="幼圆"/>
                <w:sz w:val="21"/>
                <w:szCs w:val="20"/>
                <w:lang w:val="en-US" w:eastAsia="zh-CN"/>
              </w:rPr>
              <w:t>1</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outlineLvl w:val="2"/>
              <w:rPr>
                <w:rFonts w:hint="eastAsia" w:ascii="幼圆" w:hAnsi="幼圆" w:eastAsia="幼圆" w:cs="幼圆"/>
                <w:kern w:val="2"/>
                <w:sz w:val="21"/>
                <w:szCs w:val="21"/>
              </w:rPr>
            </w:pPr>
            <w:r>
              <w:rPr>
                <w:rFonts w:hint="eastAsia" w:ascii="幼圆" w:hAnsi="幼圆" w:eastAsia="幼圆" w:cs="幼圆"/>
                <w:sz w:val="21"/>
                <w:szCs w:val="20"/>
                <w:lang w:val="en-US" w:eastAsia="zh-CN"/>
              </w:rPr>
              <w:t>4.</w:t>
            </w:r>
            <w:r>
              <w:rPr>
                <w:rFonts w:hint="eastAsia" w:ascii="幼圆" w:hAnsi="幼圆" w:eastAsia="幼圆" w:cs="幼圆"/>
                <w:sz w:val="21"/>
                <w:szCs w:val="20"/>
              </w:rPr>
              <w:t>未提供</w:t>
            </w:r>
            <w:r>
              <w:rPr>
                <w:rFonts w:hint="eastAsia" w:ascii="幼圆" w:hAnsi="幼圆" w:eastAsia="幼圆" w:cs="幼圆"/>
                <w:sz w:val="21"/>
                <w:szCs w:val="20"/>
                <w:lang w:val="en-US" w:eastAsia="zh-CN"/>
              </w:rPr>
              <w:t>得0分</w:t>
            </w:r>
            <w:r>
              <w:rPr>
                <w:rFonts w:hint="eastAsia" w:ascii="幼圆" w:hAnsi="幼圆" w:eastAsia="幼圆" w:cs="幼圆"/>
                <w:sz w:val="21"/>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0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7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25"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20" w:leftChars="100" w:right="167" w:rightChars="76"/>
              <w:jc w:val="center"/>
              <w:textAlignment w:val="auto"/>
              <w:rPr>
                <w:rFonts w:hint="eastAsia" w:ascii="幼圆" w:hAnsi="幼圆" w:eastAsia="幼圆" w:cs="幼圆"/>
                <w:kern w:val="2"/>
                <w:sz w:val="21"/>
                <w:szCs w:val="21"/>
              </w:rPr>
            </w:pPr>
          </w:p>
        </w:tc>
        <w:tc>
          <w:tcPr>
            <w:tcW w:w="112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幼圆" w:hAnsi="幼圆" w:eastAsia="幼圆" w:cs="幼圆"/>
                <w:kern w:val="2"/>
                <w:sz w:val="21"/>
                <w:szCs w:val="21"/>
                <w:lang w:val="en-US" w:eastAsia="zh-CN"/>
              </w:rPr>
            </w:pPr>
            <w:r>
              <w:rPr>
                <w:rFonts w:hint="eastAsia" w:ascii="幼圆" w:hAnsi="幼圆" w:eastAsia="幼圆" w:cs="幼圆"/>
                <w:kern w:val="2"/>
                <w:sz w:val="21"/>
                <w:szCs w:val="21"/>
                <w:lang w:val="en-US" w:eastAsia="zh-CN"/>
              </w:rPr>
              <w:t>3</w:t>
            </w:r>
          </w:p>
        </w:tc>
        <w:tc>
          <w:tcPr>
            <w:tcW w:w="666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1"/>
              </w:rPr>
            </w:pPr>
            <w:r>
              <w:rPr>
                <w:rFonts w:hint="eastAsia" w:ascii="幼圆" w:hAnsi="幼圆" w:eastAsia="幼圆" w:cs="幼圆"/>
                <w:b/>
                <w:sz w:val="21"/>
                <w:szCs w:val="20"/>
                <w:lang w:val="en-US" w:eastAsia="zh-CN"/>
              </w:rPr>
              <w:t>针对质量控制重点及监理措施</w:t>
            </w:r>
            <w:r>
              <w:rPr>
                <w:rFonts w:hint="eastAsia" w:ascii="幼圆" w:hAnsi="幼圆" w:eastAsia="幼圆" w:cs="幼圆"/>
                <w:b/>
                <w:sz w:val="21"/>
                <w:szCs w:val="20"/>
              </w:rPr>
              <w:t>进行综合评审：</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rPr>
            </w:pPr>
            <w:r>
              <w:rPr>
                <w:rFonts w:hint="eastAsia" w:ascii="幼圆" w:hAnsi="幼圆" w:eastAsia="幼圆" w:cs="幼圆"/>
                <w:sz w:val="21"/>
                <w:szCs w:val="20"/>
                <w:lang w:val="en-US" w:eastAsia="zh-CN"/>
              </w:rPr>
              <w:t>质量控制重点及监理措施科学、可行、针对性强</w:t>
            </w:r>
            <w:r>
              <w:rPr>
                <w:rFonts w:hint="eastAsia" w:ascii="幼圆" w:hAnsi="幼圆" w:eastAsia="幼圆" w:cs="幼圆"/>
                <w:sz w:val="21"/>
                <w:szCs w:val="20"/>
              </w:rPr>
              <w:t>，得</w:t>
            </w:r>
            <w:r>
              <w:rPr>
                <w:rFonts w:hint="eastAsia" w:ascii="幼圆" w:hAnsi="幼圆" w:eastAsia="幼圆" w:cs="幼圆"/>
                <w:sz w:val="21"/>
                <w:szCs w:val="20"/>
                <w:lang w:val="en-US" w:eastAsia="zh-CN"/>
              </w:rPr>
              <w:t>3</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质量控制重点及监理措施一般，细节待完善</w:t>
            </w:r>
            <w:r>
              <w:rPr>
                <w:rFonts w:hint="eastAsia" w:ascii="幼圆" w:hAnsi="幼圆" w:eastAsia="幼圆" w:cs="幼圆"/>
                <w:sz w:val="21"/>
                <w:szCs w:val="20"/>
              </w:rPr>
              <w:t>，得</w:t>
            </w:r>
            <w:r>
              <w:rPr>
                <w:rFonts w:hint="eastAsia" w:ascii="幼圆" w:hAnsi="幼圆" w:eastAsia="幼圆" w:cs="幼圆"/>
                <w:sz w:val="21"/>
                <w:szCs w:val="20"/>
                <w:lang w:val="en-US" w:eastAsia="zh-CN"/>
              </w:rPr>
              <w:t>2</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rPr>
            </w:pPr>
            <w:r>
              <w:rPr>
                <w:rFonts w:hint="eastAsia" w:ascii="幼圆" w:hAnsi="幼圆" w:eastAsia="幼圆" w:cs="幼圆"/>
                <w:sz w:val="21"/>
                <w:szCs w:val="20"/>
                <w:lang w:val="en-US" w:eastAsia="zh-CN"/>
              </w:rPr>
              <w:t>质量控制重点及监理措施欠合理，可行性较差</w:t>
            </w:r>
            <w:r>
              <w:rPr>
                <w:rFonts w:hint="eastAsia" w:ascii="幼圆" w:hAnsi="幼圆" w:eastAsia="幼圆" w:cs="幼圆"/>
                <w:sz w:val="21"/>
                <w:szCs w:val="20"/>
              </w:rPr>
              <w:t>，得</w:t>
            </w:r>
            <w:r>
              <w:rPr>
                <w:rFonts w:hint="eastAsia" w:ascii="幼圆" w:hAnsi="幼圆" w:eastAsia="幼圆" w:cs="幼圆"/>
                <w:sz w:val="21"/>
                <w:szCs w:val="20"/>
                <w:lang w:val="en-US" w:eastAsia="zh-CN"/>
              </w:rPr>
              <w:t>1</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outlineLvl w:val="2"/>
              <w:rPr>
                <w:rFonts w:hint="eastAsia" w:ascii="幼圆" w:hAnsi="幼圆" w:eastAsia="幼圆" w:cs="幼圆"/>
                <w:kern w:val="2"/>
                <w:sz w:val="21"/>
                <w:szCs w:val="21"/>
              </w:rPr>
            </w:pPr>
            <w:r>
              <w:rPr>
                <w:rFonts w:hint="eastAsia" w:ascii="幼圆" w:hAnsi="幼圆" w:eastAsia="幼圆" w:cs="幼圆"/>
                <w:sz w:val="21"/>
                <w:szCs w:val="20"/>
              </w:rPr>
              <w:t>未提供</w:t>
            </w:r>
            <w:r>
              <w:rPr>
                <w:rFonts w:hint="eastAsia" w:ascii="幼圆" w:hAnsi="幼圆" w:eastAsia="幼圆" w:cs="幼圆"/>
                <w:sz w:val="21"/>
                <w:szCs w:val="20"/>
                <w:lang w:val="en-US" w:eastAsia="zh-CN"/>
              </w:rPr>
              <w:t>得0分</w:t>
            </w:r>
            <w:r>
              <w:rPr>
                <w:rFonts w:hint="eastAsia" w:ascii="幼圆" w:hAnsi="幼圆" w:eastAsia="幼圆" w:cs="幼圆"/>
                <w:sz w:val="21"/>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0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7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25"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20" w:leftChars="100" w:right="167" w:rightChars="76"/>
              <w:jc w:val="center"/>
              <w:textAlignment w:val="auto"/>
              <w:rPr>
                <w:rFonts w:hint="eastAsia" w:ascii="幼圆" w:hAnsi="幼圆" w:eastAsia="幼圆" w:cs="幼圆"/>
                <w:kern w:val="2"/>
                <w:sz w:val="21"/>
                <w:szCs w:val="21"/>
              </w:rPr>
            </w:pPr>
          </w:p>
        </w:tc>
        <w:tc>
          <w:tcPr>
            <w:tcW w:w="112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幼圆" w:hAnsi="幼圆" w:eastAsia="幼圆" w:cs="幼圆"/>
                <w:kern w:val="2"/>
                <w:sz w:val="21"/>
                <w:szCs w:val="21"/>
                <w:lang w:val="en-US" w:eastAsia="zh-CN"/>
              </w:rPr>
            </w:pPr>
            <w:r>
              <w:rPr>
                <w:rFonts w:hint="eastAsia" w:ascii="幼圆" w:hAnsi="幼圆" w:eastAsia="幼圆" w:cs="幼圆"/>
                <w:kern w:val="2"/>
                <w:sz w:val="21"/>
                <w:szCs w:val="21"/>
                <w:lang w:val="en-US" w:eastAsia="zh-CN"/>
              </w:rPr>
              <w:t>3</w:t>
            </w:r>
          </w:p>
        </w:tc>
        <w:tc>
          <w:tcPr>
            <w:tcW w:w="666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1"/>
              </w:rPr>
            </w:pPr>
            <w:r>
              <w:rPr>
                <w:rFonts w:hint="eastAsia" w:ascii="幼圆" w:hAnsi="幼圆" w:eastAsia="幼圆" w:cs="幼圆"/>
                <w:b/>
                <w:sz w:val="21"/>
                <w:szCs w:val="20"/>
                <w:lang w:val="en-US" w:eastAsia="zh-CN"/>
              </w:rPr>
              <w:t>针对进度控制重点及监理措施</w:t>
            </w:r>
            <w:r>
              <w:rPr>
                <w:rFonts w:hint="eastAsia" w:ascii="幼圆" w:hAnsi="幼圆" w:eastAsia="幼圆" w:cs="幼圆"/>
                <w:b/>
                <w:sz w:val="21"/>
                <w:szCs w:val="20"/>
              </w:rPr>
              <w:t>进行综合评审：</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rPr>
            </w:pPr>
            <w:r>
              <w:rPr>
                <w:rFonts w:hint="eastAsia" w:ascii="幼圆" w:hAnsi="幼圆" w:eastAsia="幼圆" w:cs="幼圆"/>
                <w:sz w:val="21"/>
                <w:szCs w:val="20"/>
                <w:lang w:val="en-US" w:eastAsia="zh-CN"/>
              </w:rPr>
              <w:t>进度控制重点及监理措施科学、可行、针对性强</w:t>
            </w:r>
            <w:r>
              <w:rPr>
                <w:rFonts w:hint="eastAsia" w:ascii="幼圆" w:hAnsi="幼圆" w:eastAsia="幼圆" w:cs="幼圆"/>
                <w:sz w:val="21"/>
                <w:szCs w:val="20"/>
              </w:rPr>
              <w:t>，得</w:t>
            </w:r>
            <w:r>
              <w:rPr>
                <w:rFonts w:hint="eastAsia" w:ascii="幼圆" w:hAnsi="幼圆" w:eastAsia="幼圆" w:cs="幼圆"/>
                <w:sz w:val="21"/>
                <w:szCs w:val="20"/>
                <w:lang w:val="en-US" w:eastAsia="zh-CN"/>
              </w:rPr>
              <w:t>3</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进度控制重点及监理措施一般，细节待完善</w:t>
            </w:r>
            <w:r>
              <w:rPr>
                <w:rFonts w:hint="eastAsia" w:ascii="幼圆" w:hAnsi="幼圆" w:eastAsia="幼圆" w:cs="幼圆"/>
                <w:sz w:val="21"/>
                <w:szCs w:val="20"/>
              </w:rPr>
              <w:t>，得</w:t>
            </w:r>
            <w:r>
              <w:rPr>
                <w:rFonts w:hint="eastAsia" w:ascii="幼圆" w:hAnsi="幼圆" w:eastAsia="幼圆" w:cs="幼圆"/>
                <w:sz w:val="21"/>
                <w:szCs w:val="20"/>
                <w:lang w:val="en-US" w:eastAsia="zh-CN"/>
              </w:rPr>
              <w:t>2</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rPr>
            </w:pPr>
            <w:r>
              <w:rPr>
                <w:rFonts w:hint="eastAsia" w:ascii="幼圆" w:hAnsi="幼圆" w:eastAsia="幼圆" w:cs="幼圆"/>
                <w:sz w:val="21"/>
                <w:szCs w:val="20"/>
                <w:lang w:val="en-US" w:eastAsia="zh-CN"/>
              </w:rPr>
              <w:t>进度控制重点及监理措施欠合理，可行性较差</w:t>
            </w:r>
            <w:r>
              <w:rPr>
                <w:rFonts w:hint="eastAsia" w:ascii="幼圆" w:hAnsi="幼圆" w:eastAsia="幼圆" w:cs="幼圆"/>
                <w:sz w:val="21"/>
                <w:szCs w:val="20"/>
              </w:rPr>
              <w:t>，得</w:t>
            </w:r>
            <w:r>
              <w:rPr>
                <w:rFonts w:hint="eastAsia" w:ascii="幼圆" w:hAnsi="幼圆" w:eastAsia="幼圆" w:cs="幼圆"/>
                <w:sz w:val="21"/>
                <w:szCs w:val="20"/>
                <w:lang w:val="en-US" w:eastAsia="zh-CN"/>
              </w:rPr>
              <w:t>1</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outlineLvl w:val="2"/>
              <w:rPr>
                <w:rFonts w:hint="eastAsia" w:ascii="幼圆" w:hAnsi="幼圆" w:eastAsia="幼圆" w:cs="幼圆"/>
                <w:kern w:val="2"/>
                <w:sz w:val="21"/>
                <w:szCs w:val="21"/>
              </w:rPr>
            </w:pPr>
            <w:r>
              <w:rPr>
                <w:rFonts w:hint="eastAsia" w:ascii="幼圆" w:hAnsi="幼圆" w:eastAsia="幼圆" w:cs="幼圆"/>
                <w:sz w:val="21"/>
                <w:szCs w:val="20"/>
              </w:rPr>
              <w:t>未提供</w:t>
            </w:r>
            <w:r>
              <w:rPr>
                <w:rFonts w:hint="eastAsia" w:ascii="幼圆" w:hAnsi="幼圆" w:eastAsia="幼圆" w:cs="幼圆"/>
                <w:sz w:val="21"/>
                <w:szCs w:val="20"/>
                <w:lang w:val="en-US" w:eastAsia="zh-CN"/>
              </w:rPr>
              <w:t>得0分</w:t>
            </w:r>
            <w:r>
              <w:rPr>
                <w:rFonts w:hint="eastAsia" w:ascii="幼圆" w:hAnsi="幼圆" w:eastAsia="幼圆" w:cs="幼圆"/>
                <w:sz w:val="21"/>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0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7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25"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20" w:leftChars="100" w:right="167" w:rightChars="76"/>
              <w:jc w:val="center"/>
              <w:textAlignment w:val="auto"/>
              <w:rPr>
                <w:rFonts w:hint="eastAsia" w:ascii="幼圆" w:hAnsi="幼圆" w:eastAsia="幼圆" w:cs="幼圆"/>
                <w:kern w:val="2"/>
                <w:sz w:val="21"/>
                <w:szCs w:val="21"/>
              </w:rPr>
            </w:pPr>
          </w:p>
        </w:tc>
        <w:tc>
          <w:tcPr>
            <w:tcW w:w="112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幼圆" w:hAnsi="幼圆" w:eastAsia="幼圆" w:cs="幼圆"/>
                <w:kern w:val="2"/>
                <w:sz w:val="21"/>
                <w:szCs w:val="21"/>
                <w:lang w:val="en-US" w:eastAsia="zh-CN"/>
              </w:rPr>
            </w:pPr>
            <w:r>
              <w:rPr>
                <w:rFonts w:hint="eastAsia" w:ascii="幼圆" w:hAnsi="幼圆" w:eastAsia="幼圆" w:cs="幼圆"/>
                <w:kern w:val="2"/>
                <w:sz w:val="21"/>
                <w:szCs w:val="21"/>
                <w:lang w:val="en-US" w:eastAsia="zh-CN"/>
              </w:rPr>
              <w:t>3</w:t>
            </w:r>
          </w:p>
        </w:tc>
        <w:tc>
          <w:tcPr>
            <w:tcW w:w="666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1"/>
              </w:rPr>
            </w:pPr>
            <w:r>
              <w:rPr>
                <w:rFonts w:hint="eastAsia" w:ascii="幼圆" w:hAnsi="幼圆" w:eastAsia="幼圆" w:cs="幼圆"/>
                <w:b/>
                <w:sz w:val="21"/>
                <w:szCs w:val="20"/>
                <w:lang w:val="en-US" w:eastAsia="zh-CN"/>
              </w:rPr>
              <w:t>针对造价控制重点及监理措施</w:t>
            </w:r>
            <w:r>
              <w:rPr>
                <w:rFonts w:hint="eastAsia" w:ascii="幼圆" w:hAnsi="幼圆" w:eastAsia="幼圆" w:cs="幼圆"/>
                <w:b/>
                <w:sz w:val="21"/>
                <w:szCs w:val="20"/>
              </w:rPr>
              <w:t>进行综合评审：</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rPr>
            </w:pPr>
            <w:r>
              <w:rPr>
                <w:rFonts w:hint="eastAsia" w:ascii="幼圆" w:hAnsi="幼圆" w:eastAsia="幼圆" w:cs="幼圆"/>
                <w:sz w:val="21"/>
                <w:szCs w:val="20"/>
                <w:lang w:val="en-US" w:eastAsia="zh-CN"/>
              </w:rPr>
              <w:t>造价控制重点及监理措施科学、可行、针对性强</w:t>
            </w:r>
            <w:r>
              <w:rPr>
                <w:rFonts w:hint="eastAsia" w:ascii="幼圆" w:hAnsi="幼圆" w:eastAsia="幼圆" w:cs="幼圆"/>
                <w:sz w:val="21"/>
                <w:szCs w:val="20"/>
              </w:rPr>
              <w:t>，得</w:t>
            </w:r>
            <w:r>
              <w:rPr>
                <w:rFonts w:hint="eastAsia" w:ascii="幼圆" w:hAnsi="幼圆" w:eastAsia="幼圆" w:cs="幼圆"/>
                <w:sz w:val="21"/>
                <w:szCs w:val="20"/>
                <w:lang w:val="en-US" w:eastAsia="zh-CN"/>
              </w:rPr>
              <w:t>3</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造价控制重点及监理措施一般，细节待完善</w:t>
            </w:r>
            <w:r>
              <w:rPr>
                <w:rFonts w:hint="eastAsia" w:ascii="幼圆" w:hAnsi="幼圆" w:eastAsia="幼圆" w:cs="幼圆"/>
                <w:sz w:val="21"/>
                <w:szCs w:val="20"/>
              </w:rPr>
              <w:t>，得</w:t>
            </w:r>
            <w:r>
              <w:rPr>
                <w:rFonts w:hint="eastAsia" w:ascii="幼圆" w:hAnsi="幼圆" w:eastAsia="幼圆" w:cs="幼圆"/>
                <w:sz w:val="21"/>
                <w:szCs w:val="20"/>
                <w:lang w:val="en-US" w:eastAsia="zh-CN"/>
              </w:rPr>
              <w:t>2</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rPr>
            </w:pPr>
            <w:r>
              <w:rPr>
                <w:rFonts w:hint="eastAsia" w:ascii="幼圆" w:hAnsi="幼圆" w:eastAsia="幼圆" w:cs="幼圆"/>
                <w:sz w:val="21"/>
                <w:szCs w:val="20"/>
                <w:lang w:val="en-US" w:eastAsia="zh-CN"/>
              </w:rPr>
              <w:t>造价控制重点及监理措施欠合理，可行性较差</w:t>
            </w:r>
            <w:r>
              <w:rPr>
                <w:rFonts w:hint="eastAsia" w:ascii="幼圆" w:hAnsi="幼圆" w:eastAsia="幼圆" w:cs="幼圆"/>
                <w:sz w:val="21"/>
                <w:szCs w:val="20"/>
              </w:rPr>
              <w:t>，得</w:t>
            </w:r>
            <w:r>
              <w:rPr>
                <w:rFonts w:hint="eastAsia" w:ascii="幼圆" w:hAnsi="幼圆" w:eastAsia="幼圆" w:cs="幼圆"/>
                <w:sz w:val="21"/>
                <w:szCs w:val="20"/>
                <w:lang w:val="en-US" w:eastAsia="zh-CN"/>
              </w:rPr>
              <w:t>1</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outlineLvl w:val="2"/>
              <w:rPr>
                <w:rFonts w:hint="eastAsia" w:ascii="幼圆" w:hAnsi="幼圆" w:eastAsia="幼圆" w:cs="幼圆"/>
                <w:sz w:val="21"/>
                <w:szCs w:val="21"/>
              </w:rPr>
            </w:pPr>
            <w:r>
              <w:rPr>
                <w:rFonts w:hint="eastAsia" w:ascii="幼圆" w:hAnsi="幼圆" w:eastAsia="幼圆" w:cs="幼圆"/>
                <w:sz w:val="21"/>
                <w:szCs w:val="20"/>
              </w:rPr>
              <w:t>未提供</w:t>
            </w:r>
            <w:r>
              <w:rPr>
                <w:rFonts w:hint="eastAsia" w:ascii="幼圆" w:hAnsi="幼圆" w:eastAsia="幼圆" w:cs="幼圆"/>
                <w:sz w:val="21"/>
                <w:szCs w:val="20"/>
                <w:lang w:val="en-US" w:eastAsia="zh-CN"/>
              </w:rPr>
              <w:t>得0分</w:t>
            </w:r>
            <w:r>
              <w:rPr>
                <w:rFonts w:hint="eastAsia" w:ascii="幼圆" w:hAnsi="幼圆" w:eastAsia="幼圆" w:cs="幼圆"/>
                <w:sz w:val="21"/>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0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7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25"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20" w:leftChars="100" w:right="167" w:rightChars="76"/>
              <w:jc w:val="center"/>
              <w:textAlignment w:val="auto"/>
              <w:rPr>
                <w:rFonts w:hint="eastAsia" w:ascii="幼圆" w:hAnsi="幼圆" w:eastAsia="幼圆" w:cs="幼圆"/>
                <w:kern w:val="2"/>
                <w:sz w:val="21"/>
                <w:szCs w:val="21"/>
              </w:rPr>
            </w:pPr>
          </w:p>
        </w:tc>
        <w:tc>
          <w:tcPr>
            <w:tcW w:w="112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幼圆" w:hAnsi="幼圆" w:eastAsia="幼圆" w:cs="幼圆"/>
                <w:kern w:val="2"/>
                <w:sz w:val="21"/>
                <w:szCs w:val="21"/>
                <w:lang w:val="en-US" w:eastAsia="zh-CN"/>
              </w:rPr>
            </w:pPr>
            <w:r>
              <w:rPr>
                <w:rFonts w:hint="eastAsia" w:ascii="幼圆" w:hAnsi="幼圆" w:eastAsia="幼圆" w:cs="幼圆"/>
                <w:kern w:val="2"/>
                <w:sz w:val="21"/>
                <w:szCs w:val="21"/>
                <w:lang w:val="en-US" w:eastAsia="zh-CN"/>
              </w:rPr>
              <w:t>3</w:t>
            </w:r>
          </w:p>
        </w:tc>
        <w:tc>
          <w:tcPr>
            <w:tcW w:w="666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1"/>
              </w:rPr>
            </w:pPr>
            <w:r>
              <w:rPr>
                <w:rFonts w:hint="eastAsia" w:ascii="幼圆" w:hAnsi="幼圆" w:eastAsia="幼圆" w:cs="幼圆"/>
                <w:b/>
                <w:sz w:val="21"/>
                <w:szCs w:val="20"/>
                <w:lang w:val="en-US" w:eastAsia="zh-CN"/>
              </w:rPr>
              <w:t>针对安全控制重点及监理措施</w:t>
            </w:r>
            <w:r>
              <w:rPr>
                <w:rFonts w:hint="eastAsia" w:ascii="幼圆" w:hAnsi="幼圆" w:eastAsia="幼圆" w:cs="幼圆"/>
                <w:b/>
                <w:sz w:val="21"/>
                <w:szCs w:val="20"/>
              </w:rPr>
              <w:t>进行综合评审：</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rPr>
            </w:pPr>
            <w:r>
              <w:rPr>
                <w:rFonts w:hint="eastAsia" w:ascii="幼圆" w:hAnsi="幼圆" w:eastAsia="幼圆" w:cs="幼圆"/>
                <w:sz w:val="21"/>
                <w:szCs w:val="20"/>
                <w:lang w:val="en-US" w:eastAsia="zh-CN"/>
              </w:rPr>
              <w:t>安全控制重点及监理措施科学、可行、针对性强</w:t>
            </w:r>
            <w:r>
              <w:rPr>
                <w:rFonts w:hint="eastAsia" w:ascii="幼圆" w:hAnsi="幼圆" w:eastAsia="幼圆" w:cs="幼圆"/>
                <w:sz w:val="21"/>
                <w:szCs w:val="20"/>
              </w:rPr>
              <w:t>，得</w:t>
            </w:r>
            <w:r>
              <w:rPr>
                <w:rFonts w:hint="eastAsia" w:ascii="幼圆" w:hAnsi="幼圆" w:eastAsia="幼圆" w:cs="幼圆"/>
                <w:sz w:val="21"/>
                <w:szCs w:val="20"/>
                <w:lang w:val="en-US" w:eastAsia="zh-CN"/>
              </w:rPr>
              <w:t>3</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安全控制重点及监理措施一般，细节待完善</w:t>
            </w:r>
            <w:r>
              <w:rPr>
                <w:rFonts w:hint="eastAsia" w:ascii="幼圆" w:hAnsi="幼圆" w:eastAsia="幼圆" w:cs="幼圆"/>
                <w:sz w:val="21"/>
                <w:szCs w:val="20"/>
              </w:rPr>
              <w:t>，得</w:t>
            </w:r>
            <w:r>
              <w:rPr>
                <w:rFonts w:hint="eastAsia" w:ascii="幼圆" w:hAnsi="幼圆" w:eastAsia="幼圆" w:cs="幼圆"/>
                <w:sz w:val="21"/>
                <w:szCs w:val="20"/>
                <w:lang w:val="en-US" w:eastAsia="zh-CN"/>
              </w:rPr>
              <w:t>2</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rPr>
            </w:pPr>
            <w:r>
              <w:rPr>
                <w:rFonts w:hint="eastAsia" w:ascii="幼圆" w:hAnsi="幼圆" w:eastAsia="幼圆" w:cs="幼圆"/>
                <w:sz w:val="21"/>
                <w:szCs w:val="20"/>
                <w:lang w:val="en-US" w:eastAsia="zh-CN"/>
              </w:rPr>
              <w:t>安全控制重点及监理措施欠合理，可行性较差</w:t>
            </w:r>
            <w:r>
              <w:rPr>
                <w:rFonts w:hint="eastAsia" w:ascii="幼圆" w:hAnsi="幼圆" w:eastAsia="幼圆" w:cs="幼圆"/>
                <w:sz w:val="21"/>
                <w:szCs w:val="20"/>
              </w:rPr>
              <w:t>，得</w:t>
            </w:r>
            <w:r>
              <w:rPr>
                <w:rFonts w:hint="eastAsia" w:ascii="幼圆" w:hAnsi="幼圆" w:eastAsia="幼圆" w:cs="幼圆"/>
                <w:sz w:val="21"/>
                <w:szCs w:val="20"/>
                <w:lang w:val="en-US" w:eastAsia="zh-CN"/>
              </w:rPr>
              <w:t>1</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outlineLvl w:val="2"/>
              <w:rPr>
                <w:rFonts w:hint="eastAsia" w:ascii="幼圆" w:hAnsi="幼圆" w:eastAsia="幼圆" w:cs="幼圆"/>
                <w:sz w:val="21"/>
                <w:szCs w:val="21"/>
              </w:rPr>
            </w:pPr>
            <w:r>
              <w:rPr>
                <w:rFonts w:hint="eastAsia" w:ascii="幼圆" w:hAnsi="幼圆" w:eastAsia="幼圆" w:cs="幼圆"/>
                <w:sz w:val="21"/>
                <w:szCs w:val="20"/>
              </w:rPr>
              <w:t>未提供</w:t>
            </w:r>
            <w:r>
              <w:rPr>
                <w:rFonts w:hint="eastAsia" w:ascii="幼圆" w:hAnsi="幼圆" w:eastAsia="幼圆" w:cs="幼圆"/>
                <w:sz w:val="21"/>
                <w:szCs w:val="20"/>
                <w:lang w:val="en-US" w:eastAsia="zh-CN"/>
              </w:rPr>
              <w:t>得0分</w:t>
            </w:r>
            <w:r>
              <w:rPr>
                <w:rFonts w:hint="eastAsia" w:ascii="幼圆" w:hAnsi="幼圆" w:eastAsia="幼圆" w:cs="幼圆"/>
                <w:sz w:val="21"/>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0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7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25"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20" w:leftChars="100" w:right="167" w:rightChars="76"/>
              <w:jc w:val="center"/>
              <w:textAlignment w:val="auto"/>
              <w:rPr>
                <w:rFonts w:hint="eastAsia" w:ascii="幼圆" w:hAnsi="幼圆" w:eastAsia="幼圆" w:cs="幼圆"/>
                <w:kern w:val="2"/>
                <w:sz w:val="21"/>
                <w:szCs w:val="21"/>
              </w:rPr>
            </w:pPr>
          </w:p>
        </w:tc>
        <w:tc>
          <w:tcPr>
            <w:tcW w:w="112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幼圆" w:hAnsi="幼圆" w:eastAsia="幼圆" w:cs="幼圆"/>
                <w:kern w:val="2"/>
                <w:sz w:val="21"/>
                <w:szCs w:val="21"/>
                <w:lang w:val="en-US" w:eastAsia="zh-CN"/>
              </w:rPr>
            </w:pPr>
            <w:r>
              <w:rPr>
                <w:rFonts w:hint="eastAsia" w:ascii="幼圆" w:hAnsi="幼圆" w:eastAsia="幼圆" w:cs="幼圆"/>
                <w:kern w:val="2"/>
                <w:sz w:val="21"/>
                <w:szCs w:val="21"/>
                <w:lang w:val="en-US" w:eastAsia="zh-CN"/>
              </w:rPr>
              <w:t>3</w:t>
            </w:r>
          </w:p>
        </w:tc>
        <w:tc>
          <w:tcPr>
            <w:tcW w:w="666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1"/>
              </w:rPr>
            </w:pPr>
            <w:r>
              <w:rPr>
                <w:rFonts w:hint="eastAsia" w:ascii="幼圆" w:hAnsi="幼圆" w:eastAsia="幼圆" w:cs="幼圆"/>
                <w:b/>
                <w:sz w:val="21"/>
                <w:szCs w:val="20"/>
                <w:lang w:val="en-US" w:eastAsia="zh-CN"/>
              </w:rPr>
              <w:t>针对组织协调方案及管理措施</w:t>
            </w:r>
            <w:r>
              <w:rPr>
                <w:rFonts w:hint="eastAsia" w:ascii="幼圆" w:hAnsi="幼圆" w:eastAsia="幼圆" w:cs="幼圆"/>
                <w:b/>
                <w:sz w:val="21"/>
                <w:szCs w:val="20"/>
              </w:rPr>
              <w:t>进行综合评审：</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rPr>
            </w:pPr>
            <w:r>
              <w:rPr>
                <w:rFonts w:hint="eastAsia" w:ascii="幼圆" w:hAnsi="幼圆" w:eastAsia="幼圆" w:cs="幼圆"/>
                <w:sz w:val="21"/>
                <w:szCs w:val="20"/>
                <w:lang w:val="en-US" w:eastAsia="zh-CN"/>
              </w:rPr>
              <w:t>组织协调方案及管理措施科学、可行、针对性强</w:t>
            </w:r>
            <w:r>
              <w:rPr>
                <w:rFonts w:hint="eastAsia" w:ascii="幼圆" w:hAnsi="幼圆" w:eastAsia="幼圆" w:cs="幼圆"/>
                <w:sz w:val="21"/>
                <w:szCs w:val="20"/>
              </w:rPr>
              <w:t>，得</w:t>
            </w:r>
            <w:r>
              <w:rPr>
                <w:rFonts w:hint="eastAsia" w:ascii="幼圆" w:hAnsi="幼圆" w:eastAsia="幼圆" w:cs="幼圆"/>
                <w:sz w:val="21"/>
                <w:szCs w:val="20"/>
                <w:lang w:val="en-US" w:eastAsia="zh-CN"/>
              </w:rPr>
              <w:t>3</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组织协调方案及管理措施一般，细节待完善</w:t>
            </w:r>
            <w:r>
              <w:rPr>
                <w:rFonts w:hint="eastAsia" w:ascii="幼圆" w:hAnsi="幼圆" w:eastAsia="幼圆" w:cs="幼圆"/>
                <w:sz w:val="21"/>
                <w:szCs w:val="20"/>
              </w:rPr>
              <w:t>，得</w:t>
            </w:r>
            <w:r>
              <w:rPr>
                <w:rFonts w:hint="eastAsia" w:ascii="幼圆" w:hAnsi="幼圆" w:eastAsia="幼圆" w:cs="幼圆"/>
                <w:sz w:val="21"/>
                <w:szCs w:val="20"/>
                <w:lang w:val="en-US" w:eastAsia="zh-CN"/>
              </w:rPr>
              <w:t>2</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rPr>
            </w:pPr>
            <w:r>
              <w:rPr>
                <w:rFonts w:hint="eastAsia" w:ascii="幼圆" w:hAnsi="幼圆" w:eastAsia="幼圆" w:cs="幼圆"/>
                <w:sz w:val="21"/>
                <w:szCs w:val="20"/>
                <w:lang w:val="en-US" w:eastAsia="zh-CN"/>
              </w:rPr>
              <w:t>组织协调方案及管理措施欠合理，可行性较差</w:t>
            </w:r>
            <w:r>
              <w:rPr>
                <w:rFonts w:hint="eastAsia" w:ascii="幼圆" w:hAnsi="幼圆" w:eastAsia="幼圆" w:cs="幼圆"/>
                <w:sz w:val="21"/>
                <w:szCs w:val="20"/>
              </w:rPr>
              <w:t>，得</w:t>
            </w:r>
            <w:r>
              <w:rPr>
                <w:rFonts w:hint="eastAsia" w:ascii="幼圆" w:hAnsi="幼圆" w:eastAsia="幼圆" w:cs="幼圆"/>
                <w:sz w:val="21"/>
                <w:szCs w:val="20"/>
                <w:lang w:val="en-US" w:eastAsia="zh-CN"/>
              </w:rPr>
              <w:t>1</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outlineLvl w:val="2"/>
              <w:rPr>
                <w:rFonts w:hint="eastAsia" w:ascii="幼圆" w:hAnsi="幼圆" w:eastAsia="幼圆" w:cs="幼圆"/>
                <w:sz w:val="21"/>
                <w:szCs w:val="21"/>
              </w:rPr>
            </w:pPr>
            <w:r>
              <w:rPr>
                <w:rFonts w:hint="eastAsia" w:ascii="幼圆" w:hAnsi="幼圆" w:eastAsia="幼圆" w:cs="幼圆"/>
                <w:sz w:val="21"/>
                <w:szCs w:val="20"/>
              </w:rPr>
              <w:t>未提供</w:t>
            </w:r>
            <w:r>
              <w:rPr>
                <w:rFonts w:hint="eastAsia" w:ascii="幼圆" w:hAnsi="幼圆" w:eastAsia="幼圆" w:cs="幼圆"/>
                <w:sz w:val="21"/>
                <w:szCs w:val="20"/>
                <w:lang w:val="en-US" w:eastAsia="zh-CN"/>
              </w:rPr>
              <w:t>得0分</w:t>
            </w:r>
            <w:r>
              <w:rPr>
                <w:rFonts w:hint="eastAsia" w:ascii="幼圆" w:hAnsi="幼圆" w:eastAsia="幼圆" w:cs="幼圆"/>
                <w:sz w:val="21"/>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0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7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25"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20" w:leftChars="100" w:right="167" w:rightChars="76"/>
              <w:jc w:val="center"/>
              <w:textAlignment w:val="auto"/>
              <w:rPr>
                <w:rFonts w:hint="eastAsia" w:ascii="幼圆" w:hAnsi="幼圆" w:eastAsia="幼圆" w:cs="幼圆"/>
                <w:kern w:val="2"/>
                <w:sz w:val="21"/>
                <w:szCs w:val="21"/>
              </w:rPr>
            </w:pPr>
          </w:p>
        </w:tc>
        <w:tc>
          <w:tcPr>
            <w:tcW w:w="112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幼圆" w:hAnsi="幼圆" w:eastAsia="幼圆" w:cs="幼圆"/>
                <w:kern w:val="2"/>
                <w:sz w:val="21"/>
                <w:szCs w:val="21"/>
                <w:lang w:val="en-US" w:eastAsia="zh-CN"/>
              </w:rPr>
            </w:pPr>
            <w:r>
              <w:rPr>
                <w:rFonts w:hint="eastAsia" w:ascii="幼圆" w:hAnsi="幼圆" w:eastAsia="幼圆" w:cs="幼圆"/>
                <w:kern w:val="2"/>
                <w:sz w:val="21"/>
                <w:szCs w:val="21"/>
                <w:lang w:val="en-US" w:eastAsia="zh-CN"/>
              </w:rPr>
              <w:t>3</w:t>
            </w:r>
          </w:p>
        </w:tc>
        <w:tc>
          <w:tcPr>
            <w:tcW w:w="666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1"/>
              </w:rPr>
            </w:pPr>
            <w:r>
              <w:rPr>
                <w:rFonts w:hint="eastAsia" w:ascii="幼圆" w:hAnsi="幼圆" w:eastAsia="幼圆" w:cs="幼圆"/>
                <w:b/>
                <w:sz w:val="21"/>
                <w:szCs w:val="20"/>
                <w:lang w:val="en-US" w:eastAsia="zh-CN"/>
              </w:rPr>
              <w:t>针对环境保护及文明施工监理措施</w:t>
            </w:r>
            <w:r>
              <w:rPr>
                <w:rFonts w:hint="eastAsia" w:ascii="幼圆" w:hAnsi="幼圆" w:eastAsia="幼圆" w:cs="幼圆"/>
                <w:b/>
                <w:sz w:val="21"/>
                <w:szCs w:val="20"/>
              </w:rPr>
              <w:t>进行综合评审：</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rPr>
            </w:pPr>
            <w:r>
              <w:rPr>
                <w:rFonts w:hint="eastAsia" w:ascii="幼圆" w:hAnsi="幼圆" w:eastAsia="幼圆" w:cs="幼圆"/>
                <w:sz w:val="21"/>
                <w:szCs w:val="20"/>
                <w:lang w:val="en-US" w:eastAsia="zh-CN"/>
              </w:rPr>
              <w:t>环境保护及文明施工监理措施科学、可行、针对性强</w:t>
            </w:r>
            <w:r>
              <w:rPr>
                <w:rFonts w:hint="eastAsia" w:ascii="幼圆" w:hAnsi="幼圆" w:eastAsia="幼圆" w:cs="幼圆"/>
                <w:sz w:val="21"/>
                <w:szCs w:val="20"/>
              </w:rPr>
              <w:t>，得</w:t>
            </w:r>
            <w:r>
              <w:rPr>
                <w:rFonts w:hint="eastAsia" w:ascii="幼圆" w:hAnsi="幼圆" w:eastAsia="幼圆" w:cs="幼圆"/>
                <w:sz w:val="21"/>
                <w:szCs w:val="20"/>
                <w:lang w:val="en-US" w:eastAsia="zh-CN"/>
              </w:rPr>
              <w:t>3</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环境保护及文明施工监理措施一般，细节待完善</w:t>
            </w:r>
            <w:r>
              <w:rPr>
                <w:rFonts w:hint="eastAsia" w:ascii="幼圆" w:hAnsi="幼圆" w:eastAsia="幼圆" w:cs="幼圆"/>
                <w:sz w:val="21"/>
                <w:szCs w:val="20"/>
              </w:rPr>
              <w:t>，得</w:t>
            </w:r>
            <w:r>
              <w:rPr>
                <w:rFonts w:hint="eastAsia" w:ascii="幼圆" w:hAnsi="幼圆" w:eastAsia="幼圆" w:cs="幼圆"/>
                <w:sz w:val="21"/>
                <w:szCs w:val="20"/>
                <w:lang w:val="en-US" w:eastAsia="zh-CN"/>
              </w:rPr>
              <w:t>2</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rPr>
            </w:pPr>
            <w:r>
              <w:rPr>
                <w:rFonts w:hint="eastAsia" w:ascii="幼圆" w:hAnsi="幼圆" w:eastAsia="幼圆" w:cs="幼圆"/>
                <w:sz w:val="21"/>
                <w:szCs w:val="20"/>
                <w:lang w:val="en-US" w:eastAsia="zh-CN"/>
              </w:rPr>
              <w:t>环境保护及文明施工监理措施欠合理，可行性较差</w:t>
            </w:r>
            <w:r>
              <w:rPr>
                <w:rFonts w:hint="eastAsia" w:ascii="幼圆" w:hAnsi="幼圆" w:eastAsia="幼圆" w:cs="幼圆"/>
                <w:sz w:val="21"/>
                <w:szCs w:val="20"/>
              </w:rPr>
              <w:t>，得</w:t>
            </w:r>
            <w:r>
              <w:rPr>
                <w:rFonts w:hint="eastAsia" w:ascii="幼圆" w:hAnsi="幼圆" w:eastAsia="幼圆" w:cs="幼圆"/>
                <w:sz w:val="21"/>
                <w:szCs w:val="20"/>
                <w:lang w:val="en-US" w:eastAsia="zh-CN"/>
              </w:rPr>
              <w:t>1</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outlineLvl w:val="2"/>
              <w:rPr>
                <w:rFonts w:hint="eastAsia" w:ascii="幼圆" w:hAnsi="幼圆" w:eastAsia="幼圆" w:cs="幼圆"/>
                <w:sz w:val="21"/>
                <w:szCs w:val="21"/>
              </w:rPr>
            </w:pPr>
            <w:r>
              <w:rPr>
                <w:rFonts w:hint="eastAsia" w:ascii="幼圆" w:hAnsi="幼圆" w:eastAsia="幼圆" w:cs="幼圆"/>
                <w:sz w:val="21"/>
                <w:szCs w:val="20"/>
              </w:rPr>
              <w:t>未提供</w:t>
            </w:r>
            <w:r>
              <w:rPr>
                <w:rFonts w:hint="eastAsia" w:ascii="幼圆" w:hAnsi="幼圆" w:eastAsia="幼圆" w:cs="幼圆"/>
                <w:sz w:val="21"/>
                <w:szCs w:val="20"/>
                <w:lang w:val="en-US" w:eastAsia="zh-CN"/>
              </w:rPr>
              <w:t>得0分</w:t>
            </w:r>
            <w:r>
              <w:rPr>
                <w:rFonts w:hint="eastAsia" w:ascii="幼圆" w:hAnsi="幼圆" w:eastAsia="幼圆" w:cs="幼圆"/>
                <w:sz w:val="21"/>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0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7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25"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20" w:leftChars="100" w:right="167" w:rightChars="76"/>
              <w:jc w:val="center"/>
              <w:textAlignment w:val="auto"/>
              <w:rPr>
                <w:rFonts w:hint="eastAsia" w:ascii="幼圆" w:hAnsi="幼圆" w:eastAsia="幼圆" w:cs="幼圆"/>
                <w:kern w:val="2"/>
                <w:sz w:val="21"/>
                <w:szCs w:val="21"/>
              </w:rPr>
            </w:pPr>
          </w:p>
        </w:tc>
        <w:tc>
          <w:tcPr>
            <w:tcW w:w="112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幼圆" w:hAnsi="幼圆" w:eastAsia="幼圆" w:cs="幼圆"/>
                <w:kern w:val="2"/>
                <w:sz w:val="21"/>
                <w:szCs w:val="21"/>
                <w:lang w:val="en-US" w:eastAsia="zh-CN"/>
              </w:rPr>
            </w:pPr>
            <w:r>
              <w:rPr>
                <w:rFonts w:hint="eastAsia" w:ascii="幼圆" w:hAnsi="幼圆" w:eastAsia="幼圆" w:cs="幼圆"/>
                <w:kern w:val="2"/>
                <w:sz w:val="21"/>
                <w:szCs w:val="21"/>
                <w:lang w:val="en-US" w:eastAsia="zh-CN"/>
              </w:rPr>
              <w:t>3</w:t>
            </w:r>
          </w:p>
        </w:tc>
        <w:tc>
          <w:tcPr>
            <w:tcW w:w="666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1"/>
              </w:rPr>
            </w:pPr>
            <w:r>
              <w:rPr>
                <w:rFonts w:hint="eastAsia" w:ascii="幼圆" w:hAnsi="幼圆" w:eastAsia="幼圆" w:cs="幼圆"/>
                <w:b/>
                <w:sz w:val="21"/>
                <w:szCs w:val="20"/>
                <w:lang w:val="en-US" w:eastAsia="zh-CN"/>
              </w:rPr>
              <w:t>针对监理工作意见</w:t>
            </w:r>
            <w:r>
              <w:rPr>
                <w:rFonts w:hint="eastAsia" w:ascii="幼圆" w:hAnsi="幼圆" w:eastAsia="幼圆" w:cs="幼圆"/>
                <w:b/>
                <w:sz w:val="21"/>
                <w:szCs w:val="20"/>
              </w:rPr>
              <w:t>进行综合评审：</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rPr>
            </w:pPr>
            <w:r>
              <w:rPr>
                <w:rFonts w:hint="eastAsia" w:ascii="幼圆" w:hAnsi="幼圆" w:eastAsia="幼圆" w:cs="幼圆"/>
                <w:sz w:val="21"/>
                <w:szCs w:val="20"/>
                <w:lang w:val="en-US" w:eastAsia="zh-CN"/>
              </w:rPr>
              <w:t>监理工作意见科学、可行、针对性强</w:t>
            </w:r>
            <w:r>
              <w:rPr>
                <w:rFonts w:hint="eastAsia" w:ascii="幼圆" w:hAnsi="幼圆" w:eastAsia="幼圆" w:cs="幼圆"/>
                <w:sz w:val="21"/>
                <w:szCs w:val="20"/>
              </w:rPr>
              <w:t>，得</w:t>
            </w:r>
            <w:r>
              <w:rPr>
                <w:rFonts w:hint="eastAsia" w:ascii="幼圆" w:hAnsi="幼圆" w:eastAsia="幼圆" w:cs="幼圆"/>
                <w:sz w:val="21"/>
                <w:szCs w:val="20"/>
                <w:lang w:val="en-US" w:eastAsia="zh-CN"/>
              </w:rPr>
              <w:t>3</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监理工作意见一般，细节待完善</w:t>
            </w:r>
            <w:r>
              <w:rPr>
                <w:rFonts w:hint="eastAsia" w:ascii="幼圆" w:hAnsi="幼圆" w:eastAsia="幼圆" w:cs="幼圆"/>
                <w:sz w:val="21"/>
                <w:szCs w:val="20"/>
              </w:rPr>
              <w:t>，得</w:t>
            </w:r>
            <w:r>
              <w:rPr>
                <w:rFonts w:hint="eastAsia" w:ascii="幼圆" w:hAnsi="幼圆" w:eastAsia="幼圆" w:cs="幼圆"/>
                <w:sz w:val="21"/>
                <w:szCs w:val="20"/>
                <w:lang w:val="en-US" w:eastAsia="zh-CN"/>
              </w:rPr>
              <w:t>2</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幼圆" w:hAnsi="幼圆" w:eastAsia="幼圆" w:cs="幼圆"/>
                <w:sz w:val="21"/>
                <w:szCs w:val="20"/>
              </w:rPr>
            </w:pPr>
            <w:r>
              <w:rPr>
                <w:rFonts w:hint="eastAsia" w:ascii="幼圆" w:hAnsi="幼圆" w:eastAsia="幼圆" w:cs="幼圆"/>
                <w:sz w:val="21"/>
                <w:szCs w:val="20"/>
                <w:lang w:val="en-US" w:eastAsia="zh-CN"/>
              </w:rPr>
              <w:t>监理工作意见欠合理，可行性较差</w:t>
            </w:r>
            <w:r>
              <w:rPr>
                <w:rFonts w:hint="eastAsia" w:ascii="幼圆" w:hAnsi="幼圆" w:eastAsia="幼圆" w:cs="幼圆"/>
                <w:sz w:val="21"/>
                <w:szCs w:val="20"/>
              </w:rPr>
              <w:t>，得</w:t>
            </w:r>
            <w:r>
              <w:rPr>
                <w:rFonts w:hint="eastAsia" w:ascii="幼圆" w:hAnsi="幼圆" w:eastAsia="幼圆" w:cs="幼圆"/>
                <w:sz w:val="21"/>
                <w:szCs w:val="20"/>
                <w:lang w:val="en-US" w:eastAsia="zh-CN"/>
              </w:rPr>
              <w:t>1</w:t>
            </w:r>
            <w:r>
              <w:rPr>
                <w:rFonts w:hint="eastAsia" w:ascii="幼圆" w:hAnsi="幼圆" w:eastAsia="幼圆" w:cs="幼圆"/>
                <w:sz w:val="21"/>
                <w:szCs w:val="20"/>
              </w:rPr>
              <w:t>分；</w:t>
            </w:r>
          </w:p>
          <w:p>
            <w:pPr>
              <w:keepNext w:val="0"/>
              <w:keepLines w:val="0"/>
              <w:pageBreakBefore w:val="0"/>
              <w:widowControl/>
              <w:kinsoku/>
              <w:wordWrap/>
              <w:overflowPunct/>
              <w:topLinePunct w:val="0"/>
              <w:autoSpaceDE/>
              <w:autoSpaceDN/>
              <w:bidi w:val="0"/>
              <w:adjustRightInd/>
              <w:snapToGrid/>
              <w:spacing w:line="240" w:lineRule="exact"/>
              <w:textAlignment w:val="auto"/>
              <w:outlineLvl w:val="2"/>
              <w:rPr>
                <w:rFonts w:hint="eastAsia" w:ascii="幼圆" w:hAnsi="幼圆" w:eastAsia="幼圆" w:cs="幼圆"/>
                <w:sz w:val="21"/>
                <w:szCs w:val="21"/>
              </w:rPr>
            </w:pPr>
            <w:r>
              <w:rPr>
                <w:rFonts w:hint="eastAsia" w:ascii="幼圆" w:hAnsi="幼圆" w:eastAsia="幼圆" w:cs="幼圆"/>
                <w:sz w:val="21"/>
                <w:szCs w:val="20"/>
              </w:rPr>
              <w:t>未提供</w:t>
            </w:r>
            <w:r>
              <w:rPr>
                <w:rFonts w:hint="eastAsia" w:ascii="幼圆" w:hAnsi="幼圆" w:eastAsia="幼圆" w:cs="幼圆"/>
                <w:sz w:val="21"/>
                <w:szCs w:val="20"/>
                <w:lang w:val="en-US" w:eastAsia="zh-CN"/>
              </w:rPr>
              <w:t>得0分</w:t>
            </w:r>
            <w:r>
              <w:rPr>
                <w:rFonts w:hint="eastAsia" w:ascii="幼圆" w:hAnsi="幼圆" w:eastAsia="幼圆" w:cs="幼圆"/>
                <w:sz w:val="21"/>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0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7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25"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20" w:leftChars="100" w:right="167" w:rightChars="76"/>
              <w:jc w:val="center"/>
              <w:textAlignment w:val="auto"/>
              <w:rPr>
                <w:rFonts w:hint="eastAsia" w:ascii="幼圆" w:hAnsi="幼圆" w:eastAsia="幼圆" w:cs="幼圆"/>
                <w:sz w:val="21"/>
                <w:szCs w:val="21"/>
              </w:rPr>
            </w:pPr>
            <w:r>
              <w:rPr>
                <w:rFonts w:hint="eastAsia" w:ascii="幼圆" w:hAnsi="幼圆" w:eastAsia="幼圆" w:cs="幼圆"/>
                <w:sz w:val="21"/>
                <w:szCs w:val="21"/>
              </w:rPr>
              <w:t>拟派总监理工程师</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snapToGrid/>
              <w:spacing w:before="60" w:beforeLines="25" w:beforeAutospacing="0" w:after="60" w:afterLines="25" w:afterAutospacing="0" w:line="240" w:lineRule="exact"/>
              <w:ind w:left="0" w:right="0"/>
              <w:jc w:val="center"/>
              <w:textAlignment w:val="auto"/>
              <w:rPr>
                <w:rFonts w:hint="eastAsia" w:ascii="幼圆" w:hAnsi="幼圆" w:eastAsia="幼圆" w:cs="幼圆"/>
                <w:kern w:val="2"/>
                <w:sz w:val="21"/>
                <w:szCs w:val="21"/>
                <w:lang w:eastAsia="zh-CN"/>
              </w:rPr>
            </w:pPr>
            <w:r>
              <w:rPr>
                <w:rFonts w:hint="eastAsia" w:ascii="幼圆" w:hAnsi="幼圆" w:eastAsia="幼圆" w:cs="幼圆"/>
                <w:kern w:val="2"/>
                <w:sz w:val="21"/>
                <w:szCs w:val="21"/>
                <w:lang w:val="en-US" w:eastAsia="zh-CN"/>
              </w:rPr>
              <w:t>2</w:t>
            </w:r>
          </w:p>
        </w:tc>
        <w:tc>
          <w:tcPr>
            <w:tcW w:w="6668"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right="163" w:rightChars="74"/>
              <w:jc w:val="both"/>
              <w:textAlignment w:val="auto"/>
              <w:rPr>
                <w:rFonts w:hint="eastAsia" w:ascii="幼圆" w:hAnsi="幼圆" w:eastAsia="幼圆" w:cs="幼圆"/>
                <w:sz w:val="21"/>
                <w:szCs w:val="21"/>
              </w:rPr>
            </w:pPr>
            <w:r>
              <w:rPr>
                <w:rFonts w:hint="eastAsia" w:ascii="幼圆" w:hAnsi="幼圆" w:eastAsia="幼圆" w:cs="幼圆"/>
                <w:sz w:val="21"/>
                <w:szCs w:val="21"/>
              </w:rPr>
              <w:t>具有高级职称（含）以上，得</w:t>
            </w:r>
            <w:r>
              <w:rPr>
                <w:rFonts w:hint="eastAsia" w:ascii="幼圆" w:hAnsi="幼圆" w:eastAsia="幼圆" w:cs="幼圆"/>
                <w:sz w:val="21"/>
                <w:szCs w:val="21"/>
                <w:lang w:val="en-US" w:eastAsia="zh-CN"/>
              </w:rPr>
              <w:t>2</w:t>
            </w:r>
            <w:r>
              <w:rPr>
                <w:rFonts w:hint="eastAsia" w:ascii="幼圆" w:hAnsi="幼圆" w:eastAsia="幼圆" w:cs="幼圆"/>
                <w:sz w:val="21"/>
                <w:szCs w:val="21"/>
              </w:rPr>
              <w:t>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right="163" w:rightChars="74"/>
              <w:jc w:val="both"/>
              <w:textAlignment w:val="auto"/>
              <w:rPr>
                <w:rFonts w:hint="eastAsia" w:ascii="幼圆" w:hAnsi="幼圆" w:eastAsia="幼圆" w:cs="幼圆"/>
                <w:sz w:val="21"/>
                <w:szCs w:val="21"/>
              </w:rPr>
            </w:pPr>
            <w:r>
              <w:rPr>
                <w:rFonts w:hint="eastAsia" w:ascii="幼圆" w:hAnsi="幼圆" w:eastAsia="幼圆" w:cs="幼圆"/>
                <w:sz w:val="21"/>
                <w:szCs w:val="21"/>
              </w:rPr>
              <w:t>中级职称（含），得</w:t>
            </w:r>
            <w:r>
              <w:rPr>
                <w:rFonts w:hint="eastAsia" w:ascii="幼圆" w:hAnsi="幼圆" w:eastAsia="幼圆" w:cs="幼圆"/>
                <w:sz w:val="21"/>
                <w:szCs w:val="21"/>
                <w:lang w:val="en-US" w:eastAsia="zh-CN"/>
              </w:rPr>
              <w:t>1</w:t>
            </w:r>
            <w:r>
              <w:rPr>
                <w:rFonts w:hint="eastAsia" w:ascii="幼圆" w:hAnsi="幼圆" w:eastAsia="幼圆" w:cs="幼圆"/>
                <w:sz w:val="21"/>
                <w:szCs w:val="21"/>
              </w:rPr>
              <w:t>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right="163" w:rightChars="74"/>
              <w:jc w:val="both"/>
              <w:textAlignment w:val="auto"/>
              <w:rPr>
                <w:rFonts w:hint="eastAsia" w:ascii="幼圆" w:hAnsi="幼圆" w:eastAsia="幼圆" w:cs="幼圆"/>
                <w:sz w:val="21"/>
                <w:szCs w:val="21"/>
              </w:rPr>
            </w:pPr>
            <w:r>
              <w:rPr>
                <w:rFonts w:hint="eastAsia" w:ascii="幼圆" w:hAnsi="幼圆" w:eastAsia="幼圆" w:cs="幼圆"/>
                <w:sz w:val="21"/>
                <w:szCs w:val="21"/>
              </w:rPr>
              <w:t>其他，不得分。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0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7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25"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20" w:leftChars="100" w:right="167" w:rightChars="76"/>
              <w:jc w:val="center"/>
              <w:textAlignment w:val="auto"/>
              <w:rPr>
                <w:rFonts w:hint="eastAsia" w:ascii="幼圆" w:hAnsi="幼圆" w:eastAsia="幼圆" w:cs="幼圆"/>
                <w:sz w:val="21"/>
                <w:szCs w:val="21"/>
              </w:rPr>
            </w:pPr>
          </w:p>
        </w:tc>
        <w:tc>
          <w:tcPr>
            <w:tcW w:w="1125" w:type="dxa"/>
            <w:vAlign w:val="center"/>
          </w:tcPr>
          <w:p>
            <w:pPr>
              <w:keepNext w:val="0"/>
              <w:keepLines w:val="0"/>
              <w:pageBreakBefore w:val="0"/>
              <w:widowControl/>
              <w:suppressLineNumbers w:val="0"/>
              <w:kinsoku/>
              <w:wordWrap/>
              <w:overflowPunct/>
              <w:topLinePunct w:val="0"/>
              <w:autoSpaceDE/>
              <w:autoSpaceDN/>
              <w:bidi w:val="0"/>
              <w:adjustRightInd/>
              <w:snapToGrid/>
              <w:spacing w:before="60" w:beforeLines="25" w:beforeAutospacing="0" w:after="60" w:afterLines="25" w:afterAutospacing="0" w:line="240" w:lineRule="exact"/>
              <w:ind w:left="0" w:right="0"/>
              <w:jc w:val="center"/>
              <w:textAlignment w:val="auto"/>
              <w:rPr>
                <w:rFonts w:hint="eastAsia" w:ascii="幼圆" w:hAnsi="幼圆" w:eastAsia="幼圆" w:cs="幼圆"/>
                <w:kern w:val="2"/>
                <w:sz w:val="21"/>
                <w:szCs w:val="21"/>
                <w:lang w:val="en-US" w:eastAsia="zh-CN"/>
              </w:rPr>
            </w:pPr>
            <w:r>
              <w:rPr>
                <w:rFonts w:hint="eastAsia" w:ascii="幼圆" w:hAnsi="幼圆" w:eastAsia="幼圆" w:cs="幼圆"/>
                <w:kern w:val="2"/>
                <w:sz w:val="21"/>
                <w:szCs w:val="21"/>
                <w:lang w:val="en-US" w:eastAsia="zh-CN"/>
              </w:rPr>
              <w:t>2</w:t>
            </w:r>
          </w:p>
        </w:tc>
        <w:tc>
          <w:tcPr>
            <w:tcW w:w="6668"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right="163" w:rightChars="74"/>
              <w:jc w:val="both"/>
              <w:textAlignment w:val="auto"/>
              <w:rPr>
                <w:rFonts w:hint="eastAsia" w:ascii="幼圆" w:hAnsi="幼圆" w:eastAsia="幼圆" w:cs="幼圆"/>
                <w:sz w:val="21"/>
                <w:szCs w:val="21"/>
              </w:rPr>
            </w:pPr>
            <w:r>
              <w:rPr>
                <w:rFonts w:hint="eastAsia" w:ascii="幼圆" w:hAnsi="幼圆" w:eastAsia="幼圆" w:cs="幼圆"/>
                <w:sz w:val="21"/>
                <w:szCs w:val="21"/>
              </w:rPr>
              <w:t>大学本科（含）以上学历，得</w:t>
            </w:r>
            <w:r>
              <w:rPr>
                <w:rFonts w:hint="eastAsia" w:ascii="幼圆" w:hAnsi="幼圆" w:eastAsia="幼圆" w:cs="幼圆"/>
                <w:sz w:val="21"/>
                <w:szCs w:val="21"/>
                <w:lang w:val="en-US" w:eastAsia="zh-CN"/>
              </w:rPr>
              <w:t>2</w:t>
            </w:r>
            <w:r>
              <w:rPr>
                <w:rFonts w:hint="eastAsia" w:ascii="幼圆" w:hAnsi="幼圆" w:eastAsia="幼圆" w:cs="幼圆"/>
                <w:sz w:val="21"/>
                <w:szCs w:val="21"/>
              </w:rPr>
              <w:t>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right="163" w:rightChars="74"/>
              <w:jc w:val="both"/>
              <w:textAlignment w:val="auto"/>
              <w:rPr>
                <w:rFonts w:hint="eastAsia" w:ascii="幼圆" w:hAnsi="幼圆" w:eastAsia="幼圆" w:cs="幼圆"/>
                <w:sz w:val="21"/>
                <w:szCs w:val="21"/>
              </w:rPr>
            </w:pPr>
            <w:r>
              <w:rPr>
                <w:rFonts w:hint="eastAsia" w:ascii="幼圆" w:hAnsi="幼圆" w:eastAsia="幼圆" w:cs="幼圆"/>
                <w:sz w:val="21"/>
                <w:szCs w:val="21"/>
              </w:rPr>
              <w:t>大学专科（含）以上学历，得1分；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right="163" w:rightChars="74"/>
              <w:jc w:val="both"/>
              <w:textAlignment w:val="auto"/>
              <w:rPr>
                <w:rFonts w:hint="eastAsia" w:ascii="幼圆" w:hAnsi="幼圆" w:eastAsia="幼圆" w:cs="幼圆"/>
                <w:sz w:val="21"/>
                <w:szCs w:val="21"/>
                <w:lang w:val="en-US" w:eastAsia="zh-CN"/>
              </w:rPr>
            </w:pPr>
            <w:r>
              <w:rPr>
                <w:rFonts w:hint="eastAsia" w:ascii="幼圆" w:hAnsi="幼圆" w:eastAsia="幼圆" w:cs="幼圆"/>
                <w:sz w:val="21"/>
                <w:szCs w:val="21"/>
              </w:rPr>
              <w:t>其他学历不得分</w:t>
            </w:r>
            <w:r>
              <w:rPr>
                <w:rFonts w:hint="eastAsia" w:ascii="幼圆" w:hAnsi="幼圆" w:eastAsia="幼圆" w:cs="幼圆"/>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0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7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25"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20" w:leftChars="100" w:right="167" w:rightChars="76"/>
              <w:jc w:val="center"/>
              <w:textAlignment w:val="auto"/>
              <w:rPr>
                <w:rFonts w:hint="eastAsia" w:ascii="幼圆" w:hAnsi="幼圆" w:eastAsia="幼圆" w:cs="幼圆"/>
                <w:sz w:val="21"/>
                <w:szCs w:val="21"/>
              </w:rPr>
            </w:pPr>
          </w:p>
        </w:tc>
        <w:tc>
          <w:tcPr>
            <w:tcW w:w="1125" w:type="dxa"/>
            <w:vAlign w:val="center"/>
          </w:tcPr>
          <w:p>
            <w:pPr>
              <w:keepNext w:val="0"/>
              <w:keepLines w:val="0"/>
              <w:pageBreakBefore w:val="0"/>
              <w:widowControl/>
              <w:suppressLineNumbers w:val="0"/>
              <w:kinsoku/>
              <w:wordWrap/>
              <w:overflowPunct/>
              <w:topLinePunct w:val="0"/>
              <w:autoSpaceDE/>
              <w:autoSpaceDN/>
              <w:bidi w:val="0"/>
              <w:adjustRightInd/>
              <w:snapToGrid/>
              <w:spacing w:before="60" w:beforeLines="25" w:beforeAutospacing="0" w:after="60" w:afterLines="25" w:afterAutospacing="0" w:line="240" w:lineRule="exact"/>
              <w:ind w:left="0" w:right="0"/>
              <w:jc w:val="center"/>
              <w:textAlignment w:val="auto"/>
              <w:rPr>
                <w:rFonts w:hint="eastAsia" w:ascii="幼圆" w:hAnsi="幼圆" w:eastAsia="幼圆" w:cs="幼圆"/>
                <w:kern w:val="2"/>
                <w:sz w:val="21"/>
                <w:szCs w:val="21"/>
                <w:lang w:val="en-US" w:eastAsia="zh-CN"/>
              </w:rPr>
            </w:pPr>
            <w:r>
              <w:rPr>
                <w:rFonts w:hint="eastAsia" w:ascii="幼圆" w:hAnsi="幼圆" w:eastAsia="幼圆" w:cs="幼圆"/>
                <w:kern w:val="2"/>
                <w:sz w:val="21"/>
                <w:szCs w:val="21"/>
                <w:lang w:val="en-US" w:eastAsia="zh-CN"/>
              </w:rPr>
              <w:t>2</w:t>
            </w:r>
          </w:p>
        </w:tc>
        <w:tc>
          <w:tcPr>
            <w:tcW w:w="6668"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right="163" w:rightChars="74"/>
              <w:jc w:val="both"/>
              <w:textAlignment w:val="auto"/>
              <w:rPr>
                <w:rFonts w:hint="eastAsia" w:ascii="幼圆" w:hAnsi="幼圆" w:eastAsia="幼圆" w:cs="幼圆"/>
                <w:sz w:val="21"/>
                <w:szCs w:val="21"/>
              </w:rPr>
            </w:pPr>
            <w:r>
              <w:rPr>
                <w:rFonts w:hint="eastAsia" w:ascii="幼圆" w:hAnsi="幼圆" w:eastAsia="幼圆" w:cs="幼圆"/>
                <w:sz w:val="21"/>
                <w:szCs w:val="21"/>
              </w:rPr>
              <w:t>有一个业绩加</w:t>
            </w:r>
            <w:r>
              <w:rPr>
                <w:rFonts w:hint="eastAsia" w:ascii="幼圆" w:hAnsi="幼圆" w:eastAsia="幼圆" w:cs="幼圆"/>
                <w:sz w:val="21"/>
                <w:szCs w:val="21"/>
                <w:lang w:val="en-US" w:eastAsia="zh-CN"/>
              </w:rPr>
              <w:t>1</w:t>
            </w:r>
            <w:r>
              <w:rPr>
                <w:rFonts w:hint="eastAsia" w:ascii="幼圆" w:hAnsi="幼圆" w:eastAsia="幼圆" w:cs="幼圆"/>
                <w:sz w:val="21"/>
                <w:szCs w:val="21"/>
              </w:rPr>
              <w:t>分，最多</w:t>
            </w:r>
            <w:r>
              <w:rPr>
                <w:rFonts w:hint="eastAsia" w:ascii="幼圆" w:hAnsi="幼圆" w:eastAsia="幼圆" w:cs="幼圆"/>
                <w:sz w:val="21"/>
                <w:szCs w:val="21"/>
                <w:lang w:val="en-US" w:eastAsia="zh-CN"/>
              </w:rPr>
              <w:t>2</w:t>
            </w:r>
            <w:r>
              <w:rPr>
                <w:rFonts w:hint="eastAsia" w:ascii="幼圆" w:hAnsi="幼圆" w:eastAsia="幼圆" w:cs="幼圆"/>
                <w:sz w:val="21"/>
                <w:szCs w:val="21"/>
              </w:rPr>
              <w:t>分。未提供有效证明材料的项目业绩在评标时将不予认可。</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right="163" w:rightChars="74"/>
              <w:jc w:val="both"/>
              <w:textAlignment w:val="auto"/>
              <w:rPr>
                <w:rFonts w:hint="eastAsia" w:ascii="幼圆" w:hAnsi="幼圆" w:eastAsia="幼圆" w:cs="幼圆"/>
                <w:sz w:val="21"/>
                <w:szCs w:val="21"/>
              </w:rPr>
            </w:pPr>
            <w:r>
              <w:rPr>
                <w:rFonts w:hint="eastAsia" w:ascii="幼圆" w:hAnsi="幼圆" w:eastAsia="幼圆" w:cs="幼圆"/>
                <w:sz w:val="21"/>
                <w:szCs w:val="21"/>
              </w:rPr>
              <w:t>说明：评分项服务业绩，仅限于近三年（20</w:t>
            </w:r>
            <w:r>
              <w:rPr>
                <w:rFonts w:hint="eastAsia" w:ascii="幼圆" w:hAnsi="幼圆" w:eastAsia="幼圆" w:cs="幼圆"/>
                <w:sz w:val="21"/>
                <w:szCs w:val="21"/>
                <w:lang w:val="en-US" w:eastAsia="zh-CN"/>
              </w:rPr>
              <w:t>22</w:t>
            </w:r>
            <w:r>
              <w:rPr>
                <w:rFonts w:hint="eastAsia" w:ascii="幼圆" w:hAnsi="幼圆" w:eastAsia="幼圆" w:cs="幼圆"/>
                <w:sz w:val="21"/>
                <w:szCs w:val="21"/>
              </w:rPr>
              <w:t>年</w:t>
            </w:r>
            <w:r>
              <w:rPr>
                <w:rFonts w:hint="eastAsia" w:ascii="幼圆" w:hAnsi="幼圆" w:eastAsia="幼圆" w:cs="幼圆"/>
                <w:sz w:val="21"/>
                <w:szCs w:val="21"/>
                <w:lang w:val="en-US" w:eastAsia="zh-CN"/>
              </w:rPr>
              <w:t>10</w:t>
            </w:r>
            <w:r>
              <w:rPr>
                <w:rFonts w:hint="eastAsia" w:ascii="幼圆" w:hAnsi="幼圆" w:eastAsia="幼圆" w:cs="幼圆"/>
                <w:sz w:val="21"/>
                <w:szCs w:val="21"/>
              </w:rPr>
              <w:t>月1日至今）已完工的装修、改造、修缮等工程项目监理。须提供相关证明文件（证明文件包括监理合同的关键页复印件并加盖单位章，包含合同的首页、金额页、签字盖章页及竣工验收记录复印件）。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0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7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25"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20" w:leftChars="100" w:right="167" w:rightChars="76"/>
              <w:jc w:val="center"/>
              <w:textAlignment w:val="auto"/>
              <w:rPr>
                <w:rFonts w:hint="eastAsia" w:ascii="幼圆" w:hAnsi="幼圆" w:eastAsia="幼圆" w:cs="幼圆"/>
                <w:sz w:val="21"/>
                <w:szCs w:val="21"/>
              </w:rPr>
            </w:pPr>
            <w:r>
              <w:rPr>
                <w:rFonts w:hint="eastAsia" w:ascii="幼圆" w:hAnsi="幼圆" w:eastAsia="幼圆" w:cs="幼圆"/>
                <w:sz w:val="21"/>
                <w:szCs w:val="21"/>
              </w:rPr>
              <w:t>拟配备的监理团队</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snapToGrid/>
              <w:spacing w:before="60" w:beforeLines="25" w:beforeAutospacing="0" w:after="60" w:afterLines="25" w:afterAutospacing="0" w:line="240" w:lineRule="exact"/>
              <w:ind w:left="0" w:right="0"/>
              <w:jc w:val="center"/>
              <w:textAlignment w:val="auto"/>
              <w:rPr>
                <w:rFonts w:hint="eastAsia" w:ascii="幼圆" w:hAnsi="幼圆" w:eastAsia="幼圆" w:cs="幼圆"/>
                <w:kern w:val="2"/>
                <w:sz w:val="21"/>
                <w:szCs w:val="21"/>
                <w:lang w:val="en-US" w:eastAsia="zh-CN"/>
              </w:rPr>
            </w:pPr>
            <w:r>
              <w:rPr>
                <w:rFonts w:hint="eastAsia" w:ascii="幼圆" w:hAnsi="幼圆" w:eastAsia="幼圆" w:cs="幼圆"/>
                <w:kern w:val="2"/>
                <w:sz w:val="21"/>
                <w:szCs w:val="21"/>
                <w:lang w:val="en-US" w:eastAsia="zh-CN"/>
              </w:rPr>
              <w:t>3</w:t>
            </w:r>
          </w:p>
        </w:tc>
        <w:tc>
          <w:tcPr>
            <w:tcW w:w="6668"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right="163" w:rightChars="74"/>
              <w:jc w:val="both"/>
              <w:textAlignment w:val="auto"/>
              <w:rPr>
                <w:rFonts w:hint="eastAsia" w:ascii="幼圆" w:hAnsi="幼圆" w:eastAsia="幼圆" w:cs="幼圆"/>
                <w:sz w:val="21"/>
                <w:szCs w:val="21"/>
              </w:rPr>
            </w:pPr>
            <w:r>
              <w:rPr>
                <w:rFonts w:hint="eastAsia" w:ascii="幼圆" w:hAnsi="幼圆" w:eastAsia="幼圆" w:cs="幼圆"/>
                <w:sz w:val="21"/>
                <w:szCs w:val="21"/>
              </w:rPr>
              <w:t>中级职称以上人员在拟派人员中所占比例</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right="163" w:rightChars="74"/>
              <w:jc w:val="both"/>
              <w:textAlignment w:val="auto"/>
              <w:rPr>
                <w:rFonts w:hint="eastAsia" w:ascii="幼圆" w:hAnsi="幼圆" w:eastAsia="幼圆" w:cs="幼圆"/>
                <w:sz w:val="21"/>
                <w:szCs w:val="21"/>
                <w:lang w:eastAsia="zh-CN"/>
              </w:rPr>
            </w:pPr>
            <w:r>
              <w:rPr>
                <w:rFonts w:hint="eastAsia" w:ascii="幼圆" w:hAnsi="幼圆" w:eastAsia="幼圆" w:cs="幼圆"/>
                <w:sz w:val="21"/>
                <w:szCs w:val="21"/>
              </w:rPr>
              <w:t>①所占比例50%（含）以上得</w:t>
            </w:r>
            <w:r>
              <w:rPr>
                <w:rFonts w:hint="eastAsia" w:ascii="幼圆" w:hAnsi="幼圆" w:eastAsia="幼圆" w:cs="幼圆"/>
                <w:sz w:val="21"/>
                <w:szCs w:val="21"/>
                <w:lang w:val="en-US" w:eastAsia="zh-CN"/>
              </w:rPr>
              <w:t>3</w:t>
            </w:r>
            <w:r>
              <w:rPr>
                <w:rFonts w:hint="eastAsia" w:ascii="幼圆" w:hAnsi="幼圆" w:eastAsia="幼圆" w:cs="幼圆"/>
                <w:sz w:val="21"/>
                <w:szCs w:val="21"/>
              </w:rPr>
              <w:t>分</w:t>
            </w:r>
            <w:r>
              <w:rPr>
                <w:rFonts w:hint="eastAsia" w:ascii="幼圆" w:hAnsi="幼圆" w:eastAsia="幼圆" w:cs="幼圆"/>
                <w:sz w:val="21"/>
                <w:szCs w:val="21"/>
                <w:lang w:eastAsia="zh-CN"/>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right="163" w:rightChars="74"/>
              <w:jc w:val="both"/>
              <w:textAlignment w:val="auto"/>
              <w:rPr>
                <w:rFonts w:hint="eastAsia" w:ascii="幼圆" w:hAnsi="幼圆" w:eastAsia="幼圆" w:cs="幼圆"/>
                <w:sz w:val="21"/>
                <w:szCs w:val="21"/>
                <w:lang w:eastAsia="zh-CN"/>
              </w:rPr>
            </w:pPr>
            <w:r>
              <w:rPr>
                <w:rFonts w:hint="eastAsia" w:ascii="幼圆" w:hAnsi="幼圆" w:eastAsia="幼圆" w:cs="幼圆"/>
                <w:sz w:val="21"/>
                <w:szCs w:val="21"/>
              </w:rPr>
              <w:t>②所占比例30%（含）-50%得</w:t>
            </w:r>
            <w:r>
              <w:rPr>
                <w:rFonts w:hint="eastAsia" w:ascii="幼圆" w:hAnsi="幼圆" w:eastAsia="幼圆" w:cs="幼圆"/>
                <w:sz w:val="21"/>
                <w:szCs w:val="21"/>
                <w:lang w:val="en-US" w:eastAsia="zh-CN"/>
              </w:rPr>
              <w:t>1</w:t>
            </w:r>
            <w:r>
              <w:rPr>
                <w:rFonts w:hint="eastAsia" w:ascii="幼圆" w:hAnsi="幼圆" w:eastAsia="幼圆" w:cs="幼圆"/>
                <w:sz w:val="21"/>
                <w:szCs w:val="21"/>
              </w:rPr>
              <w:t>分</w:t>
            </w:r>
            <w:r>
              <w:rPr>
                <w:rFonts w:hint="eastAsia" w:ascii="幼圆" w:hAnsi="幼圆" w:eastAsia="幼圆" w:cs="幼圆"/>
                <w:sz w:val="21"/>
                <w:szCs w:val="21"/>
                <w:lang w:eastAsia="zh-CN"/>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right="163" w:rightChars="74"/>
              <w:jc w:val="both"/>
              <w:textAlignment w:val="auto"/>
              <w:rPr>
                <w:rFonts w:hint="eastAsia" w:ascii="幼圆" w:hAnsi="幼圆" w:eastAsia="幼圆" w:cs="幼圆"/>
                <w:sz w:val="21"/>
                <w:szCs w:val="21"/>
                <w:lang w:eastAsia="zh-CN"/>
              </w:rPr>
            </w:pPr>
            <w:r>
              <w:rPr>
                <w:rFonts w:hint="eastAsia" w:ascii="幼圆" w:hAnsi="幼圆" w:eastAsia="幼圆" w:cs="幼圆"/>
                <w:sz w:val="21"/>
                <w:szCs w:val="21"/>
              </w:rPr>
              <w:t>③所占比例30%（不含）以下不得分</w:t>
            </w:r>
            <w:r>
              <w:rPr>
                <w:rFonts w:hint="eastAsia" w:ascii="幼圆" w:hAnsi="幼圆" w:eastAsia="幼圆" w:cs="幼圆"/>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0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7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25"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20" w:leftChars="100" w:right="167" w:rightChars="76"/>
              <w:jc w:val="center"/>
              <w:textAlignment w:val="auto"/>
              <w:rPr>
                <w:rFonts w:hint="eastAsia" w:ascii="幼圆" w:hAnsi="幼圆" w:eastAsia="幼圆" w:cs="幼圆"/>
                <w:sz w:val="21"/>
                <w:szCs w:val="21"/>
              </w:rPr>
            </w:pPr>
          </w:p>
        </w:tc>
        <w:tc>
          <w:tcPr>
            <w:tcW w:w="1125" w:type="dxa"/>
            <w:vAlign w:val="center"/>
          </w:tcPr>
          <w:p>
            <w:pPr>
              <w:keepNext w:val="0"/>
              <w:keepLines w:val="0"/>
              <w:pageBreakBefore w:val="0"/>
              <w:widowControl/>
              <w:suppressLineNumbers w:val="0"/>
              <w:kinsoku/>
              <w:wordWrap/>
              <w:overflowPunct/>
              <w:topLinePunct w:val="0"/>
              <w:autoSpaceDE/>
              <w:autoSpaceDN/>
              <w:bidi w:val="0"/>
              <w:adjustRightInd/>
              <w:snapToGrid/>
              <w:spacing w:before="60" w:beforeLines="25" w:beforeAutospacing="0" w:after="60" w:afterLines="25" w:afterAutospacing="0" w:line="240" w:lineRule="exact"/>
              <w:ind w:left="0" w:right="0"/>
              <w:jc w:val="center"/>
              <w:textAlignment w:val="auto"/>
              <w:rPr>
                <w:rFonts w:hint="eastAsia" w:ascii="幼圆" w:hAnsi="幼圆" w:eastAsia="幼圆" w:cs="幼圆"/>
                <w:kern w:val="2"/>
                <w:sz w:val="21"/>
                <w:szCs w:val="21"/>
                <w:lang w:val="en-US" w:eastAsia="zh-CN"/>
              </w:rPr>
            </w:pPr>
            <w:r>
              <w:rPr>
                <w:rFonts w:hint="eastAsia" w:ascii="幼圆" w:hAnsi="幼圆" w:eastAsia="幼圆" w:cs="幼圆"/>
                <w:kern w:val="2"/>
                <w:sz w:val="21"/>
                <w:szCs w:val="21"/>
                <w:lang w:val="en-US" w:eastAsia="zh-CN"/>
              </w:rPr>
              <w:t>3</w:t>
            </w:r>
          </w:p>
        </w:tc>
        <w:tc>
          <w:tcPr>
            <w:tcW w:w="6668"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right="163" w:rightChars="74"/>
              <w:jc w:val="both"/>
              <w:textAlignment w:val="auto"/>
              <w:rPr>
                <w:rFonts w:hint="eastAsia" w:ascii="幼圆" w:hAnsi="幼圆" w:eastAsia="幼圆" w:cs="幼圆"/>
                <w:sz w:val="21"/>
                <w:szCs w:val="21"/>
              </w:rPr>
            </w:pPr>
            <w:r>
              <w:rPr>
                <w:rFonts w:hint="eastAsia" w:ascii="幼圆" w:hAnsi="幼圆" w:eastAsia="幼圆" w:cs="幼圆"/>
                <w:sz w:val="21"/>
                <w:szCs w:val="21"/>
              </w:rPr>
              <w:t>注册监理工程师在拟派人员中所占比例</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right="163" w:rightChars="74"/>
              <w:jc w:val="both"/>
              <w:textAlignment w:val="auto"/>
              <w:rPr>
                <w:rFonts w:hint="eastAsia" w:ascii="幼圆" w:hAnsi="幼圆" w:eastAsia="幼圆" w:cs="幼圆"/>
                <w:sz w:val="21"/>
                <w:szCs w:val="21"/>
                <w:lang w:eastAsia="zh-CN"/>
              </w:rPr>
            </w:pPr>
            <w:r>
              <w:rPr>
                <w:rFonts w:hint="eastAsia" w:ascii="幼圆" w:hAnsi="幼圆" w:eastAsia="幼圆" w:cs="幼圆"/>
                <w:sz w:val="21"/>
                <w:szCs w:val="21"/>
              </w:rPr>
              <w:t>①所占比例50%（含）以上得</w:t>
            </w:r>
            <w:r>
              <w:rPr>
                <w:rFonts w:hint="eastAsia" w:ascii="幼圆" w:hAnsi="幼圆" w:eastAsia="幼圆" w:cs="幼圆"/>
                <w:sz w:val="21"/>
                <w:szCs w:val="21"/>
                <w:lang w:val="en-US" w:eastAsia="zh-CN"/>
              </w:rPr>
              <w:t>3</w:t>
            </w:r>
            <w:r>
              <w:rPr>
                <w:rFonts w:hint="eastAsia" w:ascii="幼圆" w:hAnsi="幼圆" w:eastAsia="幼圆" w:cs="幼圆"/>
                <w:sz w:val="21"/>
                <w:szCs w:val="21"/>
              </w:rPr>
              <w:t>分</w:t>
            </w:r>
            <w:r>
              <w:rPr>
                <w:rFonts w:hint="eastAsia" w:ascii="幼圆" w:hAnsi="幼圆" w:eastAsia="幼圆" w:cs="幼圆"/>
                <w:sz w:val="21"/>
                <w:szCs w:val="21"/>
                <w:lang w:eastAsia="zh-CN"/>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right="163" w:rightChars="74"/>
              <w:jc w:val="both"/>
              <w:textAlignment w:val="auto"/>
              <w:rPr>
                <w:rFonts w:hint="eastAsia" w:ascii="幼圆" w:hAnsi="幼圆" w:eastAsia="幼圆" w:cs="幼圆"/>
                <w:sz w:val="21"/>
                <w:szCs w:val="21"/>
                <w:lang w:eastAsia="zh-CN"/>
              </w:rPr>
            </w:pPr>
            <w:r>
              <w:rPr>
                <w:rFonts w:hint="eastAsia" w:ascii="幼圆" w:hAnsi="幼圆" w:eastAsia="幼圆" w:cs="幼圆"/>
                <w:sz w:val="21"/>
                <w:szCs w:val="21"/>
              </w:rPr>
              <w:t>②所占比例30%（含）-50%得</w:t>
            </w:r>
            <w:r>
              <w:rPr>
                <w:rFonts w:hint="eastAsia" w:ascii="幼圆" w:hAnsi="幼圆" w:eastAsia="幼圆" w:cs="幼圆"/>
                <w:sz w:val="21"/>
                <w:szCs w:val="21"/>
                <w:lang w:val="en-US" w:eastAsia="zh-CN"/>
              </w:rPr>
              <w:t>1</w:t>
            </w:r>
            <w:r>
              <w:rPr>
                <w:rFonts w:hint="eastAsia" w:ascii="幼圆" w:hAnsi="幼圆" w:eastAsia="幼圆" w:cs="幼圆"/>
                <w:sz w:val="21"/>
                <w:szCs w:val="21"/>
              </w:rPr>
              <w:t>分</w:t>
            </w:r>
            <w:r>
              <w:rPr>
                <w:rFonts w:hint="eastAsia" w:ascii="幼圆" w:hAnsi="幼圆" w:eastAsia="幼圆" w:cs="幼圆"/>
                <w:sz w:val="21"/>
                <w:szCs w:val="21"/>
                <w:lang w:eastAsia="zh-CN"/>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right="163" w:rightChars="74"/>
              <w:jc w:val="both"/>
              <w:textAlignment w:val="auto"/>
              <w:rPr>
                <w:rFonts w:hint="eastAsia" w:ascii="幼圆" w:hAnsi="幼圆" w:eastAsia="幼圆" w:cs="幼圆"/>
                <w:sz w:val="21"/>
                <w:szCs w:val="21"/>
                <w:lang w:eastAsia="zh-CN"/>
              </w:rPr>
            </w:pPr>
            <w:r>
              <w:rPr>
                <w:rFonts w:hint="eastAsia" w:ascii="幼圆" w:hAnsi="幼圆" w:eastAsia="幼圆" w:cs="幼圆"/>
                <w:sz w:val="21"/>
                <w:szCs w:val="21"/>
              </w:rPr>
              <w:t>③所占比例30%（不含）以下不得分</w:t>
            </w:r>
            <w:r>
              <w:rPr>
                <w:rFonts w:hint="eastAsia" w:ascii="幼圆" w:hAnsi="幼圆" w:eastAsia="幼圆" w:cs="幼圆"/>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03"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7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rPr>
            </w:pPr>
          </w:p>
        </w:tc>
        <w:tc>
          <w:tcPr>
            <w:tcW w:w="1125"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20" w:leftChars="100" w:right="167" w:rightChars="76"/>
              <w:jc w:val="center"/>
              <w:textAlignment w:val="auto"/>
              <w:rPr>
                <w:rFonts w:hint="eastAsia" w:ascii="幼圆" w:hAnsi="幼圆" w:eastAsia="幼圆" w:cs="幼圆"/>
                <w:sz w:val="21"/>
                <w:szCs w:val="21"/>
              </w:rPr>
            </w:pPr>
          </w:p>
        </w:tc>
        <w:tc>
          <w:tcPr>
            <w:tcW w:w="1125" w:type="dxa"/>
            <w:vAlign w:val="center"/>
          </w:tcPr>
          <w:p>
            <w:pPr>
              <w:keepNext w:val="0"/>
              <w:keepLines w:val="0"/>
              <w:pageBreakBefore w:val="0"/>
              <w:widowControl/>
              <w:suppressLineNumbers w:val="0"/>
              <w:kinsoku/>
              <w:wordWrap/>
              <w:overflowPunct/>
              <w:topLinePunct w:val="0"/>
              <w:autoSpaceDE/>
              <w:autoSpaceDN/>
              <w:bidi w:val="0"/>
              <w:adjustRightInd/>
              <w:snapToGrid/>
              <w:spacing w:before="60" w:beforeLines="25" w:beforeAutospacing="0" w:after="60" w:afterLines="25" w:afterAutospacing="0" w:line="240" w:lineRule="exact"/>
              <w:ind w:left="0" w:right="0"/>
              <w:jc w:val="center"/>
              <w:textAlignment w:val="auto"/>
              <w:rPr>
                <w:rFonts w:hint="eastAsia" w:ascii="幼圆" w:hAnsi="幼圆" w:eastAsia="幼圆" w:cs="幼圆"/>
                <w:kern w:val="2"/>
                <w:sz w:val="21"/>
                <w:szCs w:val="21"/>
                <w:lang w:val="en-US" w:eastAsia="zh-CN"/>
              </w:rPr>
            </w:pPr>
            <w:r>
              <w:rPr>
                <w:rFonts w:hint="eastAsia" w:ascii="幼圆" w:hAnsi="幼圆" w:eastAsia="幼圆" w:cs="幼圆"/>
                <w:kern w:val="2"/>
                <w:sz w:val="21"/>
                <w:szCs w:val="21"/>
                <w:lang w:val="en-US" w:eastAsia="zh-CN"/>
              </w:rPr>
              <w:t>3</w:t>
            </w:r>
          </w:p>
        </w:tc>
        <w:tc>
          <w:tcPr>
            <w:tcW w:w="6668"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right="163" w:rightChars="74"/>
              <w:jc w:val="both"/>
              <w:textAlignment w:val="auto"/>
              <w:rPr>
                <w:rFonts w:hint="eastAsia" w:ascii="幼圆" w:hAnsi="幼圆" w:eastAsia="幼圆" w:cs="幼圆"/>
                <w:sz w:val="21"/>
                <w:szCs w:val="21"/>
              </w:rPr>
            </w:pPr>
            <w:r>
              <w:rPr>
                <w:rFonts w:hint="eastAsia" w:ascii="幼圆" w:hAnsi="幼圆" w:eastAsia="幼圆" w:cs="幼圆"/>
                <w:sz w:val="21"/>
                <w:szCs w:val="21"/>
              </w:rPr>
              <w:t>专业齐全</w:t>
            </w:r>
            <w:r>
              <w:rPr>
                <w:rFonts w:hint="eastAsia" w:ascii="幼圆" w:hAnsi="幼圆" w:eastAsia="幼圆" w:cs="幼圆"/>
                <w:sz w:val="21"/>
                <w:szCs w:val="21"/>
                <w:lang w:val="en-US" w:eastAsia="zh-CN"/>
              </w:rPr>
              <w:t>得3</w:t>
            </w:r>
            <w:r>
              <w:rPr>
                <w:rFonts w:hint="eastAsia" w:ascii="幼圆" w:hAnsi="幼圆" w:eastAsia="幼圆" w:cs="幼圆"/>
                <w:sz w:val="21"/>
                <w:szCs w:val="21"/>
              </w:rPr>
              <w:t>分；专业基本齐全</w:t>
            </w:r>
            <w:r>
              <w:rPr>
                <w:rFonts w:hint="eastAsia" w:ascii="幼圆" w:hAnsi="幼圆" w:eastAsia="幼圆" w:cs="幼圆"/>
                <w:sz w:val="21"/>
                <w:szCs w:val="21"/>
                <w:lang w:val="en-US" w:eastAsia="zh-CN"/>
              </w:rPr>
              <w:t>得1</w:t>
            </w:r>
            <w:r>
              <w:rPr>
                <w:rFonts w:hint="eastAsia" w:ascii="幼圆" w:hAnsi="幼圆" w:eastAsia="幼圆" w:cs="幼圆"/>
                <w:sz w:val="21"/>
                <w:szCs w:val="21"/>
              </w:rPr>
              <w:t>分；专业欠缺</w:t>
            </w:r>
            <w:r>
              <w:rPr>
                <w:rFonts w:hint="eastAsia" w:ascii="幼圆" w:hAnsi="幼圆" w:eastAsia="幼圆" w:cs="幼圆"/>
                <w:sz w:val="21"/>
                <w:szCs w:val="21"/>
                <w:lang w:val="en-US" w:eastAsia="zh-CN"/>
              </w:rPr>
              <w:t>得</w:t>
            </w:r>
            <w:r>
              <w:rPr>
                <w:rFonts w:hint="eastAsia" w:ascii="幼圆" w:hAnsi="幼圆" w:eastAsia="幼圆" w:cs="幼圆"/>
                <w:sz w:val="21"/>
                <w:szCs w:val="21"/>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 w:hRule="atLeast"/>
        </w:trPr>
        <w:tc>
          <w:tcPr>
            <w:tcW w:w="703"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lang w:eastAsia="zh-CN"/>
              </w:rPr>
            </w:pPr>
            <w:r>
              <w:rPr>
                <w:rFonts w:hint="eastAsia" w:ascii="幼圆" w:hAnsi="幼圆" w:eastAsia="幼圆" w:cs="幼圆"/>
                <w:kern w:val="2"/>
                <w:sz w:val="21"/>
                <w:szCs w:val="21"/>
                <w:lang w:val="en-US" w:eastAsia="zh-CN"/>
              </w:rPr>
              <w:t>3</w:t>
            </w:r>
          </w:p>
        </w:tc>
        <w:tc>
          <w:tcPr>
            <w:tcW w:w="1170" w:type="dxa"/>
            <w:vAlign w:val="center"/>
          </w:tcPr>
          <w:p>
            <w:pPr>
              <w:pStyle w:val="173"/>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幼圆" w:hAnsi="幼圆" w:eastAsia="幼圆" w:cs="幼圆"/>
                <w:sz w:val="21"/>
                <w:szCs w:val="21"/>
                <w:lang w:eastAsia="zh-CN"/>
              </w:rPr>
            </w:pPr>
            <w:r>
              <w:rPr>
                <w:rFonts w:hint="eastAsia" w:ascii="幼圆" w:hAnsi="幼圆" w:eastAsia="幼圆" w:cs="幼圆"/>
                <w:sz w:val="21"/>
                <w:szCs w:val="21"/>
                <w:lang w:val="en-US" w:eastAsia="zh-CN"/>
              </w:rPr>
              <w:t>商务部分</w:t>
            </w:r>
            <w:r>
              <w:rPr>
                <w:rFonts w:hint="eastAsia" w:ascii="幼圆" w:hAnsi="幼圆" w:eastAsia="幼圆" w:cs="幼圆"/>
                <w:sz w:val="21"/>
                <w:szCs w:val="21"/>
                <w:lang w:eastAsia="zh-CN"/>
              </w:rPr>
              <w:t>（</w:t>
            </w:r>
            <w:r>
              <w:rPr>
                <w:rFonts w:hint="eastAsia" w:ascii="幼圆" w:hAnsi="幼圆" w:eastAsia="幼圆" w:cs="幼圆"/>
                <w:sz w:val="21"/>
                <w:szCs w:val="21"/>
                <w:lang w:val="en-US" w:eastAsia="zh-CN"/>
              </w:rPr>
              <w:t>15分</w:t>
            </w:r>
            <w:r>
              <w:rPr>
                <w:rFonts w:hint="eastAsia" w:ascii="幼圆" w:hAnsi="幼圆" w:eastAsia="幼圆" w:cs="幼圆"/>
                <w:sz w:val="21"/>
                <w:szCs w:val="21"/>
                <w:lang w:eastAsia="zh-CN"/>
              </w:rPr>
              <w:t>）</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20" w:leftChars="100" w:right="167" w:rightChars="76"/>
              <w:jc w:val="center"/>
              <w:textAlignment w:val="auto"/>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类似项目业绩</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幼圆" w:hAnsi="幼圆" w:eastAsia="幼圆" w:cs="幼圆"/>
                <w:kern w:val="2"/>
                <w:sz w:val="21"/>
                <w:szCs w:val="21"/>
                <w:lang w:val="en-US" w:eastAsia="zh-CN"/>
              </w:rPr>
            </w:pPr>
            <w:r>
              <w:rPr>
                <w:rFonts w:hint="eastAsia" w:ascii="幼圆" w:hAnsi="幼圆" w:eastAsia="幼圆" w:cs="幼圆"/>
                <w:kern w:val="2"/>
                <w:sz w:val="21"/>
                <w:szCs w:val="21"/>
                <w:lang w:val="en-US" w:eastAsia="zh-CN"/>
              </w:rPr>
              <w:t>15</w:t>
            </w:r>
          </w:p>
        </w:tc>
        <w:tc>
          <w:tcPr>
            <w:tcW w:w="6668"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right="163" w:rightChars="74"/>
              <w:jc w:val="both"/>
              <w:textAlignment w:val="auto"/>
              <w:rPr>
                <w:rFonts w:hint="eastAsia" w:ascii="幼圆" w:hAnsi="幼圆" w:eastAsia="幼圆" w:cs="幼圆"/>
                <w:sz w:val="21"/>
                <w:szCs w:val="21"/>
              </w:rPr>
            </w:pPr>
            <w:r>
              <w:rPr>
                <w:rFonts w:hint="eastAsia" w:ascii="幼圆" w:hAnsi="幼圆" w:eastAsia="幼圆" w:cs="幼圆"/>
                <w:sz w:val="21"/>
                <w:szCs w:val="21"/>
              </w:rPr>
              <w:t>每提供1个得3分，最高得15分。未提供有效证明材料的项目业绩在评标时将不予认可。</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right="163" w:rightChars="74"/>
              <w:jc w:val="both"/>
              <w:textAlignment w:val="auto"/>
              <w:rPr>
                <w:rFonts w:hint="eastAsia" w:ascii="幼圆" w:hAnsi="幼圆" w:eastAsia="幼圆" w:cs="幼圆"/>
                <w:sz w:val="21"/>
                <w:szCs w:val="21"/>
              </w:rPr>
            </w:pPr>
            <w:r>
              <w:rPr>
                <w:rFonts w:hint="eastAsia" w:ascii="幼圆" w:hAnsi="幼圆" w:eastAsia="幼圆" w:cs="幼圆"/>
                <w:sz w:val="21"/>
                <w:szCs w:val="21"/>
              </w:rPr>
              <w:t>说明：评分项类似业绩，仅限于近三年（20</w:t>
            </w:r>
            <w:r>
              <w:rPr>
                <w:rFonts w:hint="eastAsia" w:ascii="幼圆" w:hAnsi="幼圆" w:eastAsia="幼圆" w:cs="幼圆"/>
                <w:sz w:val="21"/>
                <w:szCs w:val="21"/>
                <w:lang w:val="en-US" w:eastAsia="zh-CN"/>
              </w:rPr>
              <w:t>23</w:t>
            </w:r>
            <w:r>
              <w:rPr>
                <w:rFonts w:hint="eastAsia" w:ascii="幼圆" w:hAnsi="幼圆" w:eastAsia="幼圆" w:cs="幼圆"/>
                <w:sz w:val="21"/>
                <w:szCs w:val="21"/>
              </w:rPr>
              <w:t>年</w:t>
            </w:r>
            <w:r>
              <w:rPr>
                <w:rFonts w:hint="eastAsia" w:ascii="幼圆" w:hAnsi="幼圆" w:eastAsia="幼圆" w:cs="幼圆"/>
                <w:sz w:val="21"/>
                <w:szCs w:val="21"/>
                <w:lang w:val="en-US" w:eastAsia="zh-CN"/>
              </w:rPr>
              <w:t>1</w:t>
            </w:r>
            <w:r>
              <w:rPr>
                <w:rFonts w:hint="eastAsia" w:ascii="幼圆" w:hAnsi="幼圆" w:eastAsia="幼圆" w:cs="幼圆"/>
                <w:sz w:val="21"/>
                <w:szCs w:val="21"/>
              </w:rPr>
              <w:t>月1日至今）已完工的</w:t>
            </w:r>
            <w:r>
              <w:rPr>
                <w:rFonts w:hint="eastAsia" w:ascii="幼圆" w:hAnsi="幼圆" w:eastAsia="幼圆" w:cs="幼圆"/>
                <w:sz w:val="21"/>
                <w:szCs w:val="21"/>
                <w:lang w:val="en-US" w:eastAsia="zh-CN"/>
              </w:rPr>
              <w:t>与本项目类似的</w:t>
            </w:r>
            <w:r>
              <w:rPr>
                <w:rFonts w:hint="eastAsia" w:ascii="幼圆" w:hAnsi="幼圆" w:eastAsia="幼圆" w:cs="幼圆"/>
                <w:sz w:val="21"/>
                <w:szCs w:val="21"/>
              </w:rPr>
              <w:t>工程项目监理。须提供清单及相关证明文件（证明文件包括监理合同的关键页复印件并加盖单位章，包含合同的首页、金额页、签字盖章页等复印件）。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 w:hRule="atLeast"/>
        </w:trPr>
        <w:tc>
          <w:tcPr>
            <w:tcW w:w="703"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kern w:val="2"/>
                <w:sz w:val="21"/>
                <w:szCs w:val="21"/>
                <w:lang w:val="en-US" w:eastAsia="zh-CN"/>
              </w:rPr>
            </w:pPr>
            <w:r>
              <w:rPr>
                <w:rFonts w:hint="eastAsia" w:ascii="幼圆" w:hAnsi="幼圆" w:eastAsia="幼圆" w:cs="幼圆"/>
                <w:kern w:val="2"/>
                <w:sz w:val="21"/>
                <w:szCs w:val="21"/>
                <w:lang w:val="en-US" w:eastAsia="zh-CN"/>
              </w:rPr>
              <w:t>4</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技术部分</w:t>
            </w:r>
          </w:p>
          <w:p>
            <w:pPr>
              <w:pStyle w:val="173"/>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（26分）</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20" w:leftChars="100" w:right="167" w:rightChars="76"/>
              <w:jc w:val="center"/>
              <w:textAlignment w:val="auto"/>
              <w:rPr>
                <w:rFonts w:hint="eastAsia" w:ascii="幼圆" w:hAnsi="幼圆" w:eastAsia="幼圆" w:cs="幼圆"/>
                <w:sz w:val="21"/>
                <w:szCs w:val="21"/>
                <w:lang w:val="en-US" w:eastAsia="zh-CN"/>
              </w:rPr>
            </w:pPr>
            <w:r>
              <w:rPr>
                <w:rFonts w:hint="eastAsia" w:ascii="幼圆" w:hAnsi="幼圆" w:eastAsia="幼圆" w:cs="幼圆"/>
                <w:sz w:val="21"/>
                <w:szCs w:val="21"/>
                <w:lang w:val="en-US" w:eastAsia="zh-CN"/>
              </w:rPr>
              <w:t>对需求文件响应程度</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幼圆" w:hAnsi="幼圆" w:eastAsia="幼圆" w:cs="幼圆"/>
                <w:kern w:val="2"/>
                <w:sz w:val="21"/>
                <w:szCs w:val="21"/>
                <w:lang w:val="en-US" w:eastAsia="zh-CN"/>
              </w:rPr>
            </w:pPr>
            <w:r>
              <w:rPr>
                <w:rFonts w:hint="eastAsia" w:ascii="幼圆" w:hAnsi="幼圆" w:eastAsia="幼圆" w:cs="幼圆"/>
                <w:kern w:val="2"/>
                <w:sz w:val="21"/>
                <w:szCs w:val="21"/>
                <w:lang w:val="en-US" w:eastAsia="zh-CN"/>
              </w:rPr>
              <w:t>26</w:t>
            </w:r>
          </w:p>
        </w:tc>
        <w:tc>
          <w:tcPr>
            <w:tcW w:w="6668" w:type="dxa"/>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幼圆" w:hAnsi="幼圆" w:eastAsia="幼圆" w:cs="幼圆"/>
                <w:color w:val="000000"/>
                <w:kern w:val="0"/>
                <w:sz w:val="21"/>
                <w:szCs w:val="21"/>
                <w:lang w:val="en-US" w:eastAsia="zh-CN" w:bidi="ar"/>
              </w:rPr>
            </w:pPr>
            <w:r>
              <w:rPr>
                <w:rFonts w:hint="eastAsia" w:ascii="幼圆" w:hAnsi="幼圆" w:eastAsia="幼圆" w:cs="幼圆"/>
                <w:color w:val="000000"/>
                <w:kern w:val="0"/>
                <w:sz w:val="21"/>
                <w:szCs w:val="21"/>
                <w:lang w:val="en-US" w:eastAsia="zh-CN" w:bidi="ar"/>
              </w:rPr>
              <w:t>招标文件第五章</w:t>
            </w:r>
            <w:r>
              <w:rPr>
                <w:rFonts w:hint="eastAsia" w:ascii="幼圆" w:hAnsi="幼圆" w:eastAsia="幼圆" w:cs="幼圆"/>
                <w:color w:val="000000"/>
                <w:kern w:val="0"/>
                <w:sz w:val="21"/>
                <w:szCs w:val="21"/>
                <w:lang w:bidi="ar"/>
              </w:rPr>
              <w:t xml:space="preserve"> </w:t>
            </w:r>
            <w:r>
              <w:rPr>
                <w:rFonts w:hint="eastAsia" w:ascii="幼圆" w:hAnsi="幼圆" w:eastAsia="幼圆" w:cs="幼圆"/>
                <w:color w:val="000000"/>
                <w:kern w:val="0"/>
                <w:sz w:val="21"/>
                <w:szCs w:val="21"/>
                <w:lang w:val="en-US" w:eastAsia="zh-CN" w:bidi="ar"/>
              </w:rPr>
              <w:t>采购需求</w:t>
            </w:r>
            <w:r>
              <w:rPr>
                <w:rFonts w:hint="eastAsia" w:ascii="幼圆" w:hAnsi="幼圆" w:eastAsia="幼圆" w:cs="幼圆"/>
                <w:color w:val="000000"/>
                <w:kern w:val="0"/>
                <w:sz w:val="21"/>
                <w:szCs w:val="21"/>
                <w:lang w:bidi="ar"/>
              </w:rPr>
              <w:t xml:space="preserve"> 三、</w:t>
            </w:r>
            <w:r>
              <w:rPr>
                <w:rFonts w:hint="eastAsia" w:ascii="幼圆" w:hAnsi="幼圆" w:eastAsia="幼圆" w:cs="幼圆"/>
                <w:color w:val="000000"/>
                <w:kern w:val="0"/>
                <w:sz w:val="21"/>
                <w:szCs w:val="21"/>
                <w:lang w:val="en-US" w:eastAsia="zh-CN" w:bidi="ar"/>
              </w:rPr>
              <w:t>服务内容</w:t>
            </w:r>
            <w:r>
              <w:rPr>
                <w:rFonts w:hint="eastAsia" w:ascii="幼圆" w:hAnsi="幼圆" w:eastAsia="幼圆" w:cs="幼圆"/>
                <w:color w:val="000000"/>
                <w:kern w:val="0"/>
                <w:sz w:val="21"/>
                <w:szCs w:val="21"/>
                <w:lang w:eastAsia="zh-CN" w:bidi="ar"/>
              </w:rPr>
              <w:t>，</w:t>
            </w:r>
            <w:r>
              <w:rPr>
                <w:rFonts w:hint="eastAsia" w:ascii="幼圆" w:hAnsi="幼圆" w:eastAsia="幼圆" w:cs="幼圆"/>
                <w:color w:val="000000"/>
                <w:kern w:val="0"/>
                <w:sz w:val="21"/>
                <w:szCs w:val="21"/>
                <w:lang w:val="en-US" w:eastAsia="zh-CN" w:bidi="ar"/>
              </w:rPr>
              <w:t>共13条，每有一条一般指标全部满足或优于比选文件要求时得2分，否则得0分；最高得26分。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right="163" w:rightChars="74"/>
              <w:jc w:val="both"/>
              <w:textAlignment w:val="auto"/>
              <w:rPr>
                <w:rFonts w:hint="eastAsia" w:ascii="幼圆" w:hAnsi="幼圆" w:eastAsia="幼圆" w:cs="幼圆"/>
                <w:sz w:val="21"/>
                <w:szCs w:val="21"/>
                <w:lang w:val="en-US" w:eastAsia="zh-CN"/>
              </w:rPr>
            </w:pPr>
            <w:r>
              <w:rPr>
                <w:rFonts w:hint="eastAsia" w:ascii="幼圆" w:hAnsi="幼圆" w:eastAsia="幼圆" w:cs="幼圆"/>
                <w:color w:val="000000"/>
                <w:kern w:val="0"/>
                <w:sz w:val="21"/>
                <w:szCs w:val="21"/>
                <w:lang w:val="en-US" w:eastAsia="zh-CN" w:bidi="ar"/>
              </w:rPr>
              <w:t>注：漏报条款视为该条不满足。</w:t>
            </w:r>
          </w:p>
        </w:tc>
      </w:tr>
    </w:tbl>
    <w:p>
      <w:pPr>
        <w:numPr>
          <w:ilvl w:val="0"/>
          <w:numId w:val="0"/>
        </w:numPr>
        <w:spacing w:after="0" w:line="360" w:lineRule="auto"/>
        <w:jc w:val="both"/>
        <w:rPr>
          <w:rFonts w:hint="eastAsia" w:ascii="幼圆" w:hAnsi="幼圆" w:eastAsia="幼圆" w:cs="幼圆"/>
          <w:color w:val="FF0000"/>
          <w:kern w:val="2"/>
          <w:highlight w:val="none"/>
          <w:lang w:val="zh-CN" w:bidi="zh-CN"/>
        </w:rPr>
      </w:pPr>
    </w:p>
    <w:p>
      <w:pPr>
        <w:pStyle w:val="170"/>
        <w:spacing w:line="360" w:lineRule="auto"/>
        <w:ind w:firstLine="0" w:firstLineChars="0"/>
        <w:rPr>
          <w:rFonts w:hint="eastAsia" w:ascii="幼圆" w:hAnsi="幼圆" w:eastAsia="幼圆" w:cs="幼圆"/>
          <w:sz w:val="24"/>
          <w:szCs w:val="24"/>
        </w:rPr>
      </w:pPr>
    </w:p>
    <w:p>
      <w:pPr>
        <w:tabs>
          <w:tab w:val="left" w:pos="1462"/>
        </w:tabs>
        <w:bidi w:val="0"/>
        <w:spacing w:line="360" w:lineRule="auto"/>
        <w:jc w:val="left"/>
        <w:rPr>
          <w:rFonts w:hint="eastAsia" w:ascii="幼圆" w:hAnsi="幼圆" w:eastAsia="幼圆" w:cs="幼圆"/>
          <w:b/>
          <w:bCs/>
          <w:sz w:val="24"/>
          <w:szCs w:val="24"/>
          <w:lang w:val="en-US" w:eastAsia="zh-CN"/>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2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ourier">
    <w:panose1 w:val="02060409020205020404"/>
    <w:charset w:val="00"/>
    <w:family w:val="auto"/>
    <w:pitch w:val="default"/>
    <w:sig w:usb0="00000007" w:usb1="00000000" w:usb2="00000000" w:usb3="00000000" w:csb0="00000093"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幼圆">
    <w:panose1 w:val="0201050906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01158A"/>
    <w:multiLevelType w:val="singleLevel"/>
    <w:tmpl w:val="B801158A"/>
    <w:lvl w:ilvl="0" w:tentative="0">
      <w:start w:val="2"/>
      <w:numFmt w:val="chineseCounting"/>
      <w:suff w:val="nothing"/>
      <w:lvlText w:val="%1、"/>
      <w:lvlJc w:val="left"/>
      <w:rPr>
        <w:rFonts w:hint="eastAsia"/>
      </w:rPr>
    </w:lvl>
  </w:abstractNum>
  <w:abstractNum w:abstractNumId="1">
    <w:nsid w:val="FFFFFF7E"/>
    <w:multiLevelType w:val="singleLevel"/>
    <w:tmpl w:val="FFFFFF7E"/>
    <w:lvl w:ilvl="0" w:tentative="0">
      <w:start w:val="1"/>
      <w:numFmt w:val="decimal"/>
      <w:pStyle w:val="22"/>
      <w:lvlText w:val="%1."/>
      <w:lvlJc w:val="left"/>
      <w:pPr>
        <w:tabs>
          <w:tab w:val="left" w:pos="1080"/>
        </w:tabs>
        <w:ind w:left="1080" w:hanging="360"/>
      </w:pPr>
    </w:lvl>
  </w:abstractNum>
  <w:abstractNum w:abstractNumId="2">
    <w:nsid w:val="FFFFFF7F"/>
    <w:multiLevelType w:val="singleLevel"/>
    <w:tmpl w:val="FFFFFF7F"/>
    <w:lvl w:ilvl="0" w:tentative="0">
      <w:start w:val="1"/>
      <w:numFmt w:val="decimal"/>
      <w:pStyle w:val="14"/>
      <w:lvlText w:val="%1."/>
      <w:lvlJc w:val="left"/>
      <w:pPr>
        <w:tabs>
          <w:tab w:val="left" w:pos="720"/>
        </w:tabs>
        <w:ind w:left="720" w:hanging="360"/>
      </w:pPr>
    </w:lvl>
  </w:abstractNum>
  <w:abstractNum w:abstractNumId="3">
    <w:nsid w:val="FFFFFF82"/>
    <w:multiLevelType w:val="singleLevel"/>
    <w:tmpl w:val="FFFFFF82"/>
    <w:lvl w:ilvl="0" w:tentative="0">
      <w:start w:val="1"/>
      <w:numFmt w:val="bullet"/>
      <w:pStyle w:val="20"/>
      <w:lvlText w:val=""/>
      <w:lvlJc w:val="left"/>
      <w:pPr>
        <w:tabs>
          <w:tab w:val="left" w:pos="1080"/>
        </w:tabs>
        <w:ind w:left="1080" w:hanging="360"/>
      </w:pPr>
      <w:rPr>
        <w:rFonts w:hint="default" w:ascii="Symbol" w:hAnsi="Symbol"/>
      </w:rPr>
    </w:lvl>
  </w:abstractNum>
  <w:abstractNum w:abstractNumId="4">
    <w:nsid w:val="FFFFFF83"/>
    <w:multiLevelType w:val="singleLevel"/>
    <w:tmpl w:val="FFFFFF83"/>
    <w:lvl w:ilvl="0" w:tentative="0">
      <w:start w:val="1"/>
      <w:numFmt w:val="bullet"/>
      <w:pStyle w:val="25"/>
      <w:lvlText w:val=""/>
      <w:lvlJc w:val="left"/>
      <w:pPr>
        <w:tabs>
          <w:tab w:val="left" w:pos="720"/>
        </w:tabs>
        <w:ind w:left="720" w:hanging="360"/>
      </w:pPr>
      <w:rPr>
        <w:rFonts w:hint="default" w:ascii="Symbol" w:hAnsi="Symbol"/>
      </w:rPr>
    </w:lvl>
  </w:abstractNum>
  <w:abstractNum w:abstractNumId="5">
    <w:nsid w:val="FFFFFF88"/>
    <w:multiLevelType w:val="singleLevel"/>
    <w:tmpl w:val="FFFFFF88"/>
    <w:lvl w:ilvl="0" w:tentative="0">
      <w:start w:val="1"/>
      <w:numFmt w:val="decimal"/>
      <w:pStyle w:val="15"/>
      <w:lvlText w:val="%1."/>
      <w:lvlJc w:val="left"/>
      <w:pPr>
        <w:tabs>
          <w:tab w:val="left" w:pos="360"/>
        </w:tabs>
        <w:ind w:left="360" w:hanging="360"/>
      </w:pPr>
    </w:lvl>
  </w:abstractNum>
  <w:abstractNum w:abstractNumId="6">
    <w:nsid w:val="FFFFFF89"/>
    <w:multiLevelType w:val="singleLevel"/>
    <w:tmpl w:val="FFFFFF89"/>
    <w:lvl w:ilvl="0" w:tentative="0">
      <w:start w:val="1"/>
      <w:numFmt w:val="bullet"/>
      <w:pStyle w:val="17"/>
      <w:lvlText w:val=""/>
      <w:lvlJc w:val="left"/>
      <w:pPr>
        <w:tabs>
          <w:tab w:val="left" w:pos="360"/>
        </w:tabs>
        <w:ind w:left="360" w:hanging="360"/>
      </w:pPr>
      <w:rPr>
        <w:rFonts w:hint="default" w:ascii="Symbol" w:hAnsi="Symbol"/>
      </w:rPr>
    </w:lvl>
  </w:abstractNum>
  <w:abstractNum w:abstractNumId="7">
    <w:nsid w:val="433F00E0"/>
    <w:multiLevelType w:val="multilevel"/>
    <w:tmpl w:val="433F00E0"/>
    <w:lvl w:ilvl="0" w:tentative="0">
      <w:start w:val="1"/>
      <w:numFmt w:val="decimal"/>
      <w:pStyle w:val="172"/>
      <w:suff w:val="nothing"/>
      <w:lvlText w:val="（%1）"/>
      <w:lvlJc w:val="left"/>
      <w:pPr>
        <w:ind w:left="1413"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8369C7"/>
    <w:rsid w:val="00AA1D8D"/>
    <w:rsid w:val="00B47730"/>
    <w:rsid w:val="00CB0664"/>
    <w:rsid w:val="00FC693F"/>
    <w:rsid w:val="015A556D"/>
    <w:rsid w:val="039B035C"/>
    <w:rsid w:val="03DC6164"/>
    <w:rsid w:val="05B922DB"/>
    <w:rsid w:val="06247180"/>
    <w:rsid w:val="08CA0C86"/>
    <w:rsid w:val="0ADE0A96"/>
    <w:rsid w:val="0B9760F9"/>
    <w:rsid w:val="0F553938"/>
    <w:rsid w:val="113329E6"/>
    <w:rsid w:val="117F262B"/>
    <w:rsid w:val="12A90D4E"/>
    <w:rsid w:val="12C56763"/>
    <w:rsid w:val="1990077F"/>
    <w:rsid w:val="1BE71C78"/>
    <w:rsid w:val="1F3C1C4F"/>
    <w:rsid w:val="1F5F6D41"/>
    <w:rsid w:val="202408C8"/>
    <w:rsid w:val="205F522A"/>
    <w:rsid w:val="210C0BC6"/>
    <w:rsid w:val="229B3C09"/>
    <w:rsid w:val="22E24F49"/>
    <w:rsid w:val="24392B0D"/>
    <w:rsid w:val="25D77D3F"/>
    <w:rsid w:val="26B26BA7"/>
    <w:rsid w:val="27372964"/>
    <w:rsid w:val="27BD3A55"/>
    <w:rsid w:val="2BE26EA2"/>
    <w:rsid w:val="2C5F3B91"/>
    <w:rsid w:val="2D056703"/>
    <w:rsid w:val="2DA44891"/>
    <w:rsid w:val="2F6E5F01"/>
    <w:rsid w:val="31321010"/>
    <w:rsid w:val="313F5CD8"/>
    <w:rsid w:val="347B53E1"/>
    <w:rsid w:val="34813790"/>
    <w:rsid w:val="35A3178F"/>
    <w:rsid w:val="35BA5B31"/>
    <w:rsid w:val="377C3B60"/>
    <w:rsid w:val="381A7AE8"/>
    <w:rsid w:val="386E2923"/>
    <w:rsid w:val="39577622"/>
    <w:rsid w:val="397720D5"/>
    <w:rsid w:val="3D3FEA48"/>
    <w:rsid w:val="3DAB702F"/>
    <w:rsid w:val="3DBFD295"/>
    <w:rsid w:val="3DF35805"/>
    <w:rsid w:val="3E543B04"/>
    <w:rsid w:val="3E9B6EC4"/>
    <w:rsid w:val="3EBA3A53"/>
    <w:rsid w:val="40E40ADC"/>
    <w:rsid w:val="411538B7"/>
    <w:rsid w:val="41536D26"/>
    <w:rsid w:val="41BE02EE"/>
    <w:rsid w:val="44DB5B25"/>
    <w:rsid w:val="455507B5"/>
    <w:rsid w:val="45A73923"/>
    <w:rsid w:val="469F2EE7"/>
    <w:rsid w:val="47091014"/>
    <w:rsid w:val="476165B4"/>
    <w:rsid w:val="48D90193"/>
    <w:rsid w:val="491E21A3"/>
    <w:rsid w:val="49F927E9"/>
    <w:rsid w:val="4AEF402B"/>
    <w:rsid w:val="4D5C393A"/>
    <w:rsid w:val="4FC375E6"/>
    <w:rsid w:val="502A0955"/>
    <w:rsid w:val="5257047F"/>
    <w:rsid w:val="537D6985"/>
    <w:rsid w:val="53ED7FA3"/>
    <w:rsid w:val="548B5756"/>
    <w:rsid w:val="56A9ACE5"/>
    <w:rsid w:val="574D52F6"/>
    <w:rsid w:val="57F124B8"/>
    <w:rsid w:val="5E4C798F"/>
    <w:rsid w:val="5F165949"/>
    <w:rsid w:val="5FEFBD42"/>
    <w:rsid w:val="62BB227D"/>
    <w:rsid w:val="63A6046B"/>
    <w:rsid w:val="64690EAB"/>
    <w:rsid w:val="68860CA5"/>
    <w:rsid w:val="69281BE2"/>
    <w:rsid w:val="6A5C38C9"/>
    <w:rsid w:val="6BBC5FCE"/>
    <w:rsid w:val="6BD25936"/>
    <w:rsid w:val="6FBD2579"/>
    <w:rsid w:val="6FED3F9B"/>
    <w:rsid w:val="703B2526"/>
    <w:rsid w:val="720472B3"/>
    <w:rsid w:val="72E4478C"/>
    <w:rsid w:val="755F72B5"/>
    <w:rsid w:val="75C51121"/>
    <w:rsid w:val="75DF8964"/>
    <w:rsid w:val="75F106A5"/>
    <w:rsid w:val="761942CF"/>
    <w:rsid w:val="787B4E47"/>
    <w:rsid w:val="78EF290F"/>
    <w:rsid w:val="79EFCB93"/>
    <w:rsid w:val="7CE1176F"/>
    <w:rsid w:val="7DFB6C40"/>
    <w:rsid w:val="7E8A62A7"/>
    <w:rsid w:val="7EDEDA8C"/>
    <w:rsid w:val="7EE782B8"/>
    <w:rsid w:val="7F1BE675"/>
    <w:rsid w:val="7F7794D2"/>
    <w:rsid w:val="7F791B22"/>
    <w:rsid w:val="7F830290"/>
    <w:rsid w:val="7FB72751"/>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next w:val="2"/>
    <w:qFormat/>
    <w:uiPriority w:val="0"/>
    <w:pPr>
      <w:spacing w:after="200" w:line="276" w:lineRule="auto"/>
    </w:pPr>
    <w:rPr>
      <w:rFonts w:ascii="Times New Roman" w:hAnsi="Times New Roman" w:eastAsia="宋体" w:cstheme="minorBidi"/>
      <w:sz w:val="22"/>
      <w:szCs w:val="22"/>
      <w:lang w:val="en-US" w:eastAsia="en-US" w:bidi="ar-SA"/>
    </w:rPr>
  </w:style>
  <w:style w:type="paragraph" w:styleId="4">
    <w:name w:val="heading 1"/>
    <w:basedOn w:val="1"/>
    <w:next w:val="1"/>
    <w:link w:val="141"/>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5">
    <w:name w:val="heading 2"/>
    <w:basedOn w:val="1"/>
    <w:next w:val="1"/>
    <w:link w:val="142"/>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6">
    <w:name w:val="heading 3"/>
    <w:basedOn w:val="1"/>
    <w:next w:val="1"/>
    <w:link w:val="143"/>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7">
    <w:name w:val="heading 4"/>
    <w:basedOn w:val="1"/>
    <w:next w:val="1"/>
    <w:link w:val="153"/>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8">
    <w:name w:val="heading 5"/>
    <w:basedOn w:val="1"/>
    <w:next w:val="1"/>
    <w:link w:val="154"/>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9">
    <w:name w:val="heading 6"/>
    <w:basedOn w:val="1"/>
    <w:next w:val="1"/>
    <w:link w:val="155"/>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10">
    <w:name w:val="heading 7"/>
    <w:basedOn w:val="1"/>
    <w:next w:val="1"/>
    <w:link w:val="156"/>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1">
    <w:name w:val="heading 8"/>
    <w:basedOn w:val="1"/>
    <w:next w:val="1"/>
    <w:link w:val="157"/>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2">
    <w:name w:val="heading 9"/>
    <w:basedOn w:val="1"/>
    <w:next w:val="1"/>
    <w:link w:val="158"/>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5">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47"/>
    <w:unhideWhenUsed/>
    <w:qFormat/>
    <w:uiPriority w:val="99"/>
    <w:pPr>
      <w:spacing w:after="120"/>
    </w:pPr>
  </w:style>
  <w:style w:type="paragraph" w:styleId="3">
    <w:name w:val="macro"/>
    <w:link w:val="150"/>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3">
    <w:name w:val="List 3"/>
    <w:basedOn w:val="1"/>
    <w:unhideWhenUsed/>
    <w:qFormat/>
    <w:uiPriority w:val="99"/>
    <w:pPr>
      <w:ind w:left="1080" w:hanging="360"/>
      <w:contextualSpacing/>
    </w:pPr>
  </w:style>
  <w:style w:type="paragraph" w:styleId="14">
    <w:name w:val="List Number 2"/>
    <w:basedOn w:val="1"/>
    <w:unhideWhenUsed/>
    <w:qFormat/>
    <w:uiPriority w:val="99"/>
    <w:pPr>
      <w:numPr>
        <w:ilvl w:val="0"/>
        <w:numId w:val="1"/>
      </w:numPr>
      <w:contextualSpacing/>
    </w:pPr>
  </w:style>
  <w:style w:type="paragraph" w:styleId="15">
    <w:name w:val="List Number"/>
    <w:basedOn w:val="1"/>
    <w:unhideWhenUsed/>
    <w:qFormat/>
    <w:uiPriority w:val="99"/>
    <w:pPr>
      <w:numPr>
        <w:ilvl w:val="0"/>
        <w:numId w:val="2"/>
      </w:numPr>
      <w:contextualSpacing/>
    </w:pPr>
  </w:style>
  <w:style w:type="paragraph" w:styleId="16">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7">
    <w:name w:val="List Bullet"/>
    <w:basedOn w:val="1"/>
    <w:unhideWhenUsed/>
    <w:qFormat/>
    <w:uiPriority w:val="99"/>
    <w:pPr>
      <w:numPr>
        <w:ilvl w:val="0"/>
        <w:numId w:val="3"/>
      </w:numPr>
      <w:contextualSpacing/>
    </w:pPr>
  </w:style>
  <w:style w:type="paragraph" w:styleId="18">
    <w:name w:val="annotation text"/>
    <w:basedOn w:val="1"/>
    <w:semiHidden/>
    <w:unhideWhenUsed/>
    <w:qFormat/>
    <w:uiPriority w:val="99"/>
    <w:pPr>
      <w:jc w:val="left"/>
    </w:pPr>
  </w:style>
  <w:style w:type="paragraph" w:styleId="19">
    <w:name w:val="Body Text 3"/>
    <w:basedOn w:val="1"/>
    <w:link w:val="149"/>
    <w:unhideWhenUsed/>
    <w:qFormat/>
    <w:uiPriority w:val="99"/>
    <w:pPr>
      <w:spacing w:after="120"/>
    </w:pPr>
    <w:rPr>
      <w:sz w:val="16"/>
      <w:szCs w:val="16"/>
    </w:rPr>
  </w:style>
  <w:style w:type="paragraph" w:styleId="20">
    <w:name w:val="List Bullet 3"/>
    <w:basedOn w:val="1"/>
    <w:unhideWhenUsed/>
    <w:qFormat/>
    <w:uiPriority w:val="99"/>
    <w:pPr>
      <w:numPr>
        <w:ilvl w:val="0"/>
        <w:numId w:val="4"/>
      </w:numPr>
      <w:contextualSpacing/>
    </w:pPr>
  </w:style>
  <w:style w:type="paragraph" w:styleId="21">
    <w:name w:val="Body Text Indent"/>
    <w:basedOn w:val="1"/>
    <w:unhideWhenUsed/>
    <w:qFormat/>
    <w:uiPriority w:val="99"/>
    <w:pPr>
      <w:spacing w:after="120"/>
      <w:ind w:left="420" w:leftChars="200"/>
    </w:pPr>
  </w:style>
  <w:style w:type="paragraph" w:styleId="22">
    <w:name w:val="List Number 3"/>
    <w:basedOn w:val="1"/>
    <w:unhideWhenUsed/>
    <w:qFormat/>
    <w:uiPriority w:val="99"/>
    <w:pPr>
      <w:numPr>
        <w:ilvl w:val="0"/>
        <w:numId w:val="5"/>
      </w:numPr>
      <w:contextualSpacing/>
    </w:pPr>
  </w:style>
  <w:style w:type="paragraph" w:styleId="23">
    <w:name w:val="List 2"/>
    <w:basedOn w:val="1"/>
    <w:unhideWhenUsed/>
    <w:qFormat/>
    <w:uiPriority w:val="99"/>
    <w:pPr>
      <w:ind w:left="720" w:hanging="360"/>
      <w:contextualSpacing/>
    </w:pPr>
  </w:style>
  <w:style w:type="paragraph" w:styleId="24">
    <w:name w:val="List Continue"/>
    <w:basedOn w:val="1"/>
    <w:unhideWhenUsed/>
    <w:qFormat/>
    <w:uiPriority w:val="99"/>
    <w:pPr>
      <w:spacing w:after="120"/>
      <w:ind w:left="360"/>
      <w:contextualSpacing/>
    </w:pPr>
  </w:style>
  <w:style w:type="paragraph" w:styleId="25">
    <w:name w:val="List Bullet 2"/>
    <w:basedOn w:val="1"/>
    <w:unhideWhenUsed/>
    <w:qFormat/>
    <w:uiPriority w:val="99"/>
    <w:pPr>
      <w:numPr>
        <w:ilvl w:val="0"/>
        <w:numId w:val="6"/>
      </w:numPr>
      <w:contextualSpacing/>
    </w:pPr>
  </w:style>
  <w:style w:type="paragraph" w:styleId="26">
    <w:name w:val="footer"/>
    <w:basedOn w:val="1"/>
    <w:link w:val="139"/>
    <w:unhideWhenUsed/>
    <w:qFormat/>
    <w:uiPriority w:val="99"/>
    <w:pPr>
      <w:tabs>
        <w:tab w:val="center" w:pos="4680"/>
        <w:tab w:val="right" w:pos="9360"/>
      </w:tabs>
      <w:spacing w:after="0" w:line="240" w:lineRule="auto"/>
    </w:pPr>
  </w:style>
  <w:style w:type="paragraph" w:styleId="27">
    <w:name w:val="header"/>
    <w:basedOn w:val="1"/>
    <w:link w:val="138"/>
    <w:unhideWhenUsed/>
    <w:qFormat/>
    <w:uiPriority w:val="99"/>
    <w:pPr>
      <w:tabs>
        <w:tab w:val="center" w:pos="4680"/>
        <w:tab w:val="right" w:pos="9360"/>
      </w:tabs>
      <w:spacing w:after="0" w:line="240" w:lineRule="auto"/>
    </w:pPr>
  </w:style>
  <w:style w:type="paragraph" w:styleId="28">
    <w:name w:val="Subtitle"/>
    <w:basedOn w:val="1"/>
    <w:next w:val="1"/>
    <w:link w:val="145"/>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9">
    <w:name w:val="List"/>
    <w:basedOn w:val="1"/>
    <w:unhideWhenUsed/>
    <w:qFormat/>
    <w:uiPriority w:val="99"/>
    <w:pPr>
      <w:ind w:left="360" w:hanging="360"/>
      <w:contextualSpacing/>
    </w:pPr>
  </w:style>
  <w:style w:type="paragraph" w:styleId="30">
    <w:name w:val="Body Text 2"/>
    <w:basedOn w:val="1"/>
    <w:link w:val="148"/>
    <w:unhideWhenUsed/>
    <w:qFormat/>
    <w:uiPriority w:val="99"/>
    <w:pPr>
      <w:spacing w:after="120" w:line="480" w:lineRule="auto"/>
    </w:pPr>
  </w:style>
  <w:style w:type="paragraph" w:styleId="31">
    <w:name w:val="List Continue 2"/>
    <w:basedOn w:val="1"/>
    <w:unhideWhenUsed/>
    <w:qFormat/>
    <w:uiPriority w:val="99"/>
    <w:pPr>
      <w:spacing w:after="120"/>
      <w:ind w:left="720"/>
      <w:contextualSpacing/>
    </w:pPr>
  </w:style>
  <w:style w:type="paragraph" w:styleId="32">
    <w:name w:val="List Continue 3"/>
    <w:basedOn w:val="1"/>
    <w:unhideWhenUsed/>
    <w:qFormat/>
    <w:uiPriority w:val="99"/>
    <w:pPr>
      <w:spacing w:after="120"/>
      <w:ind w:left="1080"/>
      <w:contextualSpacing/>
    </w:pPr>
  </w:style>
  <w:style w:type="paragraph" w:styleId="33">
    <w:name w:val="Title"/>
    <w:basedOn w:val="1"/>
    <w:next w:val="1"/>
    <w:link w:val="144"/>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paragraph" w:styleId="34">
    <w:name w:val="Body Text First Indent 2"/>
    <w:basedOn w:val="21"/>
    <w:unhideWhenUsed/>
    <w:qFormat/>
    <w:uiPriority w:val="99"/>
    <w:pPr>
      <w:spacing w:line="360" w:lineRule="auto"/>
      <w:ind w:firstLine="200" w:firstLineChars="200"/>
    </w:pPr>
  </w:style>
  <w:style w:type="table" w:styleId="36">
    <w:name w:val="Table Grid"/>
    <w:basedOn w:val="35"/>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7">
    <w:name w:val="Light Shading"/>
    <w:basedOn w:val="35"/>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8">
    <w:name w:val="Light Shading Accent 1"/>
    <w:basedOn w:val="35"/>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9">
    <w:name w:val="Light Shading Accent 2"/>
    <w:basedOn w:val="35"/>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40">
    <w:name w:val="Light Shading Accent 3"/>
    <w:basedOn w:val="35"/>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1">
    <w:name w:val="Light Shading Accent 4"/>
    <w:basedOn w:val="35"/>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2">
    <w:name w:val="Light Shading Accent 5"/>
    <w:basedOn w:val="35"/>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3">
    <w:name w:val="Light Shading Accent 6"/>
    <w:basedOn w:val="35"/>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4">
    <w:name w:val="Light List"/>
    <w:basedOn w:val="35"/>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5">
    <w:name w:val="Light List Accent 1"/>
    <w:basedOn w:val="35"/>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6">
    <w:name w:val="Light List Accent 2"/>
    <w:basedOn w:val="35"/>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7">
    <w:name w:val="Light List Accent 3"/>
    <w:basedOn w:val="35"/>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8">
    <w:name w:val="Light List Accent 4"/>
    <w:basedOn w:val="35"/>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9">
    <w:name w:val="Light List Accent 5"/>
    <w:basedOn w:val="35"/>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50">
    <w:name w:val="Light List Accent 6"/>
    <w:basedOn w:val="35"/>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51">
    <w:name w:val="Light Grid"/>
    <w:basedOn w:val="35"/>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2">
    <w:name w:val="Light Grid Accent 1"/>
    <w:basedOn w:val="35"/>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3">
    <w:name w:val="Light Grid Accent 2"/>
    <w:basedOn w:val="35"/>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4">
    <w:name w:val="Light Grid Accent 3"/>
    <w:basedOn w:val="35"/>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5">
    <w:name w:val="Light Grid Accent 4"/>
    <w:basedOn w:val="35"/>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6">
    <w:name w:val="Light Grid Accent 5"/>
    <w:basedOn w:val="35"/>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7">
    <w:name w:val="Light Grid Accent 6"/>
    <w:basedOn w:val="35"/>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8">
    <w:name w:val="Medium Shading 1"/>
    <w:basedOn w:val="35"/>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9">
    <w:name w:val="Medium Shading 1 Accent 1"/>
    <w:basedOn w:val="35"/>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60">
    <w:name w:val="Medium Shading 1 Accent 2"/>
    <w:basedOn w:val="35"/>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61">
    <w:name w:val="Medium Shading 1 Accent 3"/>
    <w:basedOn w:val="35"/>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2">
    <w:name w:val="Medium Shading 1 Accent 4"/>
    <w:basedOn w:val="35"/>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3">
    <w:name w:val="Medium Shading 1 Accent 5"/>
    <w:basedOn w:val="35"/>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4">
    <w:name w:val="Medium Shading 1 Accent 6"/>
    <w:basedOn w:val="35"/>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5">
    <w:name w:val="Medium Shading 2"/>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1"/>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2"/>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3"/>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Shading 2 Accent 4"/>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0">
    <w:name w:val="Medium Shading 2 Accent 5"/>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1">
    <w:name w:val="Medium Shading 2 Accent 6"/>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2">
    <w:name w:val="Medium List 1"/>
    <w:basedOn w:val="35"/>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3">
    <w:name w:val="Medium List 1 Accent 1"/>
    <w:basedOn w:val="35"/>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4">
    <w:name w:val="Medium List 1 Accent 2"/>
    <w:basedOn w:val="35"/>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5">
    <w:name w:val="Medium List 1 Accent 3"/>
    <w:basedOn w:val="35"/>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6">
    <w:name w:val="Medium List 1 Accent 4"/>
    <w:basedOn w:val="35"/>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7">
    <w:name w:val="Medium List 1 Accent 5"/>
    <w:basedOn w:val="35"/>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8">
    <w:name w:val="Medium List 1 Accent 6"/>
    <w:basedOn w:val="35"/>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9">
    <w:name w:val="Medium Lis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1"/>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3"/>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List 2 Accent 4"/>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4">
    <w:name w:val="Medium List 2 Accent 5"/>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5">
    <w:name w:val="Medium List 2 Accent 6"/>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6">
    <w:name w:val="Medium Grid 1"/>
    <w:basedOn w:val="35"/>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7">
    <w:name w:val="Medium Grid 1 Accent 1"/>
    <w:basedOn w:val="35"/>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8">
    <w:name w:val="Medium Grid 1 Accent 2"/>
    <w:basedOn w:val="35"/>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9">
    <w:name w:val="Medium Grid 1 Accent 3"/>
    <w:basedOn w:val="35"/>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90">
    <w:name w:val="Medium Grid 1 Accent 4"/>
    <w:basedOn w:val="35"/>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91">
    <w:name w:val="Medium Grid 1 Accent 5"/>
    <w:basedOn w:val="35"/>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2">
    <w:name w:val="Medium Grid 1 Accent 6"/>
    <w:basedOn w:val="35"/>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3">
    <w:name w:val="Medium Grid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4">
    <w:name w:val="Medium Grid 2 Accent 1"/>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5">
    <w:name w:val="Medium Grid 2 Accent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6">
    <w:name w:val="Medium Grid 2 Accent 3"/>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7">
    <w:name w:val="Medium Grid 2 Accent 4"/>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8">
    <w:name w:val="Medium Grid 2 Accent 5"/>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9">
    <w:name w:val="Medium Grid 2 Accent 6"/>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100">
    <w:name w:val="Medium Grid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01">
    <w:name w:val="Medium Grid 3 Accent 1"/>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2">
    <w:name w:val="Medium Grid 3 Accent 2"/>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3">
    <w:name w:val="Medium Grid 3 Accent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4">
    <w:name w:val="Medium Grid 3 Accent 4"/>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5">
    <w:name w:val="Medium Grid 3 Accent 5"/>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6">
    <w:name w:val="Medium Grid 3 Accent 6"/>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7">
    <w:name w:val="Dark List"/>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8">
    <w:name w:val="Dark List Accent 1"/>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9">
    <w:name w:val="Dark List Accent 2"/>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10">
    <w:name w:val="Dark List Accent 3"/>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1">
    <w:name w:val="Dark List Accent 4"/>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2">
    <w:name w:val="Dark List Accent 5"/>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3">
    <w:name w:val="Dark List Accent 6"/>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4">
    <w:name w:val="Colorful Shading"/>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1"/>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2"/>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3"/>
    <w:basedOn w:val="35"/>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8">
    <w:name w:val="Colorful Shading Accent 4"/>
    <w:basedOn w:val="35"/>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Shading Accent 5"/>
    <w:basedOn w:val="35"/>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0">
    <w:name w:val="Colorful Shading Accent 6"/>
    <w:basedOn w:val="35"/>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1">
    <w:name w:val="Colorful List"/>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22">
    <w:name w:val="Colorful List Accent 1"/>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3">
    <w:name w:val="Colorful List Accent 2"/>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4">
    <w:name w:val="Colorful List Accent 3"/>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5">
    <w:name w:val="Colorful List Accent 4"/>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6">
    <w:name w:val="Colorful List Accent 5"/>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7">
    <w:name w:val="Colorful List Accent 6"/>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8">
    <w:name w:val="Colorful Grid"/>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9">
    <w:name w:val="Colorful Grid Accent 1"/>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30">
    <w:name w:val="Colorful Grid Accent 2"/>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Colorful Grid Accent 3"/>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2">
    <w:name w:val="Colorful Grid Accent 4"/>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3">
    <w:name w:val="Colorful Grid Accent 5"/>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4">
    <w:name w:val="Colorful Grid Accent 6"/>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6">
    <w:name w:val="Strong"/>
    <w:basedOn w:val="135"/>
    <w:qFormat/>
    <w:uiPriority w:val="22"/>
    <w:rPr>
      <w:b/>
      <w:bCs/>
    </w:rPr>
  </w:style>
  <w:style w:type="character" w:styleId="137">
    <w:name w:val="Emphasis"/>
    <w:basedOn w:val="135"/>
    <w:qFormat/>
    <w:uiPriority w:val="20"/>
    <w:rPr>
      <w:i/>
      <w:iCs/>
    </w:rPr>
  </w:style>
  <w:style w:type="character" w:customStyle="1" w:styleId="138">
    <w:name w:val="Header Char"/>
    <w:basedOn w:val="135"/>
    <w:link w:val="27"/>
    <w:qFormat/>
    <w:uiPriority w:val="99"/>
  </w:style>
  <w:style w:type="character" w:customStyle="1" w:styleId="139">
    <w:name w:val="Footer Char"/>
    <w:basedOn w:val="135"/>
    <w:link w:val="26"/>
    <w:qFormat/>
    <w:uiPriority w:val="99"/>
  </w:style>
  <w:style w:type="paragraph" w:styleId="140">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41">
    <w:name w:val="Heading 1 Char"/>
    <w:basedOn w:val="135"/>
    <w:link w:val="4"/>
    <w:qFormat/>
    <w:uiPriority w:val="9"/>
    <w:rPr>
      <w:rFonts w:asciiTheme="majorHAnsi" w:hAnsiTheme="majorHAnsi" w:eastAsiaTheme="majorEastAsia" w:cstheme="majorBidi"/>
      <w:b/>
      <w:bCs/>
      <w:color w:val="376092" w:themeColor="accent1" w:themeShade="BF"/>
      <w:sz w:val="28"/>
      <w:szCs w:val="28"/>
    </w:rPr>
  </w:style>
  <w:style w:type="character" w:customStyle="1" w:styleId="142">
    <w:name w:val="Heading 2 Char"/>
    <w:basedOn w:val="135"/>
    <w:link w:val="5"/>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3">
    <w:name w:val="Heading 3 Char"/>
    <w:basedOn w:val="135"/>
    <w:link w:val="6"/>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4">
    <w:name w:val="Title Char"/>
    <w:basedOn w:val="135"/>
    <w:link w:val="33"/>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5">
    <w:name w:val="Subtitle Char"/>
    <w:basedOn w:val="135"/>
    <w:link w:val="28"/>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6">
    <w:name w:val="List Paragraph"/>
    <w:basedOn w:val="1"/>
    <w:qFormat/>
    <w:uiPriority w:val="34"/>
    <w:pPr>
      <w:ind w:left="720"/>
      <w:contextualSpacing/>
    </w:pPr>
  </w:style>
  <w:style w:type="character" w:customStyle="1" w:styleId="147">
    <w:name w:val="Body Text Char"/>
    <w:basedOn w:val="135"/>
    <w:link w:val="2"/>
    <w:qFormat/>
    <w:uiPriority w:val="99"/>
  </w:style>
  <w:style w:type="character" w:customStyle="1" w:styleId="148">
    <w:name w:val="Body Text 2 Char"/>
    <w:basedOn w:val="135"/>
    <w:link w:val="30"/>
    <w:qFormat/>
    <w:uiPriority w:val="99"/>
  </w:style>
  <w:style w:type="character" w:customStyle="1" w:styleId="149">
    <w:name w:val="Body Text 3 Char"/>
    <w:basedOn w:val="135"/>
    <w:link w:val="19"/>
    <w:qFormat/>
    <w:uiPriority w:val="99"/>
    <w:rPr>
      <w:sz w:val="16"/>
      <w:szCs w:val="16"/>
    </w:rPr>
  </w:style>
  <w:style w:type="character" w:customStyle="1" w:styleId="150">
    <w:name w:val="Macro Text Char"/>
    <w:basedOn w:val="135"/>
    <w:link w:val="3"/>
    <w:qFormat/>
    <w:uiPriority w:val="99"/>
    <w:rPr>
      <w:rFonts w:ascii="Courier" w:hAnsi="Courier"/>
      <w:sz w:val="20"/>
      <w:szCs w:val="20"/>
    </w:rPr>
  </w:style>
  <w:style w:type="paragraph" w:styleId="151">
    <w:name w:val="Quote"/>
    <w:basedOn w:val="1"/>
    <w:next w:val="1"/>
    <w:link w:val="152"/>
    <w:qFormat/>
    <w:uiPriority w:val="29"/>
    <w:rPr>
      <w:i/>
      <w:iCs/>
      <w:color w:val="000000" w:themeColor="text1"/>
      <w14:textFill>
        <w14:solidFill>
          <w14:schemeClr w14:val="tx1"/>
        </w14:solidFill>
      </w14:textFill>
    </w:rPr>
  </w:style>
  <w:style w:type="character" w:customStyle="1" w:styleId="152">
    <w:name w:val="Quote Char"/>
    <w:basedOn w:val="135"/>
    <w:link w:val="151"/>
    <w:qFormat/>
    <w:uiPriority w:val="29"/>
    <w:rPr>
      <w:i/>
      <w:iCs/>
      <w:color w:val="000000" w:themeColor="text1"/>
      <w14:textFill>
        <w14:solidFill>
          <w14:schemeClr w14:val="tx1"/>
        </w14:solidFill>
      </w14:textFill>
    </w:rPr>
  </w:style>
  <w:style w:type="character" w:customStyle="1" w:styleId="153">
    <w:name w:val="Heading 4 Char"/>
    <w:basedOn w:val="135"/>
    <w:link w:val="7"/>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4">
    <w:name w:val="Heading 5 Char"/>
    <w:basedOn w:val="135"/>
    <w:link w:val="8"/>
    <w:semiHidden/>
    <w:qFormat/>
    <w:uiPriority w:val="9"/>
    <w:rPr>
      <w:rFonts w:asciiTheme="majorHAnsi" w:hAnsiTheme="majorHAnsi" w:eastAsiaTheme="majorEastAsia" w:cstheme="majorBidi"/>
      <w:color w:val="254061" w:themeColor="accent1" w:themeShade="80"/>
    </w:rPr>
  </w:style>
  <w:style w:type="character" w:customStyle="1" w:styleId="155">
    <w:name w:val="Heading 6 Char"/>
    <w:basedOn w:val="135"/>
    <w:link w:val="9"/>
    <w:semiHidden/>
    <w:qFormat/>
    <w:uiPriority w:val="9"/>
    <w:rPr>
      <w:rFonts w:asciiTheme="majorHAnsi" w:hAnsiTheme="majorHAnsi" w:eastAsiaTheme="majorEastAsia" w:cstheme="majorBidi"/>
      <w:i/>
      <w:iCs/>
      <w:color w:val="254061" w:themeColor="accent1" w:themeShade="80"/>
    </w:rPr>
  </w:style>
  <w:style w:type="character" w:customStyle="1" w:styleId="156">
    <w:name w:val="Heading 7 Char"/>
    <w:basedOn w:val="135"/>
    <w:link w:val="10"/>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7">
    <w:name w:val="Heading 8 Char"/>
    <w:basedOn w:val="135"/>
    <w:link w:val="11"/>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8">
    <w:name w:val="Heading 9 Char"/>
    <w:basedOn w:val="135"/>
    <w:link w:val="12"/>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9">
    <w:name w:val="Intense Quote"/>
    <w:basedOn w:val="1"/>
    <w:next w:val="1"/>
    <w:link w:val="160"/>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60">
    <w:name w:val="Intense Quote Char"/>
    <w:basedOn w:val="135"/>
    <w:link w:val="159"/>
    <w:qFormat/>
    <w:uiPriority w:val="30"/>
    <w:rPr>
      <w:b/>
      <w:bCs/>
      <w:i/>
      <w:iCs/>
      <w:color w:val="4F81BD" w:themeColor="accent1"/>
      <w14:textFill>
        <w14:solidFill>
          <w14:schemeClr w14:val="accent1"/>
        </w14:solidFill>
      </w14:textFill>
    </w:rPr>
  </w:style>
  <w:style w:type="character" w:customStyle="1" w:styleId="161">
    <w:name w:val="Subtle Emphasis"/>
    <w:basedOn w:val="135"/>
    <w:qFormat/>
    <w:uiPriority w:val="19"/>
    <w:rPr>
      <w:i/>
      <w:iCs/>
      <w:color w:val="808080" w:themeColor="text1" w:themeTint="80"/>
      <w14:textFill>
        <w14:solidFill>
          <w14:schemeClr w14:val="tx1">
            <w14:lumMod w14:val="50000"/>
            <w14:lumOff w14:val="50000"/>
          </w14:schemeClr>
        </w14:solidFill>
      </w14:textFill>
    </w:rPr>
  </w:style>
  <w:style w:type="character" w:customStyle="1" w:styleId="162">
    <w:name w:val="Intense Emphasis"/>
    <w:basedOn w:val="135"/>
    <w:qFormat/>
    <w:uiPriority w:val="21"/>
    <w:rPr>
      <w:b/>
      <w:bCs/>
      <w:i/>
      <w:iCs/>
      <w:color w:val="4F81BD" w:themeColor="accent1"/>
      <w14:textFill>
        <w14:solidFill>
          <w14:schemeClr w14:val="accent1"/>
        </w14:solidFill>
      </w14:textFill>
    </w:rPr>
  </w:style>
  <w:style w:type="character" w:customStyle="1" w:styleId="163">
    <w:name w:val="Subtle Reference"/>
    <w:basedOn w:val="135"/>
    <w:qFormat/>
    <w:uiPriority w:val="31"/>
    <w:rPr>
      <w:smallCaps/>
      <w:color w:val="C0504D" w:themeColor="accent2"/>
      <w:u w:val="single"/>
      <w14:textFill>
        <w14:solidFill>
          <w14:schemeClr w14:val="accent2"/>
        </w14:solidFill>
      </w14:textFill>
    </w:rPr>
  </w:style>
  <w:style w:type="character" w:customStyle="1" w:styleId="164">
    <w:name w:val="Intense Reference"/>
    <w:basedOn w:val="135"/>
    <w:qFormat/>
    <w:uiPriority w:val="32"/>
    <w:rPr>
      <w:b/>
      <w:bCs/>
      <w:smallCaps/>
      <w:color w:val="C0504D" w:themeColor="accent2"/>
      <w:spacing w:val="5"/>
      <w:u w:val="single"/>
      <w14:textFill>
        <w14:solidFill>
          <w14:schemeClr w14:val="accent2"/>
        </w14:solidFill>
      </w14:textFill>
    </w:rPr>
  </w:style>
  <w:style w:type="character" w:customStyle="1" w:styleId="165">
    <w:name w:val="Book Title"/>
    <w:basedOn w:val="135"/>
    <w:qFormat/>
    <w:uiPriority w:val="33"/>
    <w:rPr>
      <w:b/>
      <w:bCs/>
      <w:smallCaps/>
      <w:spacing w:val="5"/>
    </w:rPr>
  </w:style>
  <w:style w:type="paragraph" w:customStyle="1" w:styleId="166">
    <w:name w:val="TOC Heading"/>
    <w:basedOn w:val="4"/>
    <w:next w:val="1"/>
    <w:semiHidden/>
    <w:unhideWhenUsed/>
    <w:qFormat/>
    <w:uiPriority w:val="39"/>
    <w:pPr>
      <w:outlineLvl w:val="9"/>
    </w:pPr>
  </w:style>
  <w:style w:type="paragraph" w:customStyle="1" w:styleId="167">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8">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9">
    <w:name w:val="王越的表头"/>
    <w:basedOn w:val="170"/>
    <w:qFormat/>
    <w:uiPriority w:val="0"/>
    <w:pPr>
      <w:spacing w:line="240" w:lineRule="auto"/>
      <w:ind w:firstLine="0" w:firstLineChars="0"/>
      <w:jc w:val="center"/>
    </w:pPr>
    <w:rPr>
      <w:b/>
    </w:rPr>
  </w:style>
  <w:style w:type="paragraph" w:customStyle="1" w:styleId="170">
    <w:name w:val="王越的正文"/>
    <w:basedOn w:val="1"/>
    <w:qFormat/>
    <w:uiPriority w:val="0"/>
    <w:pPr>
      <w:ind w:firstLine="480"/>
      <w:jc w:val="left"/>
    </w:pPr>
    <w:rPr>
      <w:rFonts w:ascii="宋体" w:hAnsi="宋体"/>
    </w:rPr>
  </w:style>
  <w:style w:type="paragraph" w:customStyle="1" w:styleId="171">
    <w:name w:val="王越的表格"/>
    <w:basedOn w:val="170"/>
    <w:qFormat/>
    <w:uiPriority w:val="0"/>
    <w:pPr>
      <w:spacing w:line="240" w:lineRule="auto"/>
      <w:ind w:firstLine="0" w:firstLineChars="0"/>
    </w:pPr>
  </w:style>
  <w:style w:type="paragraph" w:customStyle="1" w:styleId="172">
    <w:name w:val="正文-（1）"/>
    <w:qFormat/>
    <w:uiPriority w:val="0"/>
    <w:pPr>
      <w:widowControl w:val="0"/>
      <w:numPr>
        <w:ilvl w:val="0"/>
        <w:numId w:val="7"/>
      </w:numPr>
      <w:spacing w:line="360" w:lineRule="auto"/>
      <w:ind w:left="0" w:firstLine="200" w:firstLineChars="200"/>
      <w:jc w:val="both"/>
    </w:pPr>
    <w:rPr>
      <w:rFonts w:ascii="Times New Roman" w:hAnsi="Times New Roman" w:eastAsia="宋体" w:cs="Times New Roman"/>
      <w:kern w:val="2"/>
      <w:sz w:val="24"/>
      <w:szCs w:val="22"/>
      <w:lang w:val="en-US" w:eastAsia="zh-CN" w:bidi="ar-SA"/>
    </w:rPr>
  </w:style>
  <w:style w:type="paragraph" w:customStyle="1" w:styleId="173">
    <w:name w:val="首行缩进"/>
    <w:basedOn w:val="1"/>
    <w:qFormat/>
    <w:uiPriority w:val="0"/>
    <w:pPr>
      <w:spacing w:line="360" w:lineRule="auto"/>
      <w:ind w:firstLine="480" w:firstLineChars="200"/>
    </w:pPr>
    <w:rPr>
      <w:rFonts w:ascii="Calibri" w:hAnsi="Calibri"/>
      <w:sz w:val="24"/>
      <w:szCs w:val="22"/>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3</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还是弱碱水</cp:lastModifiedBy>
  <cp:lastPrinted>2025-12-31T00:47:00Z</cp:lastPrinted>
  <dcterms:modified xsi:type="dcterms:W3CDTF">2026-01-19T03:27:49Z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