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名称：全院UPS设备维保服务采购项目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400" w:lineRule="exact"/>
        <w:textAlignment w:val="auto"/>
        <w:rPr>
          <w:rFonts w:hint="default"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7、本项目不接受联合体投标。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8、本项目为专门面向中小企业采购。投标人必须提供中小企业声明函（见附件）。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合同履行期限：一年（计划从</w:t>
      </w:r>
      <w:r>
        <w:rPr>
          <w:rFonts w:hint="eastAsia" w:ascii="幼圆" w:hAnsi="幼圆" w:eastAsia="幼圆" w:cs="幼圆"/>
          <w:b/>
          <w:bCs/>
          <w:sz w:val="21"/>
          <w:szCs w:val="20"/>
          <w:lang w:val="en-US" w:eastAsia="zh-CN"/>
        </w:rPr>
        <w:t>2026年4月2日到2027年4月1日）</w:t>
      </w:r>
      <w:r>
        <w:rPr>
          <w:rFonts w:hint="eastAsia" w:ascii="幼圆" w:hAnsi="幼圆" w:eastAsia="幼圆" w:cs="幼圆"/>
          <w:b/>
          <w:bCs/>
          <w:color w:val="FF0000"/>
          <w:sz w:val="21"/>
          <w:szCs w:val="20"/>
          <w:lang w:val="en-US" w:eastAsia="zh-CN"/>
        </w:rPr>
        <w:t>（*必须响应，废标项）</w:t>
      </w:r>
    </w:p>
    <w:p>
      <w:pPr>
        <w:pStyle w:val="2"/>
        <w:keepNext w:val="0"/>
        <w:keepLines w:val="0"/>
        <w:pageBreakBefore w:val="0"/>
        <w:widowControl/>
        <w:wordWrap/>
        <w:topLinePunct w:val="0"/>
        <w:bidi w:val="0"/>
        <w:spacing w:line="240" w:lineRule="auto"/>
        <w:rPr>
          <w:rFonts w:hint="eastAsia" w:ascii="幼圆" w:hAnsi="幼圆" w:eastAsia="幼圆" w:cs="幼圆"/>
          <w:lang w:val="en-US" w:eastAsia="zh-CN"/>
        </w:rPr>
      </w:pP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bookmarkStart w:id="0" w:name="OLE_LINK1"/>
      <w:r>
        <w:rPr>
          <w:rFonts w:hint="eastAsia" w:ascii="幼圆" w:hAnsi="幼圆" w:eastAsia="幼圆" w:cs="幼圆"/>
          <w:b/>
          <w:bCs/>
          <w:sz w:val="28"/>
          <w:szCs w:val="24"/>
          <w:lang w:val="en-US" w:eastAsia="zh-CN"/>
        </w:rPr>
        <w:t>五、维保服务内容</w:t>
      </w:r>
    </w:p>
    <w:bookmarkEnd w:id="0"/>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
          <w:bCs/>
          <w:lang w:val="en-US" w:eastAsia="zh-CN"/>
        </w:rPr>
      </w:pPr>
      <w:r>
        <w:rPr>
          <w:rFonts w:hint="eastAsia" w:ascii="幼圆" w:hAnsi="幼圆" w:eastAsia="幼圆" w:cs="幼圆"/>
          <w:b/>
          <w:bCs/>
          <w:lang w:val="en-US" w:eastAsia="zh-CN"/>
        </w:rPr>
        <w:t>1、维保厂商责任</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lang w:val="en-US" w:eastAsia="zh-CN"/>
        </w:rPr>
        <w:t>（1）</w:t>
      </w:r>
      <w:r>
        <w:rPr>
          <w:rFonts w:hint="eastAsia" w:ascii="幼圆" w:hAnsi="幼圆" w:eastAsia="幼圆" w:cs="幼圆"/>
          <w:b w:val="0"/>
          <w:bCs w:val="0"/>
          <w:color w:val="000000"/>
          <w:kern w:val="0"/>
          <w:sz w:val="21"/>
          <w:szCs w:val="21"/>
          <w:lang w:val="en-US" w:eastAsia="zh-CN"/>
        </w:rPr>
        <w:t>投标人承担材料及维修费：设备设施的小型维修单批次2000元（不含）以下的零配件费用。</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kern w:val="0"/>
          <w:sz w:val="21"/>
          <w:szCs w:val="21"/>
          <w:lang w:val="en-US" w:eastAsia="zh-CN"/>
        </w:rPr>
        <w:t>（2）对清单内所有</w:t>
      </w:r>
      <w:r>
        <w:rPr>
          <w:rFonts w:hint="eastAsia" w:ascii="幼圆" w:hAnsi="幼圆" w:eastAsia="幼圆" w:cs="幼圆"/>
          <w:bCs/>
          <w:snapToGrid w:val="0"/>
          <w:kern w:val="21"/>
          <w:sz w:val="21"/>
          <w:szCs w:val="21"/>
          <w:lang w:val="en-US" w:eastAsia="zh-CN"/>
        </w:rPr>
        <w:t>设备及其配套设备进行定期维护保养，频次为半个月。</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3</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乙方</w:t>
      </w:r>
      <w:r>
        <w:rPr>
          <w:rFonts w:hint="eastAsia" w:ascii="幼圆" w:hAnsi="幼圆" w:eastAsia="幼圆" w:cs="幼圆"/>
          <w:color w:val="000000"/>
          <w:kern w:val="0"/>
          <w:sz w:val="21"/>
          <w:szCs w:val="21"/>
        </w:rPr>
        <w:t>负责设备机房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keepNext w:val="0"/>
        <w:keepLines w:val="0"/>
        <w:pageBreakBefore w:val="0"/>
        <w:widowControl/>
        <w:numPr>
          <w:ilvl w:val="0"/>
          <w:numId w:val="0"/>
        </w:numPr>
        <w:wordWrap/>
        <w:topLinePunct w:val="0"/>
        <w:bidi w:val="0"/>
        <w:spacing w:line="240" w:lineRule="auto"/>
        <w:jc w:val="left"/>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4</w:t>
      </w:r>
      <w:r>
        <w:rPr>
          <w:rFonts w:hint="eastAsia" w:ascii="幼圆" w:hAnsi="幼圆" w:eastAsia="幼圆" w:cs="幼圆"/>
          <w:color w:val="000000"/>
          <w:kern w:val="0"/>
          <w:sz w:val="21"/>
          <w:szCs w:val="21"/>
          <w:lang w:eastAsia="zh-CN"/>
        </w:rPr>
        <w:t>）</w:t>
      </w:r>
      <w:r>
        <w:rPr>
          <w:rFonts w:hint="eastAsia" w:ascii="幼圆" w:hAnsi="幼圆" w:eastAsia="幼圆" w:cs="幼圆"/>
          <w:sz w:val="21"/>
          <w:szCs w:val="21"/>
          <w:lang w:val="en-US" w:eastAsia="zh-CN"/>
        </w:rPr>
        <w:t>维保细则未完成或缺少项目、不能达到甲方标准，按照不低于1000元支付违约金。</w:t>
      </w:r>
    </w:p>
    <w:p>
      <w:pPr>
        <w:keepNext w:val="0"/>
        <w:keepLines w:val="0"/>
        <w:pageBreakBefore w:val="0"/>
        <w:widowControl/>
        <w:wordWrap/>
        <w:topLinePunct w:val="0"/>
        <w:bidi w:val="0"/>
        <w:spacing w:line="240" w:lineRule="auto"/>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lang w:val="en-US" w:eastAsia="zh-CN"/>
        </w:rPr>
        <w:t>保证甲方设备安全运行，因设备异常或乙方操作不当引起的安全、停空调事故，所造成的损失，乙方负全责。</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2、日常巡检与监测</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（1）规范开关机顺序：开机时，应先开启UPS，待其工作稳定后再逐一开启负载设备；关机时，应先逐个关闭负载，再关闭UPS。这能有效避免负载电流对设备的瞬间冲击。</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（2）执行每月专业检查及维护，内容包括：</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主机：</w:t>
      </w:r>
      <w:r>
        <w:rPr>
          <w:rFonts w:hint="eastAsia" w:ascii="幼圆" w:hAnsi="幼圆" w:eastAsia="幼圆" w:cs="幼圆"/>
          <w:bCs/>
          <w:snapToGrid w:val="0"/>
          <w:kern w:val="21"/>
          <w:sz w:val="21"/>
          <w:szCs w:val="21"/>
          <w:lang w:val="en-US" w:eastAsia="zh-CN"/>
        </w:rPr>
        <w:t xml:space="preserve">（检查环境温度、湿度、照明、异物等；检查设备物理外观包括腐蚀、老化、变形、发热等；检查配电开关、电缆、接线端子包括腐蚀、老化、变形、发热等；检查记录UPS运行指示灯及屏幕是否正常显示；检查记录主路输入电压、频率、电流、波形；检查记录旁路输入电压、频率、电流、波形；检查记录输出电压、频率、电流、波形；）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color w:val="000000"/>
          <w:kern w:val="0"/>
          <w:sz w:val="24"/>
          <w:szCs w:val="24"/>
        </w:rPr>
      </w:pPr>
      <w:r>
        <w:rPr>
          <w:rFonts w:hint="eastAsia" w:ascii="幼圆" w:hAnsi="幼圆" w:eastAsia="幼圆" w:cs="幼圆"/>
          <w:b/>
          <w:bCs w:val="0"/>
          <w:snapToGrid w:val="0"/>
          <w:kern w:val="21"/>
          <w:sz w:val="21"/>
          <w:szCs w:val="21"/>
          <w:lang w:val="en-US" w:eastAsia="zh-CN"/>
        </w:rPr>
        <w:t>电池组：</w:t>
      </w:r>
      <w:r>
        <w:rPr>
          <w:rFonts w:hint="eastAsia" w:ascii="幼圆" w:hAnsi="幼圆" w:eastAsia="幼圆" w:cs="幼圆"/>
          <w:bCs/>
          <w:snapToGrid w:val="0"/>
          <w:kern w:val="21"/>
          <w:sz w:val="21"/>
          <w:szCs w:val="21"/>
          <w:lang w:val="en-US" w:eastAsia="zh-CN"/>
        </w:rPr>
        <w:t xml:space="preserve">（检查电池物理外观是否有变形、趴酸、漏液；检查电池及直流线材温度；检查记录电池组充电电压及抽查单只充电电压；检查电池箱或架物理外观是否有腐蚀、老化、变形；）     </w:t>
      </w:r>
      <w:r>
        <w:rPr>
          <w:rFonts w:hint="eastAsia" w:ascii="幼圆" w:hAnsi="幼圆" w:eastAsia="幼圆" w:cs="幼圆"/>
          <w:color w:val="000000"/>
          <w:kern w:val="0"/>
          <w:sz w:val="24"/>
          <w:szCs w:val="24"/>
        </w:rPr>
        <w:t xml:space="preserve">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 </w:t>
      </w:r>
      <w:r>
        <w:rPr>
          <w:rFonts w:hint="eastAsia" w:ascii="幼圆" w:hAnsi="幼圆" w:eastAsia="幼圆" w:cs="幼圆"/>
          <w:b/>
          <w:bCs w:val="0"/>
          <w:snapToGrid w:val="0"/>
          <w:kern w:val="21"/>
          <w:sz w:val="21"/>
          <w:szCs w:val="21"/>
          <w:lang w:val="en-US" w:eastAsia="zh-CN"/>
        </w:rPr>
        <w:t>UPS系统</w:t>
      </w:r>
      <w:r>
        <w:rPr>
          <w:rFonts w:hint="eastAsia" w:ascii="幼圆" w:hAnsi="幼圆" w:eastAsia="幼圆" w:cs="幼圆"/>
          <w:bCs/>
          <w:snapToGrid w:val="0"/>
          <w:kern w:val="21"/>
          <w:sz w:val="21"/>
          <w:szCs w:val="21"/>
          <w:lang w:val="en-US" w:eastAsia="zh-CN"/>
        </w:rPr>
        <w:t xml:space="preserve">（检查环境并清理、检查设备可及部分积尘并清理、检查设备物理外观、检查配电系统、检查记录设备运行数据、实测记录设备运行数据、实测记录标示电池组电压、电池组内阻、实测记录系统充放电10分钟、实测恢复市电模式设备运行数据。）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系统对接或扩容提供专业技术支持与指导：针对运行人员，进行技术培训，内容包括日常运维、操作规程、故障判断等，使运行人员能够熟练操作系统，遇到异常情况能够及时地做初步处理。</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3、定期维护与检修</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1）主机（检查环境温度、湿度、照明、异物等；检查设备物理外观包括腐蚀、老化、变形、发热等；检查配电开关、电缆、接线端子包括腐蚀、老化、变形、发热等；检查记录UPS运行指示灯及屏幕是否正常显示；检查记录主路输入电压、频率、电流、波形；检查记录旁路输入电压、频率、电流、波形；检查记录输出电压、频率、电流、波形；）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（2）电池组（检查电池物理外观是否有变形、趴酸、漏液；检查电池及直流线材温度；检查记录电池组充电电压及抽查单只充电电压；检查电池箱或架物理外管是否变形、腐蚀。</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 xml:space="preserve">（3）UPS系统（检查环境并清理、检查设备可及部分积尘并清理、检查设备物理外观、检查配电系统、检查记录设备运行数据、实测记录设备运行数据、实测记录标示电池组电压、电池组内阻、实测记录系统充放电10分钟、实测恢复市电模式设备运行数据。）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（4）主机及电池为月度巡检，UPS系统为季度巡检。</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六、安全与应急管理</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1、工作许可：任何维保作业必须执行严格的动火作业、有限空间作业、高空作业、临时用电许可证制度。</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2、应急预案： 制定针对设备故障、停电等突发事件的应急预案，包括紧急停机、人员疏散、现场处置流程等，并定期组织演练。</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3、个人防护： 作业人员必须配备合格的工服、手套、安全鞋等个人防护装备。</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七、验收及考核</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服务时间安排：</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周一至周日，7天24小时包括法定节假日。</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B乙方维保配件应充足，紧急故障应</w:t>
      </w:r>
      <w:r>
        <w:rPr>
          <w:rFonts w:hint="eastAsia" w:ascii="幼圆" w:hAnsi="幼圆" w:eastAsia="幼圆" w:cs="幼圆"/>
          <w:sz w:val="21"/>
          <w:szCs w:val="21"/>
          <w:u w:val="single"/>
          <w:lang w:val="en-US" w:eastAsia="zh-CN"/>
        </w:rPr>
        <w:t xml:space="preserve">  0.5   </w:t>
      </w:r>
      <w:r>
        <w:rPr>
          <w:rFonts w:hint="eastAsia" w:ascii="幼圆" w:hAnsi="幼圆" w:eastAsia="幼圆" w:cs="幼圆"/>
          <w:sz w:val="21"/>
          <w:szCs w:val="21"/>
          <w:lang w:val="en-US" w:eastAsia="zh-CN"/>
        </w:rPr>
        <w:t>小时内维修完成；</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z w:val="21"/>
          <w:szCs w:val="21"/>
          <w:lang w:val="en-US" w:eastAsia="zh-CN"/>
        </w:rPr>
        <w:t>C一般故障自报修起</w:t>
      </w:r>
      <w:r>
        <w:rPr>
          <w:rFonts w:hint="eastAsia" w:ascii="幼圆" w:hAnsi="幼圆" w:eastAsia="幼圆" w:cs="幼圆"/>
          <w:sz w:val="21"/>
          <w:szCs w:val="21"/>
          <w:u w:val="single"/>
          <w:lang w:val="en-US" w:eastAsia="zh-CN"/>
        </w:rPr>
        <w:t xml:space="preserve">   2   </w:t>
      </w:r>
      <w:r>
        <w:rPr>
          <w:rFonts w:hint="eastAsia" w:ascii="幼圆" w:hAnsi="幼圆" w:eastAsia="幼圆" w:cs="幼圆"/>
          <w:sz w:val="21"/>
          <w:szCs w:val="21"/>
          <w:lang w:val="en-US" w:eastAsia="zh-CN"/>
        </w:rPr>
        <w:t>小时内维修完成。</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负责对</w:t>
      </w:r>
      <w:r>
        <w:rPr>
          <w:rFonts w:hint="eastAsia" w:ascii="幼圆" w:hAnsi="幼圆" w:eastAsia="幼圆" w:cs="幼圆"/>
          <w:spacing w:val="14"/>
          <w:sz w:val="21"/>
          <w:szCs w:val="21"/>
          <w:lang w:eastAsia="zh-CN"/>
        </w:rPr>
        <w:t>院区</w:t>
      </w:r>
      <w:r>
        <w:rPr>
          <w:rFonts w:hint="eastAsia" w:ascii="幼圆" w:hAnsi="幼圆" w:eastAsia="幼圆" w:cs="幼圆"/>
          <w:spacing w:val="14"/>
          <w:sz w:val="21"/>
          <w:szCs w:val="21"/>
        </w:rPr>
        <w:t>所包括的所有</w:t>
      </w:r>
      <w:r>
        <w:rPr>
          <w:rFonts w:hint="eastAsia" w:ascii="幼圆" w:hAnsi="幼圆" w:eastAsia="幼圆" w:cs="幼圆"/>
          <w:spacing w:val="14"/>
          <w:sz w:val="21"/>
          <w:szCs w:val="21"/>
          <w:lang w:val="en-US" w:eastAsia="zh-CN"/>
        </w:rPr>
        <w:t>UPS设备</w:t>
      </w:r>
      <w:r>
        <w:rPr>
          <w:rFonts w:hint="eastAsia" w:ascii="幼圆" w:hAnsi="幼圆" w:eastAsia="幼圆" w:cs="幼圆"/>
          <w:spacing w:val="14"/>
          <w:sz w:val="21"/>
          <w:szCs w:val="21"/>
        </w:rPr>
        <w:t>的维修保养。对</w:t>
      </w:r>
      <w:r>
        <w:rPr>
          <w:rFonts w:hint="eastAsia" w:ascii="幼圆" w:hAnsi="幼圆" w:eastAsia="幼圆" w:cs="幼圆"/>
          <w:spacing w:val="14"/>
          <w:sz w:val="21"/>
          <w:szCs w:val="21"/>
          <w:lang w:eastAsia="zh-CN"/>
        </w:rPr>
        <w:t>院区</w:t>
      </w:r>
      <w:r>
        <w:rPr>
          <w:rFonts w:hint="eastAsia" w:ascii="幼圆" w:hAnsi="幼圆" w:eastAsia="幼圆" w:cs="幼圆"/>
          <w:spacing w:val="14"/>
          <w:sz w:val="21"/>
          <w:szCs w:val="21"/>
        </w:rPr>
        <w:t>内所含设备实施检查、恢复，使其各个系统正常工作，并与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代表共同签字确认备案。</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维保工作</w:t>
      </w:r>
      <w:r>
        <w:rPr>
          <w:rFonts w:hint="eastAsia" w:ascii="幼圆" w:hAnsi="幼圆" w:eastAsia="幼圆" w:cs="幼圆"/>
          <w:spacing w:val="14"/>
          <w:sz w:val="21"/>
          <w:szCs w:val="21"/>
          <w:lang w:eastAsia="zh-CN"/>
        </w:rPr>
        <w:t>一般故障</w:t>
      </w:r>
      <w:r>
        <w:rPr>
          <w:rFonts w:hint="eastAsia" w:ascii="幼圆" w:hAnsi="幼圆" w:eastAsia="幼圆" w:cs="幼圆"/>
          <w:spacing w:val="14"/>
          <w:sz w:val="21"/>
          <w:szCs w:val="21"/>
        </w:rPr>
        <w:t>要做到小修不过夜，大修不能超过三天。小修范围：根据故障情况，</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管理值班人员及时通知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方维护人员应积极配合及时完成维护，</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要对每次通知落实情况进行考核，</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如有延误，小修考核每次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大修考核每次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rPr>
        <w:t>000元，以便对维保工作的促进。</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rPr>
        <w:t>甲方有权随时检查维保人员工作情况，如有擅离职守、日常巡查及保养工作完成不到位等情况</w:t>
      </w:r>
      <w:r>
        <w:rPr>
          <w:rFonts w:hint="eastAsia" w:ascii="幼圆" w:hAnsi="幼圆" w:eastAsia="幼圆" w:cs="幼圆"/>
          <w:spacing w:val="14"/>
          <w:sz w:val="21"/>
          <w:szCs w:val="21"/>
          <w:lang w:eastAsia="zh-CN"/>
        </w:rPr>
        <w:t>每项</w:t>
      </w:r>
      <w:r>
        <w:rPr>
          <w:rFonts w:hint="eastAsia" w:ascii="幼圆" w:hAnsi="幼圆" w:eastAsia="幼圆" w:cs="幼圆"/>
          <w:spacing w:val="14"/>
          <w:sz w:val="21"/>
          <w:szCs w:val="21"/>
        </w:rPr>
        <w:t>罚</w:t>
      </w:r>
      <w:r>
        <w:rPr>
          <w:rFonts w:hint="eastAsia" w:ascii="幼圆" w:hAnsi="幼圆" w:eastAsia="幼圆" w:cs="幼圆"/>
          <w:spacing w:val="14"/>
          <w:sz w:val="21"/>
          <w:szCs w:val="21"/>
          <w:lang w:eastAsia="zh-CN"/>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维保期间</w:t>
      </w:r>
      <w:r>
        <w:rPr>
          <w:rFonts w:hint="eastAsia" w:ascii="幼圆" w:hAnsi="幼圆" w:eastAsia="幼圆" w:cs="幼圆"/>
          <w:spacing w:val="14"/>
          <w:sz w:val="21"/>
          <w:szCs w:val="21"/>
        </w:rPr>
        <w:t>由</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工作延误导致人身、财产损失，由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方承担全部责任。</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5、</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维保人员工作期间应穿统一服装、佩戴工作证件等，维保期间</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方的安全责任和由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方引起的安全责任由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方负责。</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6、</w:t>
      </w:r>
      <w:r>
        <w:rPr>
          <w:rFonts w:hint="eastAsia" w:ascii="幼圆" w:hAnsi="幼圆" w:eastAsia="幼圆" w:cs="幼圆"/>
          <w:spacing w:val="14"/>
          <w:sz w:val="21"/>
          <w:szCs w:val="21"/>
        </w:rPr>
        <w:t>每月维保工作结束时应</w:t>
      </w:r>
      <w:r>
        <w:rPr>
          <w:rFonts w:hint="eastAsia" w:ascii="幼圆" w:hAnsi="幼圆" w:eastAsia="幼圆" w:cs="幼圆"/>
          <w:spacing w:val="14"/>
          <w:sz w:val="21"/>
          <w:szCs w:val="21"/>
          <w:lang w:val="en-US" w:eastAsia="zh-CN"/>
        </w:rPr>
        <w:t>在次月5号前</w:t>
      </w:r>
      <w:r>
        <w:rPr>
          <w:rFonts w:hint="eastAsia" w:ascii="幼圆" w:hAnsi="幼圆" w:eastAsia="幼圆" w:cs="幼圆"/>
          <w:spacing w:val="14"/>
          <w:sz w:val="21"/>
          <w:szCs w:val="21"/>
        </w:rPr>
        <w:t>出具月度工作报告及相关维修保养记录</w:t>
      </w:r>
      <w:r>
        <w:rPr>
          <w:rFonts w:hint="eastAsia" w:ascii="幼圆" w:hAnsi="幼圆" w:eastAsia="幼圆" w:cs="幼圆"/>
          <w:spacing w:val="14"/>
          <w:sz w:val="21"/>
          <w:szCs w:val="21"/>
          <w:lang w:val="en-US" w:eastAsia="zh-CN"/>
        </w:rPr>
        <w:t>交付甲方，每次延迟交付</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lang w:val="en-US" w:eastAsia="zh-CN"/>
        </w:rPr>
        <w:t>扣1000元</w:t>
      </w:r>
      <w:r>
        <w:rPr>
          <w:rFonts w:hint="eastAsia" w:ascii="幼圆" w:hAnsi="幼圆" w:eastAsia="幼圆" w:cs="幼圆"/>
          <w:spacing w:val="14"/>
          <w:sz w:val="21"/>
          <w:szCs w:val="21"/>
        </w:rPr>
        <w:t>。</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7、</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方应该配合</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检查，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应认真执行国家有关规定，服从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 xml:space="preserve">管理部门的技术指导和业务管理，达到要求，并承担相应的责任。  </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8、</w:t>
      </w:r>
      <w:r>
        <w:rPr>
          <w:rFonts w:hint="eastAsia" w:ascii="幼圆" w:hAnsi="幼圆" w:eastAsia="幼圆" w:cs="幼圆"/>
          <w:spacing w:val="14"/>
          <w:sz w:val="21"/>
          <w:szCs w:val="21"/>
        </w:rPr>
        <w:t>乙方</w:t>
      </w:r>
      <w:r>
        <w:rPr>
          <w:rFonts w:hint="eastAsia" w:ascii="幼圆" w:hAnsi="幼圆" w:eastAsia="幼圆" w:cs="幼圆"/>
          <w:spacing w:val="14"/>
          <w:sz w:val="21"/>
          <w:szCs w:val="21"/>
          <w:lang w:eastAsia="zh-CN"/>
        </w:rPr>
        <w:t>维保</w:t>
      </w:r>
      <w:r>
        <w:rPr>
          <w:rFonts w:hint="eastAsia" w:ascii="幼圆" w:hAnsi="幼圆" w:eastAsia="幼圆" w:cs="幼圆"/>
          <w:spacing w:val="14"/>
          <w:sz w:val="21"/>
          <w:szCs w:val="21"/>
        </w:rPr>
        <w:t>人员均应持有与该项目相匹配的特种作业证书方可上岗，如不符合要求条件，甲方有权提出</w:t>
      </w:r>
      <w:r>
        <w:rPr>
          <w:rFonts w:hint="eastAsia" w:ascii="幼圆" w:hAnsi="幼圆" w:eastAsia="幼圆" w:cs="幼圆"/>
          <w:b w:val="0"/>
          <w:bCs w:val="0"/>
          <w:sz w:val="21"/>
          <w:szCs w:val="21"/>
        </w:rPr>
        <w:t>更换。</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9、</w:t>
      </w:r>
      <w:r>
        <w:rPr>
          <w:rFonts w:hint="eastAsia" w:ascii="幼圆" w:hAnsi="幼圆" w:eastAsia="幼圆" w:cs="幼圆"/>
          <w:spacing w:val="14"/>
          <w:sz w:val="21"/>
          <w:szCs w:val="21"/>
        </w:rPr>
        <w:t xml:space="preserve">违约界定和处理 </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 xml:space="preserve">未按规定的时间完成本合同的维保内容； </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 xml:space="preserve">提供的维保服务与本合同所要求的不一致； </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C</w:t>
      </w:r>
      <w:r>
        <w:rPr>
          <w:rFonts w:hint="eastAsia" w:ascii="幼圆" w:hAnsi="幼圆" w:eastAsia="幼圆" w:cs="幼圆"/>
          <w:spacing w:val="14"/>
          <w:sz w:val="21"/>
          <w:szCs w:val="21"/>
        </w:rPr>
        <w:t xml:space="preserve">提供的零配件质量和性能有问题，按规定属不合格产品； </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D</w:t>
      </w:r>
      <w:r>
        <w:rPr>
          <w:rFonts w:hint="eastAsia" w:ascii="幼圆" w:hAnsi="幼圆" w:eastAsia="幼圆" w:cs="幼圆"/>
          <w:spacing w:val="14"/>
          <w:sz w:val="21"/>
          <w:szCs w:val="21"/>
        </w:rPr>
        <w:t xml:space="preserve">没有维保能力（或没有组织配件的能力）更新配件或维保工作采取转包的； </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E</w:t>
      </w:r>
      <w:r>
        <w:rPr>
          <w:rFonts w:hint="eastAsia" w:ascii="幼圆" w:hAnsi="幼圆" w:eastAsia="幼圆" w:cs="幼圆"/>
          <w:spacing w:val="14"/>
          <w:sz w:val="21"/>
          <w:szCs w:val="21"/>
        </w:rPr>
        <w:t>相关权威部门年度检查验收不合格；</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b w:val="0"/>
          <w:bCs w:val="0"/>
          <w:spacing w:val="14"/>
          <w:sz w:val="21"/>
          <w:szCs w:val="21"/>
          <w:lang w:eastAsia="zh-CN"/>
        </w:rPr>
      </w:pPr>
      <w:r>
        <w:rPr>
          <w:rFonts w:hint="eastAsia" w:ascii="幼圆" w:hAnsi="幼圆" w:eastAsia="幼圆" w:cs="幼圆"/>
          <w:b w:val="0"/>
          <w:bCs w:val="0"/>
          <w:spacing w:val="14"/>
          <w:sz w:val="21"/>
          <w:szCs w:val="21"/>
        </w:rPr>
        <w:t>处理约定：</w:t>
      </w:r>
      <w:r>
        <w:rPr>
          <w:rFonts w:hint="eastAsia" w:ascii="幼圆" w:hAnsi="幼圆" w:eastAsia="幼圆" w:cs="幼圆"/>
          <w:spacing w:val="14"/>
          <w:sz w:val="21"/>
          <w:szCs w:val="21"/>
          <w:lang w:eastAsia="zh-CN"/>
        </w:rPr>
        <w:t>乙方</w:t>
      </w:r>
      <w:r>
        <w:rPr>
          <w:rFonts w:hint="eastAsia" w:ascii="幼圆" w:hAnsi="幼圆" w:eastAsia="幼圆" w:cs="幼圆"/>
          <w:b w:val="0"/>
          <w:bCs w:val="0"/>
          <w:spacing w:val="14"/>
          <w:sz w:val="21"/>
          <w:szCs w:val="21"/>
          <w:lang w:eastAsia="zh-CN"/>
        </w:rPr>
        <w:t>若有上述违约情况之一的，</w:t>
      </w:r>
      <w:r>
        <w:rPr>
          <w:rFonts w:hint="eastAsia" w:ascii="幼圆" w:hAnsi="幼圆" w:eastAsia="幼圆" w:cs="幼圆"/>
          <w:spacing w:val="14"/>
          <w:sz w:val="21"/>
          <w:szCs w:val="21"/>
        </w:rPr>
        <w:t>将视为违约</w:t>
      </w:r>
      <w:r>
        <w:rPr>
          <w:rFonts w:hint="eastAsia" w:ascii="幼圆" w:hAnsi="幼圆" w:eastAsia="幼圆" w:cs="幼圆"/>
          <w:spacing w:val="14"/>
          <w:sz w:val="21"/>
          <w:szCs w:val="21"/>
          <w:lang w:eastAsia="zh-CN"/>
        </w:rPr>
        <w:t>，</w:t>
      </w:r>
      <w:r>
        <w:rPr>
          <w:rFonts w:hint="eastAsia" w:ascii="幼圆" w:hAnsi="幼圆" w:eastAsia="幼圆" w:cs="幼圆"/>
          <w:b w:val="0"/>
          <w:bCs w:val="0"/>
          <w:spacing w:val="14"/>
          <w:sz w:val="21"/>
          <w:szCs w:val="21"/>
          <w:lang w:eastAsia="zh-CN"/>
        </w:rPr>
        <w:t>罚扣当年维保合同金额的</w:t>
      </w:r>
      <w:r>
        <w:rPr>
          <w:rFonts w:hint="eastAsia" w:ascii="幼圆" w:hAnsi="幼圆" w:eastAsia="幼圆" w:cs="幼圆"/>
          <w:b w:val="0"/>
          <w:bCs w:val="0"/>
          <w:spacing w:val="14"/>
          <w:sz w:val="21"/>
          <w:szCs w:val="21"/>
        </w:rPr>
        <w:t>10%</w:t>
      </w:r>
      <w:r>
        <w:rPr>
          <w:rFonts w:hint="eastAsia" w:ascii="幼圆" w:hAnsi="幼圆" w:eastAsia="幼圆" w:cs="幼圆"/>
          <w:b w:val="0"/>
          <w:bCs w:val="0"/>
          <w:spacing w:val="14"/>
          <w:sz w:val="21"/>
          <w:szCs w:val="21"/>
          <w:lang w:eastAsia="zh-CN"/>
        </w:rPr>
        <w:t>。拒不改正的，合约解除，并赔偿甲方所有损失。</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10、运行参数正常： </w:t>
      </w:r>
      <w:r>
        <w:rPr>
          <w:rFonts w:hint="eastAsia" w:ascii="幼圆" w:hAnsi="幼圆" w:eastAsia="幼圆" w:cs="幼圆"/>
          <w:sz w:val="21"/>
          <w:szCs w:val="21"/>
          <w:lang w:val="en-US" w:eastAsia="zh-CN"/>
        </w:rPr>
        <w:t>保证甲方设备安全运行，保障24小时不间断安全运行，因设备异常或乙方操作不当引起的事故，所造成的损失，乙方负全责。</w:t>
      </w:r>
    </w:p>
    <w:p>
      <w:pPr>
        <w:keepNext w:val="0"/>
        <w:keepLines w:val="0"/>
        <w:pageBreakBefore w:val="0"/>
        <w:widowControl/>
        <w:numPr>
          <w:ilvl w:val="0"/>
          <w:numId w:val="0"/>
        </w:numPr>
        <w:wordWrap/>
        <w:topLinePunct w:val="0"/>
        <w:bidi w:val="0"/>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11、设备： 设备外观平整，功能正常无缺。</w:t>
      </w:r>
    </w:p>
    <w:p>
      <w:pPr>
        <w:keepNext w:val="0"/>
        <w:keepLines w:val="0"/>
        <w:pageBreakBefore w:val="0"/>
        <w:widowControl/>
        <w:numPr>
          <w:ilvl w:val="0"/>
          <w:numId w:val="0"/>
        </w:numPr>
        <w:wordWrap/>
        <w:topLinePunct w:val="0"/>
        <w:bidi w:val="0"/>
        <w:spacing w:line="240" w:lineRule="auto"/>
        <w:jc w:val="left"/>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12、文档齐全： </w:t>
      </w:r>
      <w:r>
        <w:rPr>
          <w:rFonts w:hint="eastAsia" w:ascii="幼圆" w:hAnsi="幼圆" w:eastAsia="幼圆" w:cs="幼圆"/>
          <w:sz w:val="21"/>
          <w:szCs w:val="21"/>
          <w:lang w:val="en-US" w:eastAsia="zh-CN"/>
        </w:rPr>
        <w:t>每月5日前递交上一月度维保报告、巡检记录、维修记录，甲方签字认可，缺少一次按照不低于1000元罚扣。</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八、人员要求</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spacing w:val="14"/>
          <w:sz w:val="21"/>
          <w:szCs w:val="21"/>
          <w:lang w:eastAsia="zh-CN"/>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操作人员需具有下述证照：</w:t>
      </w:r>
    </w:p>
    <w:p>
      <w:pPr>
        <w:keepNext w:val="0"/>
        <w:keepLines w:val="0"/>
        <w:pageBreakBefore w:val="0"/>
        <w:widowControl/>
        <w:numPr>
          <w:ilvl w:val="0"/>
          <w:numId w:val="0"/>
        </w:numPr>
        <w:wordWrap/>
        <w:topLinePunct w:val="0"/>
        <w:bidi w:val="0"/>
        <w:spacing w:line="240" w:lineRule="auto"/>
        <w:ind w:left="420" w:leftChars="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低压电工作业</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keepNext w:val="0"/>
        <w:keepLines w:val="0"/>
        <w:pageBreakBefore w:val="0"/>
        <w:widowControl/>
        <w:numPr>
          <w:ilvl w:val="0"/>
          <w:numId w:val="9"/>
        </w:numPr>
        <w:wordWrap/>
        <w:topLinePunct w:val="0"/>
        <w:bidi w:val="0"/>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维保厂商接院方故障报修后，0.5小时内维修人员到达现场，2小时内将故障排除，并免费提供备机服务。</w:t>
      </w:r>
    </w:p>
    <w:p>
      <w:pPr>
        <w:pStyle w:val="174"/>
        <w:keepNext w:val="0"/>
        <w:keepLines w:val="0"/>
        <w:pageBreakBefore w:val="0"/>
        <w:widowControl/>
        <w:numPr>
          <w:ilvl w:val="0"/>
          <w:numId w:val="0"/>
        </w:numPr>
        <w:wordWrap/>
        <w:topLinePunct w:val="0"/>
        <w:bidi w:val="0"/>
        <w:adjustRightInd w:val="0"/>
        <w:snapToGrid w:val="0"/>
        <w:spacing w:before="0" w:after="0" w:line="240" w:lineRule="auto"/>
        <w:jc w:val="both"/>
        <w:outlineLvl w:val="0"/>
        <w:rPr>
          <w:rFonts w:hint="eastAsia" w:ascii="幼圆" w:hAnsi="幼圆" w:eastAsia="幼圆" w:cs="幼圆"/>
          <w:spacing w:val="14"/>
          <w:sz w:val="21"/>
          <w:szCs w:val="21"/>
          <w:lang w:val="en-US" w:eastAsia="zh-CN"/>
        </w:rPr>
      </w:pPr>
      <w:r>
        <w:rPr>
          <w:rFonts w:hint="eastAsia" w:ascii="幼圆" w:hAnsi="幼圆" w:eastAsia="幼圆" w:cs="幼圆"/>
          <w:color w:val="auto"/>
          <w:kern w:val="0"/>
          <w:sz w:val="21"/>
          <w:szCs w:val="21"/>
          <w:lang w:val="en-US" w:eastAsia="zh-CN" w:bidi="ar-SA"/>
        </w:rPr>
        <w:t>6、提供人员驻场服务：8:00-17:00，听从院方工作指派。</w:t>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九、维保设备清单</w:t>
      </w:r>
    </w:p>
    <w:tbl>
      <w:tblPr>
        <w:tblStyle w:val="36"/>
        <w:tblW w:w="55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726"/>
        <w:gridCol w:w="3802"/>
        <w:gridCol w:w="1739"/>
        <w:gridCol w:w="914"/>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序号</w:t>
            </w:r>
          </w:p>
        </w:tc>
        <w:tc>
          <w:tcPr>
            <w:tcW w:w="87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维保设备名称</w:t>
            </w:r>
          </w:p>
        </w:tc>
        <w:tc>
          <w:tcPr>
            <w:tcW w:w="193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维保基本要求</w:t>
            </w: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说明</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数量</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b/>
                <w:bCs/>
                <w:color w:val="000000"/>
                <w:kern w:val="0"/>
                <w:sz w:val="20"/>
                <w:szCs w:val="20"/>
                <w:lang w:eastAsia="zh-CN"/>
              </w:rPr>
            </w:pPr>
            <w:r>
              <w:rPr>
                <w:rFonts w:hint="eastAsia" w:ascii="幼圆" w:hAnsi="幼圆" w:eastAsia="幼圆" w:cs="幼圆"/>
                <w:b/>
                <w:bCs/>
                <w:color w:val="000000"/>
                <w:kern w:val="0"/>
                <w:sz w:val="20"/>
                <w:szCs w:val="20"/>
                <w:lang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ONL33-160K 1#楼5层平台</w:t>
            </w:r>
          </w:p>
        </w:tc>
        <w:tc>
          <w:tcPr>
            <w:tcW w:w="1935" w:type="pct"/>
            <w:vMerge w:val="restart"/>
            <w:noWrap w:val="0"/>
            <w:vAlign w:val="top"/>
          </w:tcPr>
          <w:p>
            <w:pPr>
              <w:keepNext w:val="0"/>
              <w:keepLines w:val="0"/>
              <w:pageBreakBefore w:val="0"/>
              <w:widowControl/>
              <w:numPr>
                <w:ilvl w:val="0"/>
                <w:numId w:val="10"/>
              </w:numPr>
              <w:wordWrap/>
              <w:topLinePunct w:val="0"/>
              <w:bidi w:val="0"/>
              <w:spacing w:line="240" w:lineRule="auto"/>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rPr>
              <w:t>主机（检查环境温度、湿度、照明、异物等；检查设备物理外观包括腐蚀、老化、变形、发热等；检查配电开关、电缆、接线端子包括腐蚀、老化、变形、发热等；检查记录UPS运行指示灯及屏幕是否正常显示；检查记录主路输入电压、频率、电流、波形；检查记录旁路输入电压、频率、电流、波形；检查记录输出电压、频率、电流、波形；）                    2、电池组（检查电池物理外观是否有变形、趴酸、漏液；检查电池及直流线材温度；检查记录电池组充电电压及抽查单只充电电压；检查电池箱或架物理外观是否有腐蚀、老化、变形；）                                               3、UPS系统（检查环境并清理</w:t>
            </w:r>
            <w:r>
              <w:rPr>
                <w:rFonts w:hint="eastAsia" w:ascii="幼圆" w:hAnsi="幼圆" w:eastAsia="幼圆" w:cs="幼圆"/>
                <w:color w:val="000000"/>
                <w:kern w:val="0"/>
                <w:sz w:val="20"/>
                <w:szCs w:val="20"/>
                <w:lang w:eastAsia="zh-CN"/>
              </w:rPr>
              <w:t>、</w:t>
            </w:r>
            <w:r>
              <w:rPr>
                <w:rFonts w:hint="eastAsia" w:ascii="幼圆" w:hAnsi="幼圆" w:eastAsia="幼圆" w:cs="幼圆"/>
                <w:color w:val="000000"/>
                <w:kern w:val="0"/>
                <w:sz w:val="20"/>
                <w:szCs w:val="20"/>
              </w:rPr>
              <w:t>检查设备可及部分积尘并清理、检查设备物理外观、检查配电系统、检查记录设备运行数据、实测记录设备运行数据、实测记录标示电池组电压、电池组内阻、实测记录系统充放电10分钟、实测恢复市电模式设备运行数据。）                                           4、主机及电池为月度巡检，UPS系统为季度巡检</w:t>
            </w:r>
            <w:r>
              <w:rPr>
                <w:rFonts w:hint="eastAsia" w:ascii="幼圆" w:hAnsi="幼圆" w:eastAsia="幼圆" w:cs="幼圆"/>
                <w:color w:val="000000"/>
                <w:kern w:val="0"/>
                <w:sz w:val="20"/>
                <w:szCs w:val="20"/>
                <w:lang w:eastAsia="zh-CN"/>
              </w:rPr>
              <w:t>。</w:t>
            </w:r>
          </w:p>
          <w:p>
            <w:pPr>
              <w:keepNext w:val="0"/>
              <w:keepLines w:val="0"/>
              <w:pageBreakBefore w:val="0"/>
              <w:widowControl/>
              <w:numPr>
                <w:ilvl w:val="0"/>
                <w:numId w:val="0"/>
              </w:numPr>
              <w:wordWrap/>
              <w:topLinePunct w:val="0"/>
              <w:bidi w:val="0"/>
              <w:spacing w:line="240" w:lineRule="auto"/>
              <w:rPr>
                <w:rFonts w:hint="eastAsia" w:ascii="幼圆" w:hAnsi="幼圆" w:eastAsia="幼圆" w:cs="幼圆"/>
                <w:color w:val="000000"/>
                <w:kern w:val="0"/>
                <w:sz w:val="20"/>
                <w:szCs w:val="20"/>
                <w:lang w:val="en-US"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192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EP160-L  1#楼5层平台</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96</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GR-HT33016 DCS机房</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4</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i w:val="0"/>
                <w:iCs w:val="0"/>
                <w:color w:val="000000"/>
                <w:kern w:val="0"/>
                <w:sz w:val="20"/>
                <w:szCs w:val="20"/>
                <w:u w:val="none"/>
                <w:lang w:val="en-US" w:eastAsia="zh-CN" w:bidi="ar"/>
              </w:rPr>
              <w:t>YDC33100 3#楼网络机房</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64</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5</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ONL33-15K 配电室库房</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60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6</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EP60 实验平台</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7</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EO20L 急诊1层强电间</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8</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YDC3340 发热门诊</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16</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9</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GP810H 发热门诊</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10</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EP30 发热门诊</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11</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ST101 发热门诊</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16</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12</w:t>
            </w:r>
          </w:p>
        </w:tc>
        <w:tc>
          <w:tcPr>
            <w:tcW w:w="878"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YDC9310/YDC9110 3#楼网络机房/1#楼通讯机房、监控机房</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80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13</w:t>
            </w:r>
          </w:p>
        </w:tc>
        <w:tc>
          <w:tcPr>
            <w:tcW w:w="878" w:type="pct"/>
            <w:vMerge w:val="restart"/>
            <w:noWrap w:val="0"/>
            <w:vAlign w:val="center"/>
          </w:tcPr>
          <w:p>
            <w:pPr>
              <w:keepNext w:val="0"/>
              <w:keepLines w:val="0"/>
              <w:pageBreakBefore w:val="0"/>
              <w:widowControl/>
              <w:suppressLineNumbers w:val="0"/>
              <w:wordWrap/>
              <w:topLinePunct w:val="0"/>
              <w:bidi w:val="0"/>
              <w:spacing w:line="240" w:lineRule="auto"/>
              <w:jc w:val="center"/>
              <w:textAlignment w:val="center"/>
              <w:rPr>
                <w:rFonts w:hint="eastAsia" w:ascii="幼圆" w:hAnsi="幼圆" w:eastAsia="幼圆" w:cs="幼圆"/>
                <w:i w:val="0"/>
                <w:iCs w:val="0"/>
                <w:color w:val="000000"/>
                <w:kern w:val="2"/>
                <w:sz w:val="20"/>
                <w:szCs w:val="20"/>
                <w:u w:val="none"/>
                <w:lang w:val="en-US" w:eastAsia="zh-CN" w:bidi="ar-SA"/>
              </w:rPr>
            </w:pPr>
            <w:r>
              <w:rPr>
                <w:rFonts w:hint="eastAsia" w:ascii="幼圆" w:hAnsi="幼圆" w:eastAsia="幼圆" w:cs="幼圆"/>
                <w:i w:val="0"/>
                <w:iCs w:val="0"/>
                <w:color w:val="000000"/>
                <w:kern w:val="2"/>
                <w:sz w:val="20"/>
                <w:szCs w:val="20"/>
                <w:u w:val="none"/>
                <w:lang w:val="en-US" w:eastAsia="zh-CN" w:bidi="ar-SA"/>
              </w:rPr>
              <w:t>120KVA 5#楼检验科/急诊</w:t>
            </w: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120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878"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p>
        </w:tc>
        <w:tc>
          <w:tcPr>
            <w:tcW w:w="1935" w:type="pct"/>
            <w:vMerge w:val="continue"/>
            <w:noWrap w:val="0"/>
            <w:vAlign w:val="top"/>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eastAsia="zh-CN"/>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6" w:type="pct"/>
            <w:vMerge w:val="restar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14</w:t>
            </w:r>
          </w:p>
        </w:tc>
        <w:tc>
          <w:tcPr>
            <w:tcW w:w="878" w:type="pct"/>
            <w:vMerge w:val="restart"/>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200KVA 手术室/网管科</w:t>
            </w:r>
          </w:p>
        </w:tc>
        <w:tc>
          <w:tcPr>
            <w:tcW w:w="1935" w:type="pct"/>
            <w:vMerge w:val="continue"/>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4</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6" w:type="pct"/>
            <w:vMerge w:val="continue"/>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rPr>
            </w:pPr>
          </w:p>
        </w:tc>
        <w:tc>
          <w:tcPr>
            <w:tcW w:w="1935" w:type="pct"/>
            <w:vMerge w:val="continue"/>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256</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6" w:type="pct"/>
            <w:vMerge w:val="continue"/>
            <w:tcBorders>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rPr>
            </w:pPr>
          </w:p>
        </w:tc>
        <w:tc>
          <w:tcPr>
            <w:tcW w:w="1935" w:type="pct"/>
            <w:vMerge w:val="continue"/>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4</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15</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100KVA 生殖中心/安防机房</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82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16</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80KVA 病理科/NICU</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80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17</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60KVA 技防中心</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72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18</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40KVA 综合ICU/肝胆ICU</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64</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19</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30KVA 5#楼电话机房</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20</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val="en-US" w:eastAsia="zh-CN"/>
              </w:rPr>
            </w:pPr>
            <w:r>
              <w:rPr>
                <w:rFonts w:hint="eastAsia" w:ascii="幼圆" w:hAnsi="幼圆" w:eastAsia="幼圆" w:cs="幼圆"/>
                <w:sz w:val="20"/>
                <w:szCs w:val="20"/>
                <w:lang w:val="en-US" w:eastAsia="zh-CN"/>
              </w:rPr>
              <w:t>6KVA 药剂科</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restart"/>
            <w:tcBorders>
              <w:top w:val="single" w:color="auto" w:sz="4" w:space="0"/>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21</w:t>
            </w:r>
          </w:p>
        </w:tc>
        <w:tc>
          <w:tcPr>
            <w:tcW w:w="878" w:type="pct"/>
            <w:vMerge w:val="restart"/>
            <w:tcBorders>
              <w:top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r>
              <w:rPr>
                <w:rFonts w:hint="eastAsia" w:ascii="幼圆" w:hAnsi="幼圆" w:eastAsia="幼圆" w:cs="幼圆"/>
                <w:sz w:val="20"/>
                <w:szCs w:val="20"/>
              </w:rPr>
              <w:t>YDC9103S</w:t>
            </w:r>
            <w:r>
              <w:rPr>
                <w:rFonts w:hint="eastAsia" w:ascii="幼圆" w:hAnsi="幼圆" w:eastAsia="幼圆" w:cs="幼圆"/>
                <w:sz w:val="20"/>
                <w:szCs w:val="20"/>
                <w:lang w:val="en-US" w:eastAsia="zh-CN"/>
              </w:rPr>
              <w:t xml:space="preserve"> </w:t>
            </w:r>
            <w:r>
              <w:rPr>
                <w:rFonts w:hint="eastAsia" w:ascii="幼圆" w:hAnsi="幼圆" w:eastAsia="幼圆" w:cs="幼圆"/>
                <w:sz w:val="20"/>
                <w:szCs w:val="20"/>
                <w:lang w:eastAsia="zh-CN"/>
              </w:rPr>
              <w:t>放射科</w:t>
            </w: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主机</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10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16" w:type="pct"/>
            <w:vMerge w:val="continue"/>
            <w:tcBorders>
              <w:left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kern w:val="2"/>
                <w:sz w:val="20"/>
                <w:szCs w:val="20"/>
                <w:lang w:val="en-US" w:eastAsia="zh-CN" w:bidi="ar-SA"/>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电池组</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30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16" w:type="pct"/>
            <w:vMerge w:val="continue"/>
            <w:tcBorders>
              <w:left w:val="single" w:color="auto" w:sz="4" w:space="0"/>
              <w:bottom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p>
        </w:tc>
        <w:tc>
          <w:tcPr>
            <w:tcW w:w="878" w:type="pct"/>
            <w:vMerge w:val="continue"/>
            <w:tcBorders>
              <w:bottom w:val="single" w:color="auto" w:sz="4" w:space="0"/>
              <w:right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sz w:val="20"/>
                <w:szCs w:val="20"/>
                <w:lang w:eastAsia="zh-CN"/>
              </w:rPr>
            </w:pPr>
          </w:p>
        </w:tc>
        <w:tc>
          <w:tcPr>
            <w:tcW w:w="1935" w:type="pct"/>
            <w:vMerge w:val="continue"/>
            <w:tcBorders>
              <w:left w:val="single" w:color="auto" w:sz="4" w:space="0"/>
            </w:tcBorders>
            <w:noWrap w:val="0"/>
            <w:vAlign w:val="center"/>
          </w:tcPr>
          <w:p>
            <w:pPr>
              <w:keepNext w:val="0"/>
              <w:keepLines w:val="0"/>
              <w:pageBreakBefore w:val="0"/>
              <w:widowControl/>
              <w:wordWrap/>
              <w:topLinePunct w:val="0"/>
              <w:bidi w:val="0"/>
              <w:spacing w:line="240" w:lineRule="auto"/>
              <w:rPr>
                <w:rFonts w:hint="eastAsia" w:ascii="幼圆" w:hAnsi="幼圆" w:eastAsia="幼圆" w:cs="幼圆"/>
                <w:color w:val="000000"/>
                <w:kern w:val="0"/>
                <w:sz w:val="20"/>
                <w:szCs w:val="20"/>
                <w:lang w:val="en-US"/>
              </w:rPr>
            </w:pP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bidi="ar-SA"/>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bidi="ar-SA"/>
              </w:rPr>
            </w:pPr>
            <w:r>
              <w:rPr>
                <w:rFonts w:hint="eastAsia" w:ascii="幼圆" w:hAnsi="幼圆" w:eastAsia="幼圆" w:cs="幼圆"/>
                <w:color w:val="000000"/>
                <w:kern w:val="0"/>
                <w:sz w:val="20"/>
                <w:szCs w:val="20"/>
                <w:lang w:val="en-US" w:eastAsia="zh-CN"/>
              </w:rPr>
              <w:t>10</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bidi="ar-SA"/>
              </w:rPr>
            </w:pPr>
            <w:r>
              <w:rPr>
                <w:rFonts w:hint="eastAsia" w:ascii="幼圆" w:hAnsi="幼圆" w:eastAsia="幼圆" w:cs="幼圆"/>
                <w:color w:val="000000"/>
                <w:kern w:val="0"/>
                <w:sz w:val="20"/>
                <w:szCs w:val="20"/>
                <w:lang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16" w:type="pct"/>
            <w:tcBorders>
              <w:top w:val="single" w:color="auto" w:sz="4" w:space="0"/>
            </w:tcBorders>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22</w:t>
            </w:r>
          </w:p>
        </w:tc>
        <w:tc>
          <w:tcPr>
            <w:tcW w:w="878" w:type="pct"/>
            <w:tcBorders>
              <w:top w:val="single" w:color="auto" w:sz="4" w:space="0"/>
            </w:tcBorders>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rPr>
              <w:t>预防性维护</w:t>
            </w:r>
          </w:p>
        </w:tc>
        <w:tc>
          <w:tcPr>
            <w:tcW w:w="1935" w:type="pct"/>
            <w:noWrap w:val="0"/>
            <w:vAlign w:val="center"/>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rPr>
              <w:t>重要节点预防性保障</w:t>
            </w:r>
          </w:p>
        </w:tc>
        <w:tc>
          <w:tcPr>
            <w:tcW w:w="88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UPS系统</w:t>
            </w:r>
          </w:p>
        </w:tc>
        <w:tc>
          <w:tcPr>
            <w:tcW w:w="465"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val="en-US" w:eastAsia="zh-CN"/>
              </w:rPr>
            </w:pPr>
            <w:r>
              <w:rPr>
                <w:rFonts w:hint="eastAsia" w:ascii="幼圆" w:hAnsi="幼圆" w:eastAsia="幼圆" w:cs="幼圆"/>
                <w:color w:val="000000"/>
                <w:kern w:val="0"/>
                <w:sz w:val="20"/>
                <w:szCs w:val="20"/>
                <w:lang w:val="en-US" w:eastAsia="zh-CN"/>
              </w:rPr>
              <w:t>42</w:t>
            </w:r>
          </w:p>
        </w:tc>
        <w:tc>
          <w:tcPr>
            <w:tcW w:w="518" w:type="pct"/>
            <w:noWrap w:val="0"/>
            <w:vAlign w:val="top"/>
          </w:tcPr>
          <w:p>
            <w:pPr>
              <w:keepNext w:val="0"/>
              <w:keepLines w:val="0"/>
              <w:pageBreakBefore w:val="0"/>
              <w:widowControl/>
              <w:wordWrap/>
              <w:topLinePunct w:val="0"/>
              <w:bidi w:val="0"/>
              <w:spacing w:line="240" w:lineRule="auto"/>
              <w:jc w:val="center"/>
              <w:rPr>
                <w:rFonts w:hint="eastAsia" w:ascii="幼圆" w:hAnsi="幼圆" w:eastAsia="幼圆" w:cs="幼圆"/>
                <w:color w:val="000000"/>
                <w:kern w:val="0"/>
                <w:sz w:val="20"/>
                <w:szCs w:val="20"/>
                <w:lang w:eastAsia="zh-CN"/>
              </w:rPr>
            </w:pPr>
            <w:r>
              <w:rPr>
                <w:rFonts w:hint="eastAsia" w:ascii="幼圆" w:hAnsi="幼圆" w:eastAsia="幼圆" w:cs="幼圆"/>
                <w:color w:val="000000"/>
                <w:kern w:val="0"/>
                <w:sz w:val="20"/>
                <w:szCs w:val="20"/>
                <w:lang w:eastAsia="zh-CN"/>
              </w:rPr>
              <w:t>台</w:t>
            </w:r>
          </w:p>
        </w:tc>
      </w:tr>
    </w:tbl>
    <w:p>
      <w:pPr>
        <w:pStyle w:val="2"/>
        <w:keepNext w:val="0"/>
        <w:keepLines w:val="0"/>
        <w:pageBreakBefore w:val="0"/>
        <w:widowControl/>
        <w:numPr>
          <w:ilvl w:val="0"/>
          <w:numId w:val="0"/>
        </w:numPr>
        <w:wordWrap/>
        <w:topLinePunct w:val="0"/>
        <w:bidi w:val="0"/>
        <w:spacing w:line="240" w:lineRule="auto"/>
        <w:rPr>
          <w:rFonts w:hint="eastAsia" w:ascii="幼圆" w:hAnsi="幼圆" w:eastAsia="幼圆" w:cs="幼圆"/>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bookmarkStart w:id="1" w:name="_Toc195775598"/>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1"/>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
        <w:spacing w:line="36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default"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2"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20</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维保服务内容</w:t>
            </w:r>
            <w:r>
              <w:rPr>
                <w:rFonts w:hint="eastAsia" w:ascii="幼圆" w:hAnsi="幼圆" w:eastAsia="幼圆" w:cs="幼圆"/>
                <w:highlight w:val="none"/>
              </w:rPr>
              <w:t>”的得</w:t>
            </w:r>
            <w:r>
              <w:rPr>
                <w:rFonts w:hint="eastAsia" w:ascii="幼圆" w:hAnsi="幼圆" w:eastAsia="幼圆" w:cs="幼圆"/>
                <w:highlight w:val="none"/>
                <w:lang w:val="en-US" w:eastAsia="zh-CN"/>
              </w:rPr>
              <w:t>20</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10</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2</w:t>
            </w:r>
            <w:r>
              <w:rPr>
                <w:rFonts w:hint="eastAsia" w:ascii="幼圆" w:hAnsi="幼圆" w:eastAsia="幼圆" w:cs="幼圆"/>
                <w:highlight w:val="none"/>
              </w:rPr>
              <w:t>分，共</w:t>
            </w:r>
            <w:r>
              <w:rPr>
                <w:rFonts w:hint="eastAsia" w:ascii="幼圆" w:hAnsi="幼圆" w:eastAsia="幼圆" w:cs="幼圆"/>
                <w:highlight w:val="none"/>
                <w:lang w:val="en-US" w:eastAsia="zh-CN"/>
              </w:rPr>
              <w:t>20</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维保服务内容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维保服务内容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6</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6</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方案有欠缺，</w:t>
            </w:r>
            <w:r>
              <w:rPr>
                <w:rFonts w:hint="eastAsia" w:ascii="幼圆" w:hAnsi="幼圆" w:eastAsia="幼圆" w:cs="幼圆"/>
                <w:highlight w:val="none"/>
                <w:lang w:val="en-US" w:eastAsia="zh-CN"/>
              </w:rPr>
              <w:t>体系不完整的，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13</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bookmarkStart w:id="7" w:name="_GoBack"/>
            <w:bookmarkEnd w:id="7"/>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1）具有中华人民共和国应急管理部门颁发的特种作业操作证（低压电工作业），每提供一人得2分，最高6分；</w:t>
            </w:r>
          </w:p>
          <w:p>
            <w:pPr>
              <w:pStyle w:val="2"/>
              <w:tabs>
                <w:tab w:val="left" w:pos="567"/>
              </w:tabs>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其他合理化建议</w:t>
            </w:r>
          </w:p>
        </w:tc>
        <w:tc>
          <w:tcPr>
            <w:tcW w:w="5749" w:type="dxa"/>
            <w:vAlign w:val="center"/>
          </w:tcPr>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建议科学、合理，针对性强</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5</w:t>
            </w:r>
            <w:r>
              <w:rPr>
                <w:rFonts w:hint="eastAsia" w:ascii="幼圆" w:hAnsi="幼圆" w:eastAsia="幼圆" w:cs="幼圆"/>
                <w:highlight w:val="none"/>
                <w:lang w:eastAsia="zh-CN"/>
              </w:rPr>
              <w:t>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建议基本科学、合理，针对性</w:t>
            </w:r>
            <w:r>
              <w:rPr>
                <w:rFonts w:hint="eastAsia" w:ascii="幼圆" w:hAnsi="幼圆" w:eastAsia="幼圆" w:cs="幼圆"/>
                <w:highlight w:val="none"/>
                <w:lang w:val="en-US" w:eastAsia="zh-CN"/>
              </w:rPr>
              <w:t>较强的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建议欠科学合理，缺乏针对性</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不满足项目需要或未提供，不得分。</w:t>
            </w:r>
          </w:p>
        </w:tc>
      </w:tr>
      <w:bookmarkEnd w:id="2"/>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400" w:lineRule="exact"/>
        <w:textAlignment w:val="auto"/>
        <w:outlineLvl w:val="0"/>
        <w:rPr>
          <w:rFonts w:hint="default" w:ascii="Times New Roman" w:hAnsi="Times New Roman" w:eastAsia="宋体" w:cs="Times New Roman"/>
          <w:b/>
          <w:szCs w:val="20"/>
          <w:highlight w:val="none"/>
        </w:rPr>
      </w:pPr>
      <w:bookmarkStart w:id="3" w:name="_Toc955"/>
      <w:bookmarkStart w:id="4" w:name="_Toc73536577"/>
      <w:bookmarkStart w:id="5" w:name="_Toc70433717"/>
      <w:r>
        <w:rPr>
          <w:rFonts w:hint="default" w:ascii="Times New Roman" w:hAnsi="Times New Roman" w:eastAsia="宋体" w:cs="Times New Roman"/>
          <w:b/>
          <w:szCs w:val="20"/>
          <w:highlight w:val="none"/>
        </w:rPr>
        <w:t>附件：</w:t>
      </w:r>
      <w:bookmarkEnd w:id="3"/>
      <w:bookmarkEnd w:id="4"/>
      <w:bookmarkEnd w:id="5"/>
    </w:p>
    <w:p>
      <w:pPr>
        <w:widowControl/>
        <w:snapToGrid w:val="0"/>
        <w:spacing w:line="400" w:lineRule="exact"/>
        <w:textAlignment w:val="auto"/>
        <w:rPr>
          <w:rFonts w:hint="default" w:ascii="Times New Roman" w:hAnsi="Times New Roman" w:eastAsia="宋体" w:cs="Times New Roman"/>
          <w:b/>
          <w:highlight w:val="none"/>
        </w:rPr>
      </w:pPr>
    </w:p>
    <w:p>
      <w:pPr>
        <w:snapToGrid w:val="0"/>
        <w:spacing w:line="400" w:lineRule="exact"/>
        <w:jc w:val="center"/>
        <w:rPr>
          <w:rFonts w:hint="default" w:ascii="Times New Roman" w:hAnsi="Times New Roman" w:eastAsia="宋体" w:cs="Times New Roman"/>
          <w:caps/>
          <w:sz w:val="36"/>
          <w:szCs w:val="36"/>
          <w:highlight w:val="none"/>
        </w:rPr>
      </w:pPr>
      <w:r>
        <w:rPr>
          <w:rFonts w:hint="default" w:ascii="Times New Roman" w:hAnsi="Times New Roman" w:eastAsia="宋体" w:cs="Times New Roman"/>
          <w:caps/>
          <w:sz w:val="36"/>
          <w:szCs w:val="36"/>
          <w:highlight w:val="none"/>
        </w:rPr>
        <w:t>技术规格偏离表</w:t>
      </w:r>
    </w:p>
    <w:p>
      <w:pPr>
        <w:snapToGrid w:val="0"/>
        <w:spacing w:before="120" w:beforeLines="50" w:line="400" w:lineRule="exact"/>
        <w:rPr>
          <w:rFonts w:hint="default" w:ascii="Times New Roman" w:hAnsi="Times New Roman" w:eastAsia="宋体" w:cs="Times New Roman"/>
          <w:highlight w:val="none"/>
        </w:rPr>
      </w:pPr>
    </w:p>
    <w:p>
      <w:pPr>
        <w:snapToGrid w:val="0"/>
        <w:spacing w:before="120" w:beforeLines="50" w:line="400" w:lineRule="exact"/>
        <w:rPr>
          <w:rFonts w:hint="default" w:ascii="Times New Roman" w:hAnsi="Times New Roman" w:eastAsia="宋体" w:cs="Times New Roman"/>
          <w:highlight w:val="none"/>
        </w:rPr>
      </w:pPr>
      <w:r>
        <w:rPr>
          <w:rFonts w:hint="default" w:ascii="Times New Roman" w:hAnsi="Times New Roman" w:eastAsia="宋体" w:cs="Times New Roman"/>
          <w:highlight w:val="none"/>
        </w:rPr>
        <w:t>项目编号：                            包号：</w:t>
      </w:r>
    </w:p>
    <w:p>
      <w:pPr>
        <w:snapToGrid w:val="0"/>
        <w:spacing w:after="120" w:afterLines="50" w:line="400" w:lineRule="exact"/>
        <w:rPr>
          <w:rFonts w:hint="default" w:ascii="Times New Roman" w:hAnsi="Times New Roman" w:eastAsia="宋体" w:cs="Times New Roman"/>
          <w:highlight w:val="none"/>
          <w:u w:val="single"/>
        </w:rPr>
      </w:pPr>
      <w:r>
        <w:rPr>
          <w:rFonts w:hint="default" w:ascii="Times New Roman" w:hAnsi="Times New Roman" w:eastAsia="宋体" w:cs="Times New Roman"/>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招标文件条目号</w:t>
            </w:r>
          </w:p>
        </w:tc>
        <w:tc>
          <w:tcPr>
            <w:tcW w:w="2977" w:type="dxa"/>
            <w:tcBorders>
              <w:top w:val="double" w:color="auto" w:sz="4" w:space="0"/>
            </w:tcBorders>
            <w:vAlign w:val="center"/>
          </w:tcPr>
          <w:p>
            <w:pPr>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招标文件采购需求的内容与数值</w:t>
            </w:r>
          </w:p>
        </w:tc>
        <w:tc>
          <w:tcPr>
            <w:tcW w:w="2586" w:type="dxa"/>
            <w:tcBorders>
              <w:top w:val="double" w:color="auto" w:sz="4" w:space="0"/>
            </w:tcBorders>
            <w:vAlign w:val="center"/>
          </w:tcPr>
          <w:p>
            <w:pPr>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投标人的采购需求响应内容与数值</w:t>
            </w:r>
          </w:p>
        </w:tc>
        <w:tc>
          <w:tcPr>
            <w:tcW w:w="1666" w:type="dxa"/>
            <w:tcBorders>
              <w:top w:val="double" w:color="auto" w:sz="4" w:space="0"/>
            </w:tcBorders>
            <w:vAlign w:val="center"/>
          </w:tcPr>
          <w:p>
            <w:pPr>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偏差说明</w:t>
            </w:r>
          </w:p>
          <w:p>
            <w:pPr>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default" w:ascii="Times New Roman" w:hAnsi="Times New Roman" w:eastAsia="宋体" w:cs="Times New Roman"/>
                <w:highlight w:val="none"/>
              </w:rPr>
            </w:pPr>
          </w:p>
        </w:tc>
        <w:tc>
          <w:tcPr>
            <w:tcW w:w="2977" w:type="dxa"/>
          </w:tcPr>
          <w:p>
            <w:pPr>
              <w:snapToGrid w:val="0"/>
              <w:spacing w:line="400" w:lineRule="exact"/>
              <w:jc w:val="both"/>
              <w:textAlignment w:val="auto"/>
              <w:rPr>
                <w:rFonts w:hint="default" w:ascii="Times New Roman" w:hAnsi="Times New Roman" w:eastAsia="宋体" w:cs="Times New Roman"/>
                <w:highlight w:val="none"/>
              </w:rPr>
            </w:pPr>
          </w:p>
        </w:tc>
        <w:tc>
          <w:tcPr>
            <w:tcW w:w="2586" w:type="dxa"/>
          </w:tcPr>
          <w:p>
            <w:pPr>
              <w:snapToGrid w:val="0"/>
              <w:spacing w:line="400" w:lineRule="exact"/>
              <w:jc w:val="both"/>
              <w:textAlignment w:val="auto"/>
              <w:rPr>
                <w:rFonts w:hint="default" w:ascii="Times New Roman" w:hAnsi="Times New Roman" w:eastAsia="宋体" w:cs="Times New Roman"/>
                <w:highlight w:val="none"/>
              </w:rPr>
            </w:pPr>
          </w:p>
        </w:tc>
        <w:tc>
          <w:tcPr>
            <w:tcW w:w="1666" w:type="dxa"/>
          </w:tcPr>
          <w:p>
            <w:pPr>
              <w:snapToGrid w:val="0"/>
              <w:spacing w:line="400" w:lineRule="exact"/>
              <w:jc w:val="both"/>
              <w:textAlignment w:val="auto"/>
              <w:rPr>
                <w:rFonts w:hint="default" w:ascii="Times New Roman" w:hAnsi="Times New Roman" w:eastAsia="宋体" w:cs="Times New Roman"/>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default" w:ascii="Times New Roman" w:hAnsi="Times New Roman" w:eastAsia="宋体" w:cs="Times New Roman"/>
                <w:highlight w:val="none"/>
              </w:rPr>
            </w:pPr>
          </w:p>
        </w:tc>
        <w:tc>
          <w:tcPr>
            <w:tcW w:w="2977" w:type="dxa"/>
          </w:tcPr>
          <w:p>
            <w:pPr>
              <w:snapToGrid w:val="0"/>
              <w:spacing w:line="400" w:lineRule="exact"/>
              <w:jc w:val="both"/>
              <w:textAlignment w:val="auto"/>
              <w:rPr>
                <w:rFonts w:hint="default" w:ascii="Times New Roman" w:hAnsi="Times New Roman" w:eastAsia="宋体" w:cs="Times New Roman"/>
                <w:highlight w:val="none"/>
              </w:rPr>
            </w:pPr>
          </w:p>
        </w:tc>
        <w:tc>
          <w:tcPr>
            <w:tcW w:w="2586" w:type="dxa"/>
          </w:tcPr>
          <w:p>
            <w:pPr>
              <w:snapToGrid w:val="0"/>
              <w:spacing w:line="400" w:lineRule="exact"/>
              <w:jc w:val="both"/>
              <w:textAlignment w:val="auto"/>
              <w:rPr>
                <w:rFonts w:hint="default" w:ascii="Times New Roman" w:hAnsi="Times New Roman" w:eastAsia="宋体" w:cs="Times New Roman"/>
                <w:highlight w:val="none"/>
              </w:rPr>
            </w:pPr>
          </w:p>
        </w:tc>
        <w:tc>
          <w:tcPr>
            <w:tcW w:w="1666" w:type="dxa"/>
          </w:tcPr>
          <w:p>
            <w:pPr>
              <w:snapToGrid w:val="0"/>
              <w:spacing w:line="400" w:lineRule="exact"/>
              <w:jc w:val="both"/>
              <w:textAlignment w:val="auto"/>
              <w:rPr>
                <w:rFonts w:hint="default" w:ascii="Times New Roman" w:hAnsi="Times New Roman" w:eastAsia="宋体" w:cs="Times New Roman"/>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default" w:ascii="Times New Roman" w:hAnsi="Times New Roman" w:eastAsia="宋体" w:cs="Times New Roman"/>
                <w:highlight w:val="none"/>
              </w:rPr>
            </w:pPr>
          </w:p>
        </w:tc>
        <w:tc>
          <w:tcPr>
            <w:tcW w:w="2977" w:type="dxa"/>
          </w:tcPr>
          <w:p>
            <w:pPr>
              <w:snapToGrid w:val="0"/>
              <w:spacing w:line="400" w:lineRule="exact"/>
              <w:jc w:val="both"/>
              <w:textAlignment w:val="auto"/>
              <w:rPr>
                <w:rFonts w:hint="default" w:ascii="Times New Roman" w:hAnsi="Times New Roman" w:eastAsia="宋体" w:cs="Times New Roman"/>
                <w:highlight w:val="none"/>
              </w:rPr>
            </w:pPr>
          </w:p>
        </w:tc>
        <w:tc>
          <w:tcPr>
            <w:tcW w:w="2586" w:type="dxa"/>
          </w:tcPr>
          <w:p>
            <w:pPr>
              <w:snapToGrid w:val="0"/>
              <w:spacing w:line="400" w:lineRule="exact"/>
              <w:jc w:val="both"/>
              <w:textAlignment w:val="auto"/>
              <w:rPr>
                <w:rFonts w:hint="default" w:ascii="Times New Roman" w:hAnsi="Times New Roman" w:eastAsia="宋体" w:cs="Times New Roman"/>
                <w:highlight w:val="none"/>
              </w:rPr>
            </w:pPr>
          </w:p>
        </w:tc>
        <w:tc>
          <w:tcPr>
            <w:tcW w:w="1666" w:type="dxa"/>
          </w:tcPr>
          <w:p>
            <w:pPr>
              <w:snapToGrid w:val="0"/>
              <w:spacing w:line="400" w:lineRule="exact"/>
              <w:jc w:val="both"/>
              <w:textAlignment w:val="auto"/>
              <w:rPr>
                <w:rFonts w:hint="default" w:ascii="Times New Roman" w:hAnsi="Times New Roman" w:eastAsia="宋体" w:cs="Times New Roman"/>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default" w:ascii="Times New Roman" w:hAnsi="Times New Roman" w:eastAsia="宋体" w:cs="Times New Roman"/>
                <w:highlight w:val="none"/>
              </w:rPr>
            </w:pPr>
          </w:p>
        </w:tc>
        <w:tc>
          <w:tcPr>
            <w:tcW w:w="2977" w:type="dxa"/>
          </w:tcPr>
          <w:p>
            <w:pPr>
              <w:snapToGrid w:val="0"/>
              <w:spacing w:line="400" w:lineRule="exact"/>
              <w:jc w:val="both"/>
              <w:textAlignment w:val="auto"/>
              <w:rPr>
                <w:rFonts w:hint="default" w:ascii="Times New Roman" w:hAnsi="Times New Roman" w:eastAsia="宋体" w:cs="Times New Roman"/>
                <w:highlight w:val="none"/>
              </w:rPr>
            </w:pPr>
          </w:p>
        </w:tc>
        <w:tc>
          <w:tcPr>
            <w:tcW w:w="2586" w:type="dxa"/>
          </w:tcPr>
          <w:p>
            <w:pPr>
              <w:snapToGrid w:val="0"/>
              <w:spacing w:line="400" w:lineRule="exact"/>
              <w:jc w:val="both"/>
              <w:textAlignment w:val="auto"/>
              <w:rPr>
                <w:rFonts w:hint="default" w:ascii="Times New Roman" w:hAnsi="Times New Roman" w:eastAsia="宋体" w:cs="Times New Roman"/>
                <w:highlight w:val="none"/>
              </w:rPr>
            </w:pPr>
          </w:p>
        </w:tc>
        <w:tc>
          <w:tcPr>
            <w:tcW w:w="1666" w:type="dxa"/>
          </w:tcPr>
          <w:p>
            <w:pPr>
              <w:snapToGrid w:val="0"/>
              <w:spacing w:line="400" w:lineRule="exact"/>
              <w:jc w:val="both"/>
              <w:textAlignment w:val="auto"/>
              <w:rPr>
                <w:rFonts w:hint="default" w:ascii="Times New Roman" w:hAnsi="Times New Roman" w:eastAsia="宋体" w:cs="Times New Roman"/>
                <w:highlight w:val="none"/>
              </w:rPr>
            </w:pPr>
          </w:p>
        </w:tc>
      </w:tr>
    </w:tbl>
    <w:p>
      <w:pPr>
        <w:snapToGrid w:val="0"/>
        <w:spacing w:line="400" w:lineRule="exact"/>
        <w:ind w:left="540" w:hanging="495" w:hangingChars="225"/>
        <w:rPr>
          <w:rFonts w:hint="default" w:ascii="Times New Roman" w:hAnsi="Times New Roman" w:eastAsia="宋体" w:cs="Times New Roman"/>
          <w:highlight w:val="none"/>
        </w:rPr>
      </w:pPr>
    </w:p>
    <w:p>
      <w:pPr>
        <w:snapToGrid w:val="0"/>
        <w:spacing w:line="400" w:lineRule="exact"/>
        <w:ind w:firstLine="44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400" w:lineRule="exact"/>
        <w:ind w:firstLine="44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ab/>
      </w:r>
      <w:r>
        <w:rPr>
          <w:rFonts w:hint="default" w:ascii="Times New Roman" w:hAnsi="Times New Roman" w:eastAsia="宋体" w:cs="Times New Roman"/>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400" w:lineRule="exact"/>
        <w:ind w:firstLine="220" w:firstLineChars="100"/>
        <w:jc w:val="both"/>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投标人名称：（单位公章）</w:t>
      </w:r>
    </w:p>
    <w:p>
      <w:pPr>
        <w:snapToGrid w:val="0"/>
        <w:spacing w:line="400" w:lineRule="exact"/>
        <w:ind w:firstLine="220" w:firstLineChars="100"/>
        <w:jc w:val="both"/>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法定代表人或授权代表：（签字）</w:t>
      </w:r>
    </w:p>
    <w:p>
      <w:pPr>
        <w:snapToGrid w:val="0"/>
        <w:spacing w:line="400" w:lineRule="exact"/>
        <w:ind w:firstLine="220" w:firstLineChars="100"/>
        <w:jc w:val="both"/>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日期：</w:t>
      </w:r>
    </w:p>
    <w:p>
      <w:pPr>
        <w:rPr>
          <w:rFonts w:hint="eastAsia"/>
          <w:lang w:val="en-US" w:eastAsia="zh-CN"/>
        </w:rPr>
      </w:pPr>
      <w:r>
        <w:rPr>
          <w:rFonts w:hint="eastAsia"/>
          <w:lang w:val="en-US" w:eastAsia="zh-CN"/>
        </w:rPr>
        <w:br w:type="page"/>
      </w:r>
    </w:p>
    <w:p>
      <w:pPr>
        <w:snapToGrid w:val="0"/>
        <w:spacing w:line="400" w:lineRule="exact"/>
        <w:textAlignment w:val="auto"/>
        <w:outlineLvl w:val="0"/>
        <w:rPr>
          <w:rFonts w:hint="eastAsia" w:ascii="Times New Roman" w:hAnsi="Times New Roman" w:eastAsia="宋体" w:cs="Times New Roman"/>
          <w:b/>
          <w:szCs w:val="20"/>
          <w:highlight w:val="none"/>
          <w:lang w:val="en-US" w:eastAsia="zh-CN"/>
        </w:rPr>
      </w:pPr>
      <w:r>
        <w:rPr>
          <w:rFonts w:hint="eastAsia" w:ascii="Times New Roman" w:hAnsi="Times New Roman" w:eastAsia="宋体" w:cs="Times New Roman"/>
          <w:b/>
          <w:szCs w:val="20"/>
          <w:highlight w:val="none"/>
          <w:lang w:val="en-US" w:eastAsia="zh-CN"/>
        </w:rPr>
        <w:t>附件</w:t>
      </w:r>
    </w:p>
    <w:p>
      <w:pPr>
        <w:widowControl/>
        <w:tabs>
          <w:tab w:val="left" w:pos="1620"/>
          <w:tab w:val="left" w:pos="1680"/>
        </w:tabs>
        <w:snapToGrid w:val="0"/>
        <w:spacing w:line="500" w:lineRule="exact"/>
        <w:ind w:left="720"/>
        <w:jc w:val="center"/>
        <w:textAlignment w:val="auto"/>
        <w:rPr>
          <w:rFonts w:hint="default" w:ascii="Times New Roman" w:hAnsi="Times New Roman" w:eastAsia="宋体" w:cs="Times New Roman"/>
          <w:caps/>
          <w:sz w:val="36"/>
          <w:szCs w:val="36"/>
          <w:highlight w:val="none"/>
        </w:rPr>
      </w:pPr>
      <w:r>
        <w:rPr>
          <w:rFonts w:hint="default" w:ascii="Times New Roman" w:hAnsi="Times New Roman" w:eastAsia="宋体" w:cs="Times New Roman"/>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default" w:ascii="Times New Roman" w:hAnsi="Times New Roman" w:eastAsia="宋体" w:cs="Times New Roman"/>
          <w:b/>
          <w:bCs/>
          <w:highlight w:val="none"/>
        </w:rPr>
      </w:pPr>
    </w:p>
    <w:p>
      <w:pPr>
        <w:widowControl/>
        <w:shd w:val="clear" w:color="auto" w:fill="FFFFFF"/>
        <w:adjustRightInd/>
        <w:spacing w:line="240" w:lineRule="auto"/>
        <w:ind w:firstLine="442" w:firstLineChars="200"/>
        <w:jc w:val="center"/>
        <w:textAlignment w:val="auto"/>
        <w:rPr>
          <w:rFonts w:hint="default" w:ascii="Times New Roman" w:hAnsi="Times New Roman" w:eastAsia="宋体" w:cs="Times New Roman"/>
          <w:b/>
          <w:bCs/>
          <w:highlight w:val="none"/>
        </w:rPr>
      </w:pPr>
    </w:p>
    <w:p>
      <w:pPr>
        <w:widowControl/>
        <w:shd w:val="clear" w:color="auto" w:fill="FFFFFF"/>
        <w:adjustRightInd/>
        <w:spacing w:line="36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本公司（联合体）郑重声明，根据《政府采购促进中小企业发展管理办法》（财库﹝2020﹞46 号）的规定，本公司 （联合体）参加</w:t>
      </w:r>
      <w:r>
        <w:rPr>
          <w:rFonts w:hint="default" w:ascii="Times New Roman" w:hAnsi="Times New Roman" w:eastAsia="宋体" w:cs="Times New Roman"/>
          <w:highlight w:val="none"/>
          <w:u w:val="single"/>
        </w:rPr>
        <w:t>（单位名称）</w:t>
      </w:r>
      <w:r>
        <w:rPr>
          <w:rFonts w:hint="default" w:ascii="Times New Roman" w:hAnsi="Times New Roman" w:eastAsia="宋体" w:cs="Times New Roman"/>
          <w:highlight w:val="none"/>
        </w:rPr>
        <w:t>的</w:t>
      </w:r>
      <w:r>
        <w:rPr>
          <w:rFonts w:hint="default" w:ascii="Times New Roman" w:hAnsi="Times New Roman" w:eastAsia="宋体" w:cs="Times New Roman"/>
          <w:highlight w:val="none"/>
          <w:u w:val="single"/>
        </w:rPr>
        <w:t>（项目名称）</w:t>
      </w:r>
      <w:r>
        <w:rPr>
          <w:rFonts w:hint="default" w:ascii="Times New Roman" w:hAnsi="Times New Roman" w:eastAsia="宋体" w:cs="Times New Roman"/>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36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1.</w:t>
      </w:r>
      <w:bookmarkStart w:id="6" w:name="_Hlk61596022"/>
      <w:r>
        <w:rPr>
          <w:rFonts w:hint="default" w:ascii="Times New Roman" w:hAnsi="Times New Roman" w:eastAsia="宋体" w:cs="Times New Roman"/>
          <w:highlight w:val="none"/>
          <w:u w:val="single"/>
        </w:rPr>
        <w:t>（标的名称）</w:t>
      </w:r>
      <w:r>
        <w:rPr>
          <w:rFonts w:hint="default" w:ascii="Times New Roman" w:hAnsi="Times New Roman" w:eastAsia="宋体" w:cs="Times New Roman"/>
          <w:highlight w:val="none"/>
        </w:rPr>
        <w:t>，属于</w:t>
      </w:r>
      <w:r>
        <w:rPr>
          <w:rFonts w:hint="default" w:ascii="Times New Roman" w:hAnsi="Times New Roman" w:eastAsia="宋体" w:cs="Times New Roman"/>
          <w:highlight w:val="none"/>
          <w:u w:val="single"/>
        </w:rPr>
        <w:t>（采购文件中明确的所属行业）</w:t>
      </w:r>
      <w:r>
        <w:rPr>
          <w:rFonts w:hint="default" w:ascii="Times New Roman" w:hAnsi="Times New Roman" w:eastAsia="宋体" w:cs="Times New Roman"/>
          <w:highlight w:val="none"/>
        </w:rPr>
        <w:t>；承接企业为</w:t>
      </w:r>
      <w:r>
        <w:rPr>
          <w:rFonts w:hint="default" w:ascii="Times New Roman" w:hAnsi="Times New Roman" w:eastAsia="宋体" w:cs="Times New Roman"/>
          <w:highlight w:val="none"/>
          <w:u w:val="single"/>
        </w:rPr>
        <w:t>（企业名称）</w:t>
      </w:r>
      <w:r>
        <w:rPr>
          <w:rFonts w:hint="default" w:ascii="Times New Roman" w:hAnsi="Times New Roman" w:eastAsia="宋体" w:cs="Times New Roman"/>
          <w:highlight w:val="none"/>
        </w:rPr>
        <w:t>，从业人员</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人，营业收入为</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万元，资产总额为</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万元，属于</w:t>
      </w:r>
      <w:r>
        <w:rPr>
          <w:rFonts w:hint="default" w:ascii="Times New Roman" w:hAnsi="Times New Roman" w:eastAsia="宋体" w:cs="Times New Roman"/>
          <w:highlight w:val="none"/>
          <w:u w:val="single"/>
        </w:rPr>
        <w:t>（中型企业、小型企业、微型企业）</w:t>
      </w:r>
      <w:bookmarkEnd w:id="6"/>
      <w:r>
        <w:rPr>
          <w:rFonts w:hint="default" w:ascii="Times New Roman" w:hAnsi="Times New Roman" w:eastAsia="宋体" w:cs="Times New Roman"/>
          <w:highlight w:val="none"/>
        </w:rPr>
        <w:t xml:space="preserve">； </w:t>
      </w:r>
    </w:p>
    <w:p>
      <w:pPr>
        <w:widowControl/>
        <w:shd w:val="clear" w:color="auto" w:fill="FFFFFF"/>
        <w:adjustRightInd/>
        <w:spacing w:line="36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2.</w:t>
      </w:r>
      <w:r>
        <w:rPr>
          <w:rFonts w:hint="default" w:ascii="Times New Roman" w:hAnsi="Times New Roman" w:eastAsia="宋体" w:cs="Times New Roman"/>
          <w:highlight w:val="none"/>
          <w:u w:val="single"/>
        </w:rPr>
        <w:t>（标的名称）</w:t>
      </w:r>
      <w:r>
        <w:rPr>
          <w:rFonts w:hint="default" w:ascii="Times New Roman" w:hAnsi="Times New Roman" w:eastAsia="宋体" w:cs="Times New Roman"/>
          <w:highlight w:val="none"/>
        </w:rPr>
        <w:t>，属于</w:t>
      </w:r>
      <w:r>
        <w:rPr>
          <w:rFonts w:hint="default" w:ascii="Times New Roman" w:hAnsi="Times New Roman" w:eastAsia="宋体" w:cs="Times New Roman"/>
          <w:highlight w:val="none"/>
          <w:u w:val="single"/>
        </w:rPr>
        <w:t>（采购文件中明确的所属行业）</w:t>
      </w:r>
      <w:r>
        <w:rPr>
          <w:rFonts w:hint="default" w:ascii="Times New Roman" w:hAnsi="Times New Roman" w:eastAsia="宋体" w:cs="Times New Roman"/>
          <w:highlight w:val="none"/>
        </w:rPr>
        <w:t>；承接企业为</w:t>
      </w:r>
      <w:r>
        <w:rPr>
          <w:rFonts w:hint="default" w:ascii="Times New Roman" w:hAnsi="Times New Roman" w:eastAsia="宋体" w:cs="Times New Roman"/>
          <w:highlight w:val="none"/>
          <w:u w:val="single"/>
        </w:rPr>
        <w:t>（企业名称）</w:t>
      </w:r>
      <w:r>
        <w:rPr>
          <w:rFonts w:hint="default" w:ascii="Times New Roman" w:hAnsi="Times New Roman" w:eastAsia="宋体" w:cs="Times New Roman"/>
          <w:highlight w:val="none"/>
        </w:rPr>
        <w:t>，从业人员</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人，营业收入为</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万元，资产总额为</w:t>
      </w:r>
      <w:r>
        <w:rPr>
          <w:rFonts w:hint="default" w:ascii="Times New Roman" w:hAnsi="Times New Roman" w:eastAsia="宋体" w:cs="Times New Roman"/>
          <w:highlight w:val="none"/>
          <w:u w:val="single"/>
        </w:rPr>
        <w:t xml:space="preserve">  </w:t>
      </w:r>
      <w:r>
        <w:rPr>
          <w:rFonts w:hint="default" w:ascii="Times New Roman" w:hAnsi="Times New Roman" w:eastAsia="宋体" w:cs="Times New Roman"/>
          <w:highlight w:val="none"/>
        </w:rPr>
        <w:t>万元，属于</w:t>
      </w:r>
      <w:r>
        <w:rPr>
          <w:rFonts w:hint="default" w:ascii="Times New Roman" w:hAnsi="Times New Roman" w:eastAsia="宋体" w:cs="Times New Roman"/>
          <w:highlight w:val="none"/>
          <w:u w:val="single"/>
        </w:rPr>
        <w:t>（中型企业、小型企业、微型企业）</w:t>
      </w:r>
      <w:r>
        <w:rPr>
          <w:rFonts w:hint="default" w:ascii="Times New Roman" w:hAnsi="Times New Roman" w:eastAsia="宋体" w:cs="Times New Roman"/>
          <w:highlight w:val="none"/>
        </w:rPr>
        <w:t xml:space="preserve">； </w:t>
      </w:r>
    </w:p>
    <w:p>
      <w:pPr>
        <w:widowControl/>
        <w:shd w:val="clear" w:color="auto" w:fill="FFFFFF"/>
        <w:adjustRightInd/>
        <w:spacing w:line="36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 </w:t>
      </w:r>
    </w:p>
    <w:p>
      <w:pPr>
        <w:widowControl/>
        <w:shd w:val="clear" w:color="auto" w:fill="FFFFFF"/>
        <w:adjustRightInd/>
        <w:spacing w:line="36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企业名称（盖章）： </w:t>
      </w: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 xml:space="preserve">日 期： </w:t>
      </w: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p>
    <w:p>
      <w:pPr>
        <w:widowControl/>
        <w:adjustRightInd/>
        <w:spacing w:before="100" w:beforeAutospacing="1" w:after="100" w:afterAutospacing="1" w:line="240" w:lineRule="auto"/>
        <w:ind w:left="360"/>
        <w:contextualSpacing/>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注：从业人员、营业收入、资产总额填报上一年度数据，无上一年度数据的新成立企业可不填报。</w:t>
      </w:r>
    </w:p>
    <w:p>
      <w:pPr>
        <w:pStyle w:val="3"/>
        <w:rPr>
          <w:rFonts w:hint="eastAsia"/>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3"/>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6"/>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7">
    <w:nsid w:val="335756DA"/>
    <w:multiLevelType w:val="singleLevel"/>
    <w:tmpl w:val="335756DA"/>
    <w:lvl w:ilvl="0" w:tentative="0">
      <w:start w:val="1"/>
      <w:numFmt w:val="decimal"/>
      <w:suff w:val="nothing"/>
      <w:lvlText w:val="%1、"/>
      <w:lvlJc w:val="left"/>
    </w:lvl>
  </w:abstractNum>
  <w:abstractNum w:abstractNumId="8">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C44527C"/>
    <w:multiLevelType w:val="singleLevel"/>
    <w:tmpl w:val="7C44527C"/>
    <w:lvl w:ilvl="0" w:tentative="0">
      <w:start w:val="5"/>
      <w:numFmt w:val="decimal"/>
      <w:suff w:val="nothing"/>
      <w:lvlText w:val="%1、"/>
      <w:lvlJc w:val="left"/>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8"/>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5F224A"/>
    <w:rsid w:val="008369C7"/>
    <w:rsid w:val="00AA1D8D"/>
    <w:rsid w:val="00B47730"/>
    <w:rsid w:val="00CB0664"/>
    <w:rsid w:val="00FC693F"/>
    <w:rsid w:val="015A556D"/>
    <w:rsid w:val="039B035C"/>
    <w:rsid w:val="03DC6164"/>
    <w:rsid w:val="04BF5B95"/>
    <w:rsid w:val="05B922DB"/>
    <w:rsid w:val="06247180"/>
    <w:rsid w:val="08CA0C86"/>
    <w:rsid w:val="0ADE0A96"/>
    <w:rsid w:val="0B9760F9"/>
    <w:rsid w:val="0F553938"/>
    <w:rsid w:val="113329E6"/>
    <w:rsid w:val="117F262B"/>
    <w:rsid w:val="12A90D4E"/>
    <w:rsid w:val="12C56763"/>
    <w:rsid w:val="12EA542F"/>
    <w:rsid w:val="15901876"/>
    <w:rsid w:val="1990077F"/>
    <w:rsid w:val="1BE71C78"/>
    <w:rsid w:val="1F3C1C4F"/>
    <w:rsid w:val="1F5F6D41"/>
    <w:rsid w:val="202408C8"/>
    <w:rsid w:val="205F522A"/>
    <w:rsid w:val="210C0BC6"/>
    <w:rsid w:val="229B3C09"/>
    <w:rsid w:val="22E24F49"/>
    <w:rsid w:val="24392B0D"/>
    <w:rsid w:val="24A75DD1"/>
    <w:rsid w:val="24F414B1"/>
    <w:rsid w:val="25D77D3F"/>
    <w:rsid w:val="26B26BA7"/>
    <w:rsid w:val="27372964"/>
    <w:rsid w:val="27BD3A55"/>
    <w:rsid w:val="2BE26EA2"/>
    <w:rsid w:val="2C5F3B91"/>
    <w:rsid w:val="2D056703"/>
    <w:rsid w:val="2DA44891"/>
    <w:rsid w:val="2F6E5F01"/>
    <w:rsid w:val="2FF57743"/>
    <w:rsid w:val="30286D46"/>
    <w:rsid w:val="31321010"/>
    <w:rsid w:val="313F5CD8"/>
    <w:rsid w:val="347B53E1"/>
    <w:rsid w:val="34813790"/>
    <w:rsid w:val="35A3178F"/>
    <w:rsid w:val="35BA5B31"/>
    <w:rsid w:val="35C02C5D"/>
    <w:rsid w:val="374D3D49"/>
    <w:rsid w:val="377C3B60"/>
    <w:rsid w:val="381A7AE8"/>
    <w:rsid w:val="386E2923"/>
    <w:rsid w:val="39577622"/>
    <w:rsid w:val="397720D5"/>
    <w:rsid w:val="399036C4"/>
    <w:rsid w:val="3A047ACE"/>
    <w:rsid w:val="3D3FEA48"/>
    <w:rsid w:val="3DAB702F"/>
    <w:rsid w:val="3DBFD295"/>
    <w:rsid w:val="3DF35805"/>
    <w:rsid w:val="3E543B04"/>
    <w:rsid w:val="3E9B6EC4"/>
    <w:rsid w:val="3EBA3A53"/>
    <w:rsid w:val="40E40ADC"/>
    <w:rsid w:val="411538B7"/>
    <w:rsid w:val="41536D26"/>
    <w:rsid w:val="41BE02EE"/>
    <w:rsid w:val="41F027BE"/>
    <w:rsid w:val="44DB5B25"/>
    <w:rsid w:val="455507B5"/>
    <w:rsid w:val="45A40BA1"/>
    <w:rsid w:val="45A73923"/>
    <w:rsid w:val="469F2EE7"/>
    <w:rsid w:val="47091014"/>
    <w:rsid w:val="4709160B"/>
    <w:rsid w:val="472B3D0B"/>
    <w:rsid w:val="476165B4"/>
    <w:rsid w:val="48153C8D"/>
    <w:rsid w:val="48482E26"/>
    <w:rsid w:val="4875046F"/>
    <w:rsid w:val="48D90193"/>
    <w:rsid w:val="491E21A3"/>
    <w:rsid w:val="49F927E9"/>
    <w:rsid w:val="4AEF402B"/>
    <w:rsid w:val="4D5C393A"/>
    <w:rsid w:val="4E737776"/>
    <w:rsid w:val="4FC375E6"/>
    <w:rsid w:val="502A0955"/>
    <w:rsid w:val="5257047F"/>
    <w:rsid w:val="537D6985"/>
    <w:rsid w:val="53ED7FA3"/>
    <w:rsid w:val="548B5756"/>
    <w:rsid w:val="56A9ACE5"/>
    <w:rsid w:val="574D52F6"/>
    <w:rsid w:val="57F124B8"/>
    <w:rsid w:val="5E4C798F"/>
    <w:rsid w:val="5F165949"/>
    <w:rsid w:val="5FEFBD42"/>
    <w:rsid w:val="62BB227D"/>
    <w:rsid w:val="63A6046B"/>
    <w:rsid w:val="64690EAB"/>
    <w:rsid w:val="678C0E2E"/>
    <w:rsid w:val="68860CA5"/>
    <w:rsid w:val="69281BE2"/>
    <w:rsid w:val="6A5C38C9"/>
    <w:rsid w:val="6BBC5FCE"/>
    <w:rsid w:val="6BD25936"/>
    <w:rsid w:val="6FBD2579"/>
    <w:rsid w:val="6FED3F9B"/>
    <w:rsid w:val="701139EA"/>
    <w:rsid w:val="703B2526"/>
    <w:rsid w:val="720472B3"/>
    <w:rsid w:val="72E4478C"/>
    <w:rsid w:val="755F72B5"/>
    <w:rsid w:val="75C51121"/>
    <w:rsid w:val="75DF8964"/>
    <w:rsid w:val="75F106A5"/>
    <w:rsid w:val="761942C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7"/>
    <w:unhideWhenUsed/>
    <w:qFormat/>
    <w:uiPriority w:val="99"/>
    <w:pPr>
      <w:spacing w:after="120"/>
    </w:pPr>
  </w:style>
  <w:style w:type="paragraph" w:styleId="3">
    <w:name w:val="Body Text 2"/>
    <w:basedOn w:val="1"/>
    <w:link w:val="148"/>
    <w:unhideWhenUsed/>
    <w:qFormat/>
    <w:uiPriority w:val="99"/>
    <w:pPr>
      <w:spacing w:after="120" w:line="480" w:lineRule="auto"/>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Indent"/>
    <w:basedOn w:val="1"/>
    <w:unhideWhenUsed/>
    <w:qFormat/>
    <w:uiPriority w:val="99"/>
    <w:pPr>
      <w:spacing w:after="120"/>
      <w:ind w:left="420" w:leftChars="200"/>
    </w:pPr>
  </w:style>
  <w:style w:type="paragraph" w:styleId="23">
    <w:name w:val="List Number 3"/>
    <w:basedOn w:val="1"/>
    <w:unhideWhenUsed/>
    <w:qFormat/>
    <w:uiPriority w:val="99"/>
    <w:pPr>
      <w:numPr>
        <w:ilvl w:val="0"/>
        <w:numId w:val="5"/>
      </w:numPr>
      <w:contextualSpacing/>
    </w:pPr>
  </w:style>
  <w:style w:type="paragraph" w:styleId="24">
    <w:name w:val="List 2"/>
    <w:basedOn w:val="1"/>
    <w:unhideWhenUsed/>
    <w:qFormat/>
    <w:uiPriority w:val="99"/>
    <w:pPr>
      <w:ind w:left="720" w:hanging="360"/>
      <w:contextualSpacing/>
    </w:pPr>
  </w:style>
  <w:style w:type="paragraph" w:styleId="25">
    <w:name w:val="List Continue"/>
    <w:basedOn w:val="1"/>
    <w:unhideWhenUsed/>
    <w:qFormat/>
    <w:uiPriority w:val="99"/>
    <w:pPr>
      <w:spacing w:after="120"/>
      <w:ind w:left="360"/>
      <w:contextualSpacing/>
    </w:pPr>
  </w:style>
  <w:style w:type="paragraph" w:styleId="26">
    <w:name w:val="List Bullet 2"/>
    <w:basedOn w:val="1"/>
    <w:unhideWhenUsed/>
    <w:qFormat/>
    <w:uiPriority w:val="99"/>
    <w:pPr>
      <w:numPr>
        <w:ilvl w:val="0"/>
        <w:numId w:val="6"/>
      </w:numPr>
      <w:contextualSpacing/>
    </w:pPr>
  </w:style>
  <w:style w:type="paragraph" w:styleId="27">
    <w:name w:val="footer"/>
    <w:basedOn w:val="1"/>
    <w:link w:val="139"/>
    <w:unhideWhenUsed/>
    <w:qFormat/>
    <w:uiPriority w:val="99"/>
    <w:pPr>
      <w:tabs>
        <w:tab w:val="center" w:pos="4680"/>
        <w:tab w:val="right" w:pos="9360"/>
      </w:tabs>
      <w:spacing w:after="0" w:line="240" w:lineRule="auto"/>
    </w:pPr>
  </w:style>
  <w:style w:type="paragraph" w:styleId="28">
    <w:name w:val="header"/>
    <w:basedOn w:val="1"/>
    <w:link w:val="138"/>
    <w:unhideWhenUsed/>
    <w:qFormat/>
    <w:uiPriority w:val="99"/>
    <w:pPr>
      <w:tabs>
        <w:tab w:val="center" w:pos="4680"/>
        <w:tab w:val="right" w:pos="9360"/>
      </w:tabs>
      <w:spacing w:after="0" w:line="240" w:lineRule="auto"/>
    </w:pPr>
  </w:style>
  <w:style w:type="paragraph" w:styleId="29">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List"/>
    <w:basedOn w:val="1"/>
    <w:unhideWhenUsed/>
    <w:qFormat/>
    <w:uiPriority w:val="99"/>
    <w:pPr>
      <w:ind w:left="360" w:hanging="360"/>
      <w:contextualSpacing/>
    </w:pPr>
  </w:style>
  <w:style w:type="paragraph" w:styleId="31">
    <w:name w:val="List Continue 2"/>
    <w:basedOn w:val="1"/>
    <w:unhideWhenUsed/>
    <w:qFormat/>
    <w:uiPriority w:val="99"/>
    <w:pPr>
      <w:spacing w:after="120"/>
      <w:ind w:left="720"/>
      <w:contextualSpacing/>
    </w:pPr>
  </w:style>
  <w:style w:type="paragraph" w:styleId="32">
    <w:name w:val="List Continue 3"/>
    <w:basedOn w:val="1"/>
    <w:unhideWhenUsed/>
    <w:qFormat/>
    <w:uiPriority w:val="99"/>
    <w:pPr>
      <w:spacing w:after="120"/>
      <w:ind w:left="1080"/>
      <w:contextualSpacing/>
    </w:pPr>
  </w:style>
  <w:style w:type="paragraph" w:styleId="33">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34">
    <w:name w:val="Body Text First Indent 2"/>
    <w:basedOn w:val="22"/>
    <w:unhideWhenUsed/>
    <w:qFormat/>
    <w:uiPriority w:val="99"/>
    <w:pPr>
      <w:spacing w:line="360" w:lineRule="auto"/>
      <w:ind w:firstLine="200" w:firstLineChars="200"/>
    </w:p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8"/>
    <w:qFormat/>
    <w:uiPriority w:val="99"/>
  </w:style>
  <w:style w:type="character" w:customStyle="1" w:styleId="139">
    <w:name w:val="Footer Char"/>
    <w:basedOn w:val="135"/>
    <w:link w:val="27"/>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
    <w:qFormat/>
    <w:uiPriority w:val="99"/>
  </w:style>
  <w:style w:type="character" w:customStyle="1" w:styleId="148">
    <w:name w:val="Body Text 2 Char"/>
    <w:basedOn w:val="135"/>
    <w:link w:val="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24</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2026-02-06T06:38:53Z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