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wordWrap/>
        <w:topLinePunct w:val="0"/>
        <w:bidi w:val="0"/>
        <w:spacing w:line="24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keepNext w:val="0"/>
        <w:keepLines w:val="0"/>
        <w:pageBreakBefore w:val="0"/>
        <w:widowControl/>
        <w:wordWrap/>
        <w:topLinePunct w:val="0"/>
        <w:bidi w:val="0"/>
        <w:snapToGrid/>
        <w:spacing w:line="400" w:lineRule="exact"/>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一、项目概况</w:t>
      </w:r>
    </w:p>
    <w:p>
      <w:pPr>
        <w:keepNext w:val="0"/>
        <w:keepLines w:val="0"/>
        <w:pageBreakBefore w:val="0"/>
        <w:widowControl/>
        <w:kinsoku w:val="0"/>
        <w:wordWrap/>
        <w:overflowPunct w:val="0"/>
        <w:topLinePunct w:val="0"/>
        <w:autoSpaceDE w:val="0"/>
        <w:autoSpaceDN w:val="0"/>
        <w:bidi w:val="0"/>
        <w:adjustRightInd w:val="0"/>
        <w:snapToGrid/>
        <w:spacing w:after="0" w:line="400" w:lineRule="exact"/>
        <w:jc w:val="both"/>
        <w:textAlignment w:val="auto"/>
        <w:rPr>
          <w:rFonts w:hint="eastAsia" w:ascii="幼圆" w:hAnsi="幼圆" w:eastAsia="幼圆" w:cs="幼圆"/>
          <w:sz w:val="21"/>
          <w:szCs w:val="20"/>
          <w:lang w:eastAsia="zh-CN"/>
        </w:rPr>
      </w:pPr>
      <w:r>
        <w:rPr>
          <w:rFonts w:hint="eastAsia" w:ascii="幼圆" w:hAnsi="幼圆" w:eastAsia="幼圆" w:cs="幼圆"/>
          <w:sz w:val="21"/>
          <w:szCs w:val="20"/>
          <w:lang w:eastAsia="zh-CN"/>
        </w:rPr>
        <w:t>项目</w:t>
      </w:r>
      <w:r>
        <w:rPr>
          <w:rFonts w:hint="eastAsia" w:ascii="幼圆" w:hAnsi="幼圆" w:eastAsia="幼圆" w:cs="幼圆"/>
          <w:sz w:val="21"/>
          <w:szCs w:val="20"/>
        </w:rPr>
        <w:t>名称：全院电梯设备维保服务采购项目</w:t>
      </w:r>
    </w:p>
    <w:p>
      <w:pPr>
        <w:keepNext w:val="0"/>
        <w:keepLines w:val="0"/>
        <w:pageBreakBefore w:val="0"/>
        <w:widowControl/>
        <w:kinsoku w:val="0"/>
        <w:wordWrap/>
        <w:overflowPunct w:val="0"/>
        <w:topLinePunct w:val="0"/>
        <w:autoSpaceDE w:val="0"/>
        <w:autoSpaceDN w:val="0"/>
        <w:bidi w:val="0"/>
        <w:adjustRightInd w:val="0"/>
        <w:snapToGrid/>
        <w:spacing w:after="0" w:line="400" w:lineRule="exact"/>
        <w:jc w:val="both"/>
        <w:textAlignment w:val="auto"/>
        <w:rPr>
          <w:rFonts w:hint="eastAsia" w:ascii="幼圆" w:hAnsi="幼圆" w:eastAsia="幼圆" w:cs="幼圆"/>
          <w:sz w:val="21"/>
          <w:szCs w:val="20"/>
        </w:rPr>
      </w:pPr>
      <w:r>
        <w:rPr>
          <w:rFonts w:hint="eastAsia" w:ascii="幼圆" w:hAnsi="幼圆" w:eastAsia="幼圆" w:cs="幼圆"/>
          <w:sz w:val="21"/>
          <w:szCs w:val="20"/>
        </w:rPr>
        <w:t>建设单位：北京清华长庚医院</w:t>
      </w:r>
    </w:p>
    <w:p>
      <w:pPr>
        <w:keepNext w:val="0"/>
        <w:keepLines w:val="0"/>
        <w:pageBreakBefore w:val="0"/>
        <w:widowControl/>
        <w:kinsoku w:val="0"/>
        <w:wordWrap/>
        <w:overflowPunct w:val="0"/>
        <w:topLinePunct w:val="0"/>
        <w:autoSpaceDE w:val="0"/>
        <w:autoSpaceDN w:val="0"/>
        <w:bidi w:val="0"/>
        <w:adjustRightInd w:val="0"/>
        <w:snapToGrid/>
        <w:spacing w:after="0" w:line="400" w:lineRule="exact"/>
        <w:jc w:val="both"/>
        <w:textAlignment w:val="auto"/>
        <w:rPr>
          <w:rFonts w:hint="eastAsia" w:ascii="幼圆" w:hAnsi="幼圆" w:eastAsia="幼圆" w:cs="幼圆"/>
          <w:sz w:val="21"/>
          <w:szCs w:val="20"/>
        </w:rPr>
      </w:pPr>
      <w:r>
        <w:rPr>
          <w:rFonts w:hint="eastAsia" w:ascii="幼圆" w:hAnsi="幼圆" w:eastAsia="幼圆" w:cs="幼圆"/>
          <w:sz w:val="21"/>
          <w:szCs w:val="20"/>
        </w:rPr>
        <w:t>建设地点：北京市昌平区立汤路168号</w:t>
      </w:r>
    </w:p>
    <w:p>
      <w:pPr>
        <w:pStyle w:val="2"/>
        <w:rPr>
          <w:rFonts w:hint="eastAsia" w:ascii="幼圆" w:hAnsi="幼圆" w:eastAsia="幼圆" w:cs="幼圆"/>
          <w:lang w:val="en-US" w:eastAsia="zh-CN"/>
        </w:rPr>
      </w:pPr>
      <w:r>
        <w:rPr>
          <w:rFonts w:hint="eastAsia" w:ascii="幼圆" w:hAnsi="幼圆" w:eastAsia="幼圆" w:cs="幼圆"/>
          <w:lang w:val="en-US" w:eastAsia="zh-CN"/>
        </w:rPr>
        <w:t>电梯维保：分别位于1#楼19部、2#楼2部、3#楼3部，3号楼西侧1部，临建1部，发热门诊3部，5#楼36部，共计：65部。</w:t>
      </w:r>
    </w:p>
    <w:p>
      <w:pPr>
        <w:keepNext w:val="0"/>
        <w:keepLines w:val="0"/>
        <w:pageBreakBefore w:val="0"/>
        <w:widowControl/>
        <w:numPr>
          <w:ilvl w:val="0"/>
          <w:numId w:val="8"/>
        </w:numPr>
        <w:wordWrap/>
        <w:topLinePunct w:val="0"/>
        <w:bidi w:val="0"/>
        <w:snapToGrid/>
        <w:spacing w:line="400" w:lineRule="exact"/>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项目类型</w:t>
      </w:r>
    </w:p>
    <w:p>
      <w:pPr>
        <w:keepNext w:val="0"/>
        <w:keepLines w:val="0"/>
        <w:pageBreakBefore w:val="0"/>
        <w:widowControl/>
        <w:numPr>
          <w:ilvl w:val="0"/>
          <w:numId w:val="0"/>
        </w:numPr>
        <w:wordWrap/>
        <w:topLinePunct w:val="0"/>
        <w:bidi w:val="0"/>
        <w:snapToGrid/>
        <w:spacing w:line="400" w:lineRule="exact"/>
        <w:textAlignment w:val="auto"/>
        <w:rPr>
          <w:rFonts w:hint="eastAsia" w:ascii="幼圆" w:hAnsi="幼圆" w:eastAsia="幼圆" w:cs="幼圆"/>
          <w:b w:val="0"/>
          <w:bCs w:val="0"/>
          <w:sz w:val="21"/>
          <w:szCs w:val="20"/>
          <w:lang w:val="en-US" w:eastAsia="zh-CN"/>
        </w:rPr>
      </w:pPr>
      <w:r>
        <w:rPr>
          <w:rFonts w:hint="eastAsia" w:ascii="幼圆" w:hAnsi="幼圆" w:eastAsia="幼圆" w:cs="幼圆"/>
          <w:b w:val="0"/>
          <w:bCs w:val="0"/>
          <w:sz w:val="21"/>
          <w:szCs w:val="20"/>
          <w:lang w:val="en-US" w:eastAsia="zh-CN"/>
        </w:rPr>
        <w:t>维保服务类</w:t>
      </w:r>
    </w:p>
    <w:p>
      <w:pPr>
        <w:keepNext w:val="0"/>
        <w:keepLines w:val="0"/>
        <w:pageBreakBefore w:val="0"/>
        <w:widowControl/>
        <w:wordWrap/>
        <w:topLinePunct w:val="0"/>
        <w:bidi w:val="0"/>
        <w:snapToGrid/>
        <w:spacing w:line="400" w:lineRule="exact"/>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1、具有有效的企业营业执照、中华人民共和国特种设备安装改造维修许可证；</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2、在中华人民共和国境内注册登记，有生产或供应能力的本国供应商，包括法人、其他组织和个人；</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3、投标人在近三年内（2023年2月-至今） 没有骗取中标和严重违约及重大项目质量问题；参加本采购活动前三年内，在经营活动中没有重大违法记录；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4、具有良好的商业信誉和健全的财务会计制度；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5、具有依法缴纳税收和社会保障资金的良好记录；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6、本项目不接受联合体投标。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lang w:val="en-US" w:eastAsia="zh-CN"/>
        </w:rPr>
      </w:pPr>
      <w:r>
        <w:rPr>
          <w:rFonts w:hint="eastAsia" w:ascii="幼圆" w:hAnsi="幼圆" w:eastAsia="幼圆" w:cs="幼圆"/>
          <w:sz w:val="21"/>
          <w:szCs w:val="20"/>
          <w:lang w:val="en-US" w:eastAsia="zh-CN"/>
        </w:rPr>
        <w:t>7、本项目为专门面向中小企业</w:t>
      </w:r>
      <w:bookmarkStart w:id="7" w:name="_GoBack"/>
      <w:bookmarkEnd w:id="7"/>
      <w:r>
        <w:rPr>
          <w:rFonts w:hint="eastAsia" w:ascii="幼圆" w:hAnsi="幼圆" w:eastAsia="幼圆" w:cs="幼圆"/>
          <w:sz w:val="21"/>
          <w:szCs w:val="20"/>
          <w:lang w:val="en-US" w:eastAsia="zh-CN"/>
        </w:rPr>
        <w:t>采购。投标人必须提供中小企业声明函（见附件）。</w:t>
      </w:r>
      <w:r>
        <w:rPr>
          <w:rFonts w:hint="eastAsia" w:ascii="幼圆" w:hAnsi="幼圆" w:eastAsia="幼圆" w:cs="幼圆"/>
          <w:b/>
          <w:bCs/>
          <w:color w:val="FF0000"/>
          <w:sz w:val="21"/>
          <w:szCs w:val="20"/>
          <w:lang w:val="en-US" w:eastAsia="zh-CN"/>
        </w:rPr>
        <w:t>（*必须响应，废标项）</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四、服务期要求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color w:val="FF0000"/>
          <w:sz w:val="21"/>
          <w:szCs w:val="20"/>
          <w:lang w:val="en-US" w:eastAsia="zh-CN"/>
        </w:rPr>
      </w:pPr>
      <w:r>
        <w:rPr>
          <w:rFonts w:hint="eastAsia" w:ascii="幼圆" w:hAnsi="幼圆" w:eastAsia="幼圆" w:cs="幼圆"/>
          <w:b/>
          <w:bCs/>
          <w:sz w:val="21"/>
          <w:szCs w:val="20"/>
          <w:lang w:val="en-US" w:eastAsia="zh-CN"/>
        </w:rPr>
        <w:t>合同履行期限：一年（计划从2026年4月2日到2027年4月1日）</w:t>
      </w:r>
      <w:r>
        <w:rPr>
          <w:rFonts w:hint="eastAsia" w:ascii="幼圆" w:hAnsi="幼圆" w:eastAsia="幼圆" w:cs="幼圆"/>
          <w:b/>
          <w:bCs/>
          <w:color w:val="FF0000"/>
          <w:sz w:val="21"/>
          <w:szCs w:val="20"/>
          <w:lang w:val="en-US" w:eastAsia="zh-CN"/>
        </w:rPr>
        <w:t>（*必须响应，废标项）</w:t>
      </w:r>
    </w:p>
    <w:p>
      <w:pPr>
        <w:pStyle w:val="2"/>
        <w:keepNext w:val="0"/>
        <w:keepLines w:val="0"/>
        <w:pageBreakBefore w:val="0"/>
        <w:widowControl/>
        <w:wordWrap/>
        <w:topLinePunct w:val="0"/>
        <w:bidi w:val="0"/>
        <w:spacing w:line="240" w:lineRule="auto"/>
        <w:rPr>
          <w:rFonts w:hint="eastAsia" w:ascii="幼圆" w:hAnsi="幼圆" w:eastAsia="幼圆" w:cs="幼圆"/>
          <w:lang w:val="en-US" w:eastAsia="zh-CN"/>
        </w:rPr>
      </w:pPr>
      <w:r>
        <w:rPr>
          <w:rFonts w:hint="eastAsia" w:ascii="幼圆" w:hAnsi="幼圆" w:eastAsia="幼圆" w:cs="幼圆"/>
          <w:lang w:val="en-US" w:eastAsia="zh-CN"/>
        </w:rPr>
        <w:t>其中，具体保养周期：</w:t>
      </w:r>
    </w:p>
    <w:p>
      <w:pPr>
        <w:pStyle w:val="3"/>
        <w:spacing w:line="240" w:lineRule="auto"/>
        <w:rPr>
          <w:rFonts w:hint="eastAsia" w:ascii="幼圆" w:hAnsi="幼圆" w:eastAsia="幼圆" w:cs="幼圆"/>
          <w:lang w:val="en-US" w:eastAsia="zh-CN"/>
        </w:rPr>
      </w:pPr>
      <w:r>
        <w:rPr>
          <w:rFonts w:hint="eastAsia" w:ascii="幼圆" w:hAnsi="幼圆" w:eastAsia="幼圆" w:cs="幼圆"/>
          <w:lang w:val="en-US" w:eastAsia="zh-CN"/>
        </w:rPr>
        <w:t>A.1#楼1#-19#，2#楼1#、2#，3#楼1#-3#，临建1#，发热门诊2#-4#，</w:t>
      </w:r>
      <w:r>
        <w:rPr>
          <w:rFonts w:hint="eastAsia" w:ascii="幼圆" w:hAnsi="幼圆" w:eastAsia="幼圆" w:cs="幼圆"/>
          <w:b/>
          <w:bCs/>
          <w:lang w:val="en-US" w:eastAsia="zh-CN"/>
        </w:rPr>
        <w:t>共计28部电梯</w:t>
      </w:r>
      <w:r>
        <w:rPr>
          <w:rFonts w:hint="eastAsia" w:ascii="幼圆" w:hAnsi="幼圆" w:eastAsia="幼圆" w:cs="幼圆"/>
          <w:lang w:val="en-US" w:eastAsia="zh-CN"/>
        </w:rPr>
        <w:t>，维保周期2026年4月2日-2027年4月1日止，共计12个月。</w:t>
      </w:r>
    </w:p>
    <w:p>
      <w:pPr>
        <w:pStyle w:val="3"/>
        <w:spacing w:line="240" w:lineRule="auto"/>
        <w:rPr>
          <w:rFonts w:hint="eastAsia" w:ascii="幼圆" w:hAnsi="幼圆" w:eastAsia="幼圆" w:cs="幼圆"/>
          <w:lang w:val="en-US" w:eastAsia="zh-CN"/>
        </w:rPr>
      </w:pPr>
      <w:r>
        <w:rPr>
          <w:rFonts w:hint="eastAsia" w:ascii="幼圆" w:hAnsi="幼圆" w:eastAsia="幼圆" w:cs="幼圆"/>
          <w:lang w:val="en-US" w:eastAsia="zh-CN"/>
        </w:rPr>
        <w:t>B.3号楼西侧</w:t>
      </w:r>
      <w:r>
        <w:rPr>
          <w:rFonts w:hint="eastAsia" w:ascii="幼圆" w:hAnsi="幼圆" w:eastAsia="幼圆" w:cs="幼圆"/>
          <w:b/>
          <w:bCs/>
          <w:lang w:val="en-US" w:eastAsia="zh-CN"/>
        </w:rPr>
        <w:t>1部</w:t>
      </w:r>
      <w:r>
        <w:rPr>
          <w:rFonts w:hint="eastAsia" w:ascii="幼圆" w:hAnsi="幼圆" w:eastAsia="幼圆" w:cs="幼圆"/>
          <w:lang w:val="en-US" w:eastAsia="zh-CN"/>
        </w:rPr>
        <w:t>，维保周期：2026年11月12日-2027年4月1日止，共计：4个月19天</w:t>
      </w:r>
    </w:p>
    <w:p>
      <w:pPr>
        <w:pStyle w:val="3"/>
        <w:spacing w:line="240" w:lineRule="auto"/>
        <w:rPr>
          <w:rFonts w:hint="eastAsia" w:ascii="幼圆" w:hAnsi="幼圆" w:eastAsia="幼圆" w:cs="幼圆"/>
          <w:lang w:val="en-US" w:eastAsia="zh-CN"/>
        </w:rPr>
      </w:pPr>
      <w:r>
        <w:rPr>
          <w:rFonts w:hint="eastAsia" w:ascii="幼圆" w:hAnsi="幼圆" w:eastAsia="幼圆" w:cs="幼圆"/>
          <w:lang w:val="en-US" w:eastAsia="zh-CN"/>
        </w:rPr>
        <w:t>C.5号楼7#、13#、14#、15#，共计：</w:t>
      </w:r>
      <w:r>
        <w:rPr>
          <w:rFonts w:hint="eastAsia" w:ascii="幼圆" w:hAnsi="幼圆" w:eastAsia="幼圆" w:cs="幼圆"/>
          <w:b/>
          <w:bCs/>
          <w:lang w:val="en-US" w:eastAsia="zh-CN"/>
        </w:rPr>
        <w:t>4部</w:t>
      </w:r>
      <w:r>
        <w:rPr>
          <w:rFonts w:hint="eastAsia" w:ascii="幼圆" w:hAnsi="幼圆" w:eastAsia="幼圆" w:cs="幼圆"/>
          <w:lang w:val="en-US" w:eastAsia="zh-CN"/>
        </w:rPr>
        <w:t>，维保周期：2026年4月2日-2027年4月1日止，共计：12个月。</w:t>
      </w:r>
    </w:p>
    <w:p>
      <w:pPr>
        <w:pStyle w:val="3"/>
        <w:spacing w:line="240" w:lineRule="auto"/>
        <w:rPr>
          <w:rFonts w:hint="eastAsia" w:ascii="幼圆" w:hAnsi="幼圆" w:eastAsia="幼圆" w:cs="幼圆"/>
          <w:lang w:val="en-US" w:eastAsia="zh-CN"/>
        </w:rPr>
      </w:pPr>
      <w:r>
        <w:rPr>
          <w:rFonts w:hint="eastAsia" w:ascii="幼圆" w:hAnsi="幼圆" w:eastAsia="幼圆" w:cs="幼圆"/>
          <w:lang w:val="en-US" w:eastAsia="zh-CN"/>
        </w:rPr>
        <w:t>D.5号楼16#、17#、18#、19#，共计：</w:t>
      </w:r>
      <w:r>
        <w:rPr>
          <w:rFonts w:hint="eastAsia" w:ascii="幼圆" w:hAnsi="幼圆" w:eastAsia="幼圆" w:cs="幼圆"/>
          <w:b/>
          <w:bCs/>
          <w:lang w:val="en-US" w:eastAsia="zh-CN"/>
        </w:rPr>
        <w:t>4部</w:t>
      </w:r>
      <w:r>
        <w:rPr>
          <w:rFonts w:hint="eastAsia" w:ascii="幼圆" w:hAnsi="幼圆" w:eastAsia="幼圆" w:cs="幼圆"/>
          <w:lang w:val="en-US" w:eastAsia="zh-CN"/>
        </w:rPr>
        <w:t>，维保周期：2026年9月4日-2027年4月1日止，共计：7个月。</w:t>
      </w:r>
    </w:p>
    <w:p>
      <w:pPr>
        <w:pStyle w:val="3"/>
        <w:spacing w:line="240" w:lineRule="auto"/>
        <w:rPr>
          <w:rFonts w:hint="eastAsia" w:ascii="幼圆" w:hAnsi="幼圆" w:eastAsia="幼圆" w:cs="幼圆"/>
          <w:lang w:val="en-US" w:eastAsia="zh-CN"/>
        </w:rPr>
      </w:pPr>
      <w:r>
        <w:rPr>
          <w:rFonts w:hint="eastAsia" w:ascii="幼圆" w:hAnsi="幼圆" w:eastAsia="幼圆" w:cs="幼圆"/>
          <w:lang w:val="en-US" w:eastAsia="zh-CN"/>
        </w:rPr>
        <w:t>E.5号楼33#、34#、35#、36#、37#、38#，共计：</w:t>
      </w:r>
      <w:r>
        <w:rPr>
          <w:rFonts w:hint="eastAsia" w:ascii="幼圆" w:hAnsi="幼圆" w:eastAsia="幼圆" w:cs="幼圆"/>
          <w:b/>
          <w:bCs/>
          <w:lang w:val="en-US" w:eastAsia="zh-CN"/>
        </w:rPr>
        <w:t>6部</w:t>
      </w:r>
      <w:r>
        <w:rPr>
          <w:rFonts w:hint="eastAsia" w:ascii="幼圆" w:hAnsi="幼圆" w:eastAsia="幼圆" w:cs="幼圆"/>
          <w:lang w:val="en-US" w:eastAsia="zh-CN"/>
        </w:rPr>
        <w:t>，维保周期：2026年11月9日-2027年4月1日止，共计：5个月。</w:t>
      </w:r>
    </w:p>
    <w:p>
      <w:pPr>
        <w:pStyle w:val="3"/>
        <w:spacing w:line="240" w:lineRule="auto"/>
        <w:rPr>
          <w:rFonts w:hint="eastAsia" w:ascii="幼圆" w:hAnsi="幼圆" w:eastAsia="幼圆" w:cs="幼圆"/>
          <w:lang w:val="en-US" w:eastAsia="zh-CN"/>
        </w:rPr>
      </w:pPr>
      <w:r>
        <w:rPr>
          <w:rFonts w:hint="eastAsia" w:ascii="幼圆" w:hAnsi="幼圆" w:eastAsia="幼圆" w:cs="幼圆"/>
          <w:lang w:val="en-US" w:eastAsia="zh-CN"/>
        </w:rPr>
        <w:t>F.5号楼1#、2#、3#、4#、5#、6#、8#、9#、10#、11#、12#、20#、21#、22#、23#、24#、25#、26#、27#、28#、29#、30#，共计：</w:t>
      </w:r>
      <w:r>
        <w:rPr>
          <w:rFonts w:hint="eastAsia" w:ascii="幼圆" w:hAnsi="幼圆" w:eastAsia="幼圆" w:cs="幼圆"/>
          <w:b/>
          <w:bCs/>
          <w:lang w:val="en-US" w:eastAsia="zh-CN"/>
        </w:rPr>
        <w:t>22部</w:t>
      </w:r>
      <w:r>
        <w:rPr>
          <w:rFonts w:hint="eastAsia" w:ascii="幼圆" w:hAnsi="幼圆" w:eastAsia="幼圆" w:cs="幼圆"/>
          <w:lang w:val="en-US" w:eastAsia="zh-CN"/>
        </w:rPr>
        <w:t>，维保周期：2026年12月26日-2027年4月1日止，共计：3个月6天。</w:t>
      </w:r>
    </w:p>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bookmarkStart w:id="0" w:name="_Toc195775598"/>
    </w:p>
    <w:p>
      <w:pPr>
        <w:numPr>
          <w:ilvl w:val="0"/>
          <w:numId w:val="0"/>
        </w:numPr>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五、维保内容</w:t>
      </w:r>
    </w:p>
    <w:p>
      <w:pPr>
        <w:numPr>
          <w:ilvl w:val="0"/>
          <w:numId w:val="9"/>
        </w:numPr>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维保厂商责任</w:t>
      </w:r>
    </w:p>
    <w:p>
      <w:pPr>
        <w:numPr>
          <w:ilvl w:val="0"/>
          <w:numId w:val="0"/>
        </w:numPr>
        <w:ind w:leftChars="0"/>
        <w:rPr>
          <w:rFonts w:hint="eastAsia" w:ascii="幼圆" w:hAnsi="幼圆" w:eastAsia="幼圆" w:cs="幼圆"/>
          <w:b w:val="0"/>
          <w:bCs w:val="0"/>
          <w:color w:val="000000"/>
          <w:kern w:val="0"/>
          <w:sz w:val="21"/>
          <w:szCs w:val="21"/>
          <w:highlight w:val="none"/>
          <w:lang w:val="en-US" w:eastAsia="zh-CN"/>
        </w:rPr>
      </w:pPr>
      <w:r>
        <w:rPr>
          <w:rFonts w:hint="eastAsia" w:ascii="幼圆" w:hAnsi="幼圆" w:eastAsia="幼圆" w:cs="幼圆"/>
          <w:sz w:val="21"/>
          <w:szCs w:val="21"/>
          <w:lang w:val="en-US" w:eastAsia="zh-CN"/>
        </w:rPr>
        <w:t>（1）</w:t>
      </w:r>
      <w:r>
        <w:rPr>
          <w:rFonts w:hint="eastAsia" w:ascii="幼圆" w:hAnsi="幼圆" w:eastAsia="幼圆" w:cs="幼圆"/>
          <w:b w:val="0"/>
          <w:bCs w:val="0"/>
          <w:color w:val="000000"/>
          <w:kern w:val="0"/>
          <w:sz w:val="21"/>
          <w:szCs w:val="21"/>
          <w:lang w:val="en-US" w:eastAsia="zh-CN"/>
        </w:rPr>
        <w:t>投标人承担材料及维修费：设备设施的小型维修单批次2000元（不含）以下的零配件费用。</w:t>
      </w:r>
    </w:p>
    <w:p>
      <w:pPr>
        <w:numPr>
          <w:ilvl w:val="0"/>
          <w:numId w:val="0"/>
        </w:numPr>
        <w:ind w:leftChars="0"/>
        <w:rPr>
          <w:rFonts w:hint="eastAsia" w:ascii="幼圆" w:hAnsi="幼圆" w:eastAsia="幼圆" w:cs="幼圆"/>
          <w:bCs/>
          <w:snapToGrid w:val="0"/>
          <w:kern w:val="21"/>
          <w:sz w:val="21"/>
          <w:szCs w:val="21"/>
          <w:highlight w:val="none"/>
          <w:lang w:val="en-US" w:eastAsia="zh-CN"/>
        </w:rPr>
      </w:pPr>
      <w:r>
        <w:rPr>
          <w:rFonts w:hint="eastAsia" w:ascii="幼圆" w:hAnsi="幼圆" w:eastAsia="幼圆" w:cs="幼圆"/>
          <w:b w:val="0"/>
          <w:bCs w:val="0"/>
          <w:color w:val="000000"/>
          <w:kern w:val="0"/>
          <w:sz w:val="21"/>
          <w:szCs w:val="21"/>
          <w:highlight w:val="none"/>
          <w:lang w:val="en-US" w:eastAsia="zh-CN"/>
        </w:rPr>
        <w:t>（2）对清单内所有</w:t>
      </w:r>
      <w:r>
        <w:rPr>
          <w:rFonts w:hint="eastAsia" w:ascii="幼圆" w:hAnsi="幼圆" w:eastAsia="幼圆" w:cs="幼圆"/>
          <w:bCs/>
          <w:snapToGrid w:val="0"/>
          <w:kern w:val="21"/>
          <w:sz w:val="21"/>
          <w:szCs w:val="21"/>
          <w:highlight w:val="none"/>
          <w:lang w:val="en-US" w:eastAsia="zh-CN"/>
        </w:rPr>
        <w:t>设备及其配套设备进行定期维护保养，频次为不超过15天/次，保障设备安全稳定运行。</w:t>
      </w:r>
    </w:p>
    <w:p>
      <w:pPr>
        <w:numPr>
          <w:ilvl w:val="0"/>
          <w:numId w:val="0"/>
        </w:numPr>
        <w:ind w:leftChars="0"/>
        <w:rPr>
          <w:rFonts w:hint="eastAsia" w:ascii="幼圆" w:hAnsi="幼圆" w:eastAsia="幼圆" w:cs="幼圆"/>
          <w:bCs/>
          <w:snapToGrid w:val="0"/>
          <w:kern w:val="21"/>
          <w:sz w:val="21"/>
          <w:szCs w:val="21"/>
          <w:highlight w:val="none"/>
          <w:lang w:val="en-US" w:eastAsia="zh-CN"/>
        </w:rPr>
      </w:pPr>
      <w:r>
        <w:rPr>
          <w:rFonts w:hint="eastAsia" w:ascii="幼圆" w:hAnsi="幼圆" w:eastAsia="幼圆" w:cs="幼圆"/>
          <w:bCs/>
          <w:snapToGrid w:val="0"/>
          <w:kern w:val="21"/>
          <w:sz w:val="21"/>
          <w:szCs w:val="21"/>
          <w:highlight w:val="none"/>
          <w:lang w:val="en-US" w:eastAsia="zh-CN"/>
        </w:rPr>
        <w:t>（3）配合电梯年度检验，检验异常负责整改，直至检测合格；进行125％实验及提供砝码的使用，限速器效验并出具效验结果。</w:t>
      </w:r>
    </w:p>
    <w:p>
      <w:pPr>
        <w:numPr>
          <w:ilvl w:val="0"/>
          <w:numId w:val="0"/>
        </w:numPr>
        <w:ind w:leftChars="0"/>
        <w:rPr>
          <w:rFonts w:hint="eastAsia" w:ascii="幼圆" w:hAnsi="幼圆" w:eastAsia="幼圆" w:cs="幼圆"/>
          <w:color w:val="000000"/>
          <w:kern w:val="0"/>
          <w:sz w:val="21"/>
          <w:szCs w:val="21"/>
          <w:highlight w:val="none"/>
          <w:lang w:eastAsia="zh-CN"/>
        </w:rPr>
      </w:pPr>
      <w:r>
        <w:rPr>
          <w:rFonts w:hint="eastAsia" w:ascii="幼圆" w:hAnsi="幼圆" w:eastAsia="幼圆" w:cs="幼圆"/>
          <w:color w:val="000000"/>
          <w:kern w:val="0"/>
          <w:sz w:val="21"/>
          <w:szCs w:val="21"/>
          <w:highlight w:val="none"/>
          <w:lang w:eastAsia="zh-CN"/>
        </w:rPr>
        <w:t>（</w:t>
      </w:r>
      <w:r>
        <w:rPr>
          <w:rFonts w:hint="eastAsia" w:ascii="幼圆" w:hAnsi="幼圆" w:eastAsia="幼圆" w:cs="幼圆"/>
          <w:color w:val="000000"/>
          <w:kern w:val="0"/>
          <w:sz w:val="21"/>
          <w:szCs w:val="21"/>
          <w:highlight w:val="none"/>
          <w:lang w:val="en-US" w:eastAsia="zh-CN"/>
        </w:rPr>
        <w:t>4</w:t>
      </w:r>
      <w:r>
        <w:rPr>
          <w:rFonts w:hint="eastAsia" w:ascii="幼圆" w:hAnsi="幼圆" w:eastAsia="幼圆" w:cs="幼圆"/>
          <w:color w:val="000000"/>
          <w:kern w:val="0"/>
          <w:sz w:val="21"/>
          <w:szCs w:val="21"/>
          <w:highlight w:val="none"/>
          <w:lang w:eastAsia="zh-CN"/>
        </w:rPr>
        <w:t>）</w:t>
      </w:r>
      <w:r>
        <w:rPr>
          <w:rFonts w:hint="eastAsia" w:ascii="幼圆" w:hAnsi="幼圆" w:eastAsia="幼圆" w:cs="幼圆"/>
          <w:color w:val="000000"/>
          <w:kern w:val="0"/>
          <w:sz w:val="21"/>
          <w:szCs w:val="21"/>
          <w:highlight w:val="none"/>
          <w:lang w:val="en-US" w:eastAsia="zh-CN"/>
        </w:rPr>
        <w:t>乙方</w:t>
      </w:r>
      <w:r>
        <w:rPr>
          <w:rFonts w:hint="eastAsia" w:ascii="幼圆" w:hAnsi="幼圆" w:eastAsia="幼圆" w:cs="幼圆"/>
          <w:color w:val="000000"/>
          <w:kern w:val="0"/>
          <w:sz w:val="21"/>
          <w:szCs w:val="21"/>
          <w:highlight w:val="none"/>
        </w:rPr>
        <w:t>负责设备机房</w:t>
      </w:r>
      <w:r>
        <w:rPr>
          <w:rFonts w:hint="eastAsia" w:ascii="幼圆" w:hAnsi="幼圆" w:eastAsia="幼圆" w:cs="幼圆"/>
          <w:color w:val="000000"/>
          <w:kern w:val="0"/>
          <w:sz w:val="21"/>
          <w:szCs w:val="21"/>
          <w:highlight w:val="none"/>
          <w:lang w:val="en-US" w:eastAsia="zh-CN"/>
        </w:rPr>
        <w:t>6</w:t>
      </w:r>
      <w:r>
        <w:rPr>
          <w:rFonts w:hint="eastAsia" w:ascii="幼圆" w:hAnsi="幼圆" w:eastAsia="幼圆" w:cs="幼圆"/>
          <w:color w:val="000000"/>
          <w:kern w:val="0"/>
          <w:sz w:val="21"/>
          <w:szCs w:val="21"/>
          <w:highlight w:val="none"/>
        </w:rPr>
        <w:t>S卫生清理</w:t>
      </w:r>
      <w:r>
        <w:rPr>
          <w:rFonts w:hint="eastAsia" w:ascii="幼圆" w:hAnsi="幼圆" w:eastAsia="幼圆" w:cs="幼圆"/>
          <w:color w:val="000000"/>
          <w:kern w:val="0"/>
          <w:sz w:val="21"/>
          <w:szCs w:val="21"/>
          <w:highlight w:val="none"/>
          <w:lang w:eastAsia="zh-CN"/>
        </w:rPr>
        <w:t>（至少每月</w:t>
      </w:r>
      <w:r>
        <w:rPr>
          <w:rFonts w:hint="eastAsia" w:ascii="幼圆" w:hAnsi="幼圆" w:eastAsia="幼圆" w:cs="幼圆"/>
          <w:color w:val="000000"/>
          <w:kern w:val="0"/>
          <w:sz w:val="21"/>
          <w:szCs w:val="21"/>
          <w:highlight w:val="none"/>
          <w:lang w:val="en-US" w:eastAsia="zh-CN"/>
        </w:rPr>
        <w:t>/次</w:t>
      </w:r>
      <w:r>
        <w:rPr>
          <w:rFonts w:hint="eastAsia" w:ascii="幼圆" w:hAnsi="幼圆" w:eastAsia="幼圆" w:cs="幼圆"/>
          <w:color w:val="000000"/>
          <w:kern w:val="0"/>
          <w:sz w:val="21"/>
          <w:szCs w:val="21"/>
          <w:highlight w:val="none"/>
          <w:lang w:eastAsia="zh-CN"/>
        </w:rPr>
        <w:t>），每月检查机房消防设施并签字确认，机房门窗、墙面、地面、照明插座维修。</w:t>
      </w:r>
    </w:p>
    <w:p>
      <w:pPr>
        <w:numPr>
          <w:ilvl w:val="0"/>
          <w:numId w:val="0"/>
        </w:numPr>
        <w:spacing w:line="240" w:lineRule="auto"/>
        <w:jc w:val="left"/>
        <w:rPr>
          <w:rFonts w:hint="eastAsia" w:ascii="幼圆" w:hAnsi="幼圆" w:eastAsia="幼圆" w:cs="幼圆"/>
          <w:sz w:val="21"/>
          <w:szCs w:val="21"/>
          <w:highlight w:val="none"/>
          <w:lang w:val="en-US" w:eastAsia="zh-CN"/>
        </w:rPr>
      </w:pPr>
      <w:r>
        <w:rPr>
          <w:rFonts w:hint="eastAsia" w:ascii="幼圆" w:hAnsi="幼圆" w:eastAsia="幼圆" w:cs="幼圆"/>
          <w:color w:val="000000"/>
          <w:kern w:val="0"/>
          <w:sz w:val="21"/>
          <w:szCs w:val="21"/>
          <w:highlight w:val="none"/>
          <w:lang w:eastAsia="zh-CN"/>
        </w:rPr>
        <w:t>（</w:t>
      </w:r>
      <w:r>
        <w:rPr>
          <w:rFonts w:hint="eastAsia" w:ascii="幼圆" w:hAnsi="幼圆" w:eastAsia="幼圆" w:cs="幼圆"/>
          <w:color w:val="000000"/>
          <w:kern w:val="0"/>
          <w:sz w:val="21"/>
          <w:szCs w:val="21"/>
          <w:highlight w:val="none"/>
          <w:lang w:val="en-US" w:eastAsia="zh-CN"/>
        </w:rPr>
        <w:t>5</w:t>
      </w:r>
      <w:r>
        <w:rPr>
          <w:rFonts w:hint="eastAsia" w:ascii="幼圆" w:hAnsi="幼圆" w:eastAsia="幼圆" w:cs="幼圆"/>
          <w:color w:val="000000"/>
          <w:kern w:val="0"/>
          <w:sz w:val="21"/>
          <w:szCs w:val="21"/>
          <w:highlight w:val="none"/>
          <w:lang w:eastAsia="zh-CN"/>
        </w:rPr>
        <w:t>）</w:t>
      </w:r>
      <w:r>
        <w:rPr>
          <w:rFonts w:hint="eastAsia" w:ascii="幼圆" w:hAnsi="幼圆" w:eastAsia="幼圆" w:cs="幼圆"/>
          <w:sz w:val="21"/>
          <w:szCs w:val="21"/>
          <w:highlight w:val="none"/>
          <w:lang w:val="en-US" w:eastAsia="zh-CN"/>
        </w:rPr>
        <w:t>维保细则未完成或缺少项目、不能达到甲方标准，按照不低于1000元罚扣。</w:t>
      </w:r>
    </w:p>
    <w:p>
      <w:pPr>
        <w:rPr>
          <w:rFonts w:hint="eastAsia" w:ascii="幼圆" w:hAnsi="幼圆" w:eastAsia="幼圆" w:cs="幼圆"/>
          <w:color w:val="000000"/>
          <w:kern w:val="0"/>
          <w:sz w:val="21"/>
          <w:szCs w:val="21"/>
          <w:lang w:val="en-US" w:eastAsia="zh-CN"/>
        </w:rPr>
      </w:pPr>
      <w:r>
        <w:rPr>
          <w:rFonts w:hint="eastAsia" w:ascii="幼圆" w:hAnsi="幼圆" w:eastAsia="幼圆" w:cs="幼圆"/>
          <w:sz w:val="21"/>
          <w:szCs w:val="21"/>
          <w:highlight w:val="none"/>
          <w:lang w:val="en-US" w:eastAsia="zh-CN"/>
        </w:rPr>
        <w:t>保证甲方设备安全运行，因设备异常或乙方操作不当引起的安全、停运事故，</w:t>
      </w:r>
      <w:r>
        <w:rPr>
          <w:rFonts w:hint="eastAsia" w:ascii="幼圆" w:hAnsi="幼圆" w:eastAsia="幼圆" w:cs="幼圆"/>
          <w:sz w:val="21"/>
          <w:szCs w:val="21"/>
          <w:lang w:val="en-US" w:eastAsia="zh-CN"/>
        </w:rPr>
        <w:t>所造成的损失，乙方负全责。</w:t>
      </w:r>
    </w:p>
    <w:p>
      <w:pPr>
        <w:numPr>
          <w:ilvl w:val="0"/>
          <w:numId w:val="9"/>
        </w:numPr>
        <w:ind w:left="0" w:leftChars="0" w:firstLine="0" w:firstLine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日常巡检与监测</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（1）</w:t>
      </w:r>
      <w:r>
        <w:rPr>
          <w:rFonts w:hint="eastAsia" w:ascii="幼圆" w:hAnsi="幼圆" w:eastAsia="幼圆" w:cs="幼圆"/>
          <w:sz w:val="21"/>
          <w:szCs w:val="21"/>
        </w:rPr>
        <w:t>巡检频率：至少每日</w:t>
      </w:r>
      <w:r>
        <w:rPr>
          <w:rFonts w:hint="eastAsia" w:ascii="幼圆" w:hAnsi="幼圆" w:eastAsia="幼圆" w:cs="幼圆"/>
          <w:sz w:val="21"/>
          <w:szCs w:val="21"/>
          <w:lang w:eastAsia="zh-CN"/>
        </w:rPr>
        <w:t>两</w:t>
      </w:r>
      <w:r>
        <w:rPr>
          <w:rFonts w:hint="eastAsia" w:ascii="幼圆" w:hAnsi="幼圆" w:eastAsia="幼圆" w:cs="幼圆"/>
          <w:sz w:val="21"/>
          <w:szCs w:val="21"/>
        </w:rPr>
        <w:t>次，对重要</w:t>
      </w:r>
      <w:r>
        <w:rPr>
          <w:rFonts w:hint="eastAsia" w:ascii="幼圆" w:hAnsi="幼圆" w:eastAsia="幼圆" w:cs="幼圆"/>
          <w:sz w:val="21"/>
          <w:szCs w:val="21"/>
          <w:lang w:eastAsia="zh-CN"/>
        </w:rPr>
        <w:t>医疗电梯</w:t>
      </w:r>
      <w:r>
        <w:rPr>
          <w:rFonts w:hint="eastAsia" w:ascii="幼圆" w:hAnsi="幼圆" w:eastAsia="幼圆" w:cs="幼圆"/>
          <w:sz w:val="21"/>
          <w:szCs w:val="21"/>
        </w:rPr>
        <w:t>增加巡检</w:t>
      </w:r>
      <w:r>
        <w:rPr>
          <w:rFonts w:hint="eastAsia" w:ascii="幼圆" w:hAnsi="幼圆" w:eastAsia="幼圆" w:cs="幼圆"/>
          <w:sz w:val="21"/>
          <w:szCs w:val="21"/>
          <w:lang w:eastAsia="zh-CN"/>
        </w:rPr>
        <w:t>次数</w:t>
      </w:r>
      <w:r>
        <w:rPr>
          <w:rFonts w:hint="eastAsia" w:ascii="幼圆" w:hAnsi="幼圆" w:eastAsia="幼圆" w:cs="幼圆"/>
          <w:sz w:val="21"/>
          <w:szCs w:val="21"/>
        </w:rPr>
        <w:t>。</w:t>
      </w:r>
    </w:p>
    <w:p>
      <w:pPr>
        <w:rPr>
          <w:rFonts w:hint="eastAsia" w:ascii="幼圆" w:hAnsi="幼圆" w:eastAsia="幼圆" w:cs="幼圆"/>
          <w:sz w:val="21"/>
          <w:szCs w:val="21"/>
          <w:lang w:eastAsia="zh-CN"/>
        </w:rPr>
      </w:pPr>
      <w:r>
        <w:rPr>
          <w:rFonts w:hint="eastAsia" w:ascii="幼圆" w:hAnsi="幼圆" w:eastAsia="幼圆" w:cs="幼圆"/>
          <w:sz w:val="21"/>
          <w:szCs w:val="21"/>
          <w:lang w:val="en-US" w:eastAsia="zh-CN"/>
        </w:rPr>
        <w:t>（2）</w:t>
      </w:r>
      <w:r>
        <w:rPr>
          <w:rFonts w:hint="eastAsia" w:ascii="幼圆" w:hAnsi="幼圆" w:eastAsia="幼圆" w:cs="幼圆"/>
          <w:sz w:val="21"/>
          <w:szCs w:val="21"/>
        </w:rPr>
        <w:t>巡检内容：</w:t>
      </w:r>
      <w:r>
        <w:rPr>
          <w:rFonts w:hint="eastAsia" w:ascii="幼圆" w:hAnsi="幼圆" w:eastAsia="幼圆" w:cs="幼圆"/>
          <w:sz w:val="21"/>
          <w:szCs w:val="21"/>
          <w:lang w:eastAsia="zh-CN"/>
        </w:rPr>
        <w:t>详见下列表格</w:t>
      </w:r>
    </w:p>
    <w:p>
      <w:pPr>
        <w:rPr>
          <w:rFonts w:hint="eastAsia" w:ascii="幼圆" w:hAnsi="幼圆" w:eastAsia="幼圆" w:cs="幼圆"/>
          <w:sz w:val="21"/>
          <w:szCs w:val="21"/>
        </w:rPr>
      </w:pPr>
      <w:r>
        <w:rPr>
          <w:rFonts w:hint="eastAsia" w:ascii="幼圆" w:hAnsi="幼圆" w:eastAsia="幼圆" w:cs="幼圆"/>
          <w:sz w:val="21"/>
          <w:szCs w:val="21"/>
        </w:rPr>
        <w:drawing>
          <wp:inline distT="0" distB="0" distL="114300" distR="114300">
            <wp:extent cx="5260975" cy="3457575"/>
            <wp:effectExtent l="0" t="0" r="1587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60975" cy="3457575"/>
                    </a:xfrm>
                    <a:prstGeom prst="rect">
                      <a:avLst/>
                    </a:prstGeom>
                    <a:noFill/>
                    <a:ln>
                      <a:noFill/>
                    </a:ln>
                  </pic:spPr>
                </pic:pic>
              </a:graphicData>
            </a:graphic>
          </wp:inline>
        </w:drawing>
      </w:r>
    </w:p>
    <w:p>
      <w:pPr>
        <w:numPr>
          <w:ilvl w:val="0"/>
          <w:numId w:val="0"/>
        </w:numPr>
        <w:ind w:leftChars="0"/>
        <w:rPr>
          <w:rFonts w:hint="eastAsia" w:ascii="幼圆" w:hAnsi="幼圆" w:eastAsia="幼圆" w:cs="幼圆"/>
          <w:sz w:val="21"/>
          <w:szCs w:val="21"/>
        </w:rPr>
      </w:pPr>
      <w:r>
        <w:rPr>
          <w:rFonts w:hint="eastAsia" w:ascii="幼圆" w:hAnsi="幼圆" w:eastAsia="幼圆" w:cs="幼圆"/>
          <w:sz w:val="21"/>
          <w:szCs w:val="21"/>
        </w:rPr>
        <w:drawing>
          <wp:inline distT="0" distB="0" distL="114300" distR="114300">
            <wp:extent cx="5825490" cy="3413760"/>
            <wp:effectExtent l="0" t="0" r="3810"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825490" cy="3413760"/>
                    </a:xfrm>
                    <a:prstGeom prst="rect">
                      <a:avLst/>
                    </a:prstGeom>
                    <a:noFill/>
                    <a:ln>
                      <a:noFill/>
                    </a:ln>
                  </pic:spPr>
                </pic:pic>
              </a:graphicData>
            </a:graphic>
          </wp:inline>
        </w:drawing>
      </w:r>
    </w:p>
    <w:p>
      <w:pPr>
        <w:rPr>
          <w:rFonts w:hint="eastAsia" w:ascii="幼圆" w:hAnsi="幼圆" w:eastAsia="幼圆" w:cs="幼圆"/>
          <w:sz w:val="21"/>
          <w:szCs w:val="21"/>
          <w:lang w:eastAsia="zh-CN"/>
        </w:rPr>
      </w:pPr>
      <w:r>
        <w:rPr>
          <w:rFonts w:hint="eastAsia" w:ascii="幼圆" w:hAnsi="幼圆" w:eastAsia="幼圆" w:cs="幼圆"/>
          <w:sz w:val="21"/>
          <w:szCs w:val="21"/>
          <w:lang w:val="en-US" w:eastAsia="zh-CN"/>
        </w:rPr>
        <w:t>（3）</w:t>
      </w:r>
      <w:r>
        <w:rPr>
          <w:rFonts w:hint="eastAsia" w:ascii="幼圆" w:hAnsi="幼圆" w:eastAsia="幼圆" w:cs="幼圆"/>
          <w:sz w:val="21"/>
          <w:szCs w:val="21"/>
        </w:rPr>
        <w:t>运行记录：完整的日常巡检记录、交接班记录</w:t>
      </w:r>
      <w:r>
        <w:rPr>
          <w:rFonts w:hint="eastAsia" w:ascii="幼圆" w:hAnsi="幼圆" w:eastAsia="幼圆" w:cs="幼圆"/>
          <w:sz w:val="21"/>
          <w:szCs w:val="21"/>
          <w:lang w:eastAsia="zh-CN"/>
        </w:rPr>
        <w:t>，故障处理记录。</w:t>
      </w:r>
    </w:p>
    <w:p>
      <w:pPr>
        <w:rPr>
          <w:rFonts w:hint="eastAsia" w:ascii="幼圆" w:hAnsi="幼圆" w:eastAsia="幼圆" w:cs="幼圆"/>
          <w:sz w:val="21"/>
          <w:szCs w:val="21"/>
        </w:rPr>
      </w:pPr>
      <w:r>
        <w:rPr>
          <w:rFonts w:hint="eastAsia" w:ascii="幼圆" w:hAnsi="幼圆" w:eastAsia="幼圆" w:cs="幼圆"/>
          <w:sz w:val="21"/>
          <w:szCs w:val="21"/>
          <w:lang w:val="en-US" w:eastAsia="zh-CN"/>
        </w:rPr>
        <w:t>（4）</w:t>
      </w:r>
      <w:r>
        <w:rPr>
          <w:rFonts w:hint="eastAsia" w:ascii="幼圆" w:hAnsi="幼圆" w:eastAsia="幼圆" w:cs="幼圆"/>
          <w:sz w:val="21"/>
          <w:szCs w:val="21"/>
        </w:rPr>
        <w:t>维保记录：详细的维护、检修，包括工作内容、时间、人员、发现的问题及处理结果。</w:t>
      </w:r>
    </w:p>
    <w:p>
      <w:pPr>
        <w:rPr>
          <w:rFonts w:hint="eastAsia" w:ascii="幼圆" w:hAnsi="幼圆" w:eastAsia="幼圆" w:cs="幼圆"/>
          <w:sz w:val="21"/>
          <w:szCs w:val="21"/>
          <w:lang w:eastAsia="zh-CN"/>
        </w:rPr>
      </w:pPr>
      <w:r>
        <w:rPr>
          <w:rFonts w:hint="eastAsia" w:ascii="幼圆" w:hAnsi="幼圆" w:eastAsia="幼圆" w:cs="幼圆"/>
          <w:sz w:val="21"/>
          <w:szCs w:val="21"/>
          <w:lang w:val="en-US" w:eastAsia="zh-CN"/>
        </w:rPr>
        <w:t>（5）</w:t>
      </w:r>
      <w:r>
        <w:rPr>
          <w:rFonts w:hint="eastAsia" w:ascii="幼圆" w:hAnsi="幼圆" w:eastAsia="幼圆" w:cs="幼圆"/>
          <w:sz w:val="21"/>
          <w:szCs w:val="21"/>
        </w:rPr>
        <w:t>应急预案：制定完善的</w:t>
      </w:r>
      <w:r>
        <w:rPr>
          <w:rFonts w:hint="eastAsia" w:ascii="幼圆" w:hAnsi="幼圆" w:eastAsia="幼圆" w:cs="幼圆"/>
          <w:sz w:val="21"/>
          <w:szCs w:val="21"/>
          <w:lang w:eastAsia="zh-CN"/>
        </w:rPr>
        <w:t>电梯</w:t>
      </w:r>
      <w:r>
        <w:rPr>
          <w:rFonts w:hint="eastAsia" w:ascii="幼圆" w:hAnsi="幼圆" w:eastAsia="幼圆" w:cs="幼圆"/>
          <w:sz w:val="21"/>
          <w:szCs w:val="21"/>
        </w:rPr>
        <w:t>应急预案，</w:t>
      </w:r>
      <w:r>
        <w:rPr>
          <w:rFonts w:hint="eastAsia" w:ascii="幼圆" w:hAnsi="幼圆" w:eastAsia="幼圆" w:cs="幼圆"/>
          <w:sz w:val="21"/>
          <w:szCs w:val="21"/>
          <w:lang w:eastAsia="zh-CN"/>
        </w:rPr>
        <w:t>根据不同梯种（乘客电梯，载货电梯，杂物电梯，自动手扶梯）制定不同的电梯应急演练，</w:t>
      </w:r>
      <w:r>
        <w:rPr>
          <w:rFonts w:hint="eastAsia" w:ascii="幼圆" w:hAnsi="幼圆" w:eastAsia="幼圆" w:cs="幼圆"/>
          <w:sz w:val="21"/>
          <w:szCs w:val="21"/>
        </w:rPr>
        <w:t>包括停电、火灾、</w:t>
      </w:r>
      <w:r>
        <w:rPr>
          <w:rFonts w:hint="eastAsia" w:ascii="幼圆" w:hAnsi="幼圆" w:eastAsia="幼圆" w:cs="幼圆"/>
          <w:sz w:val="21"/>
          <w:szCs w:val="21"/>
          <w:lang w:eastAsia="zh-CN"/>
        </w:rPr>
        <w:t>跑水</w:t>
      </w:r>
      <w:r>
        <w:rPr>
          <w:rFonts w:hint="eastAsia" w:ascii="幼圆" w:hAnsi="幼圆" w:eastAsia="幼圆" w:cs="幼圆"/>
          <w:sz w:val="21"/>
          <w:szCs w:val="21"/>
        </w:rPr>
        <w:t>等，并定期组织演练</w:t>
      </w:r>
      <w:r>
        <w:rPr>
          <w:rFonts w:hint="eastAsia" w:ascii="幼圆" w:hAnsi="幼圆" w:eastAsia="幼圆" w:cs="幼圆"/>
          <w:sz w:val="21"/>
          <w:szCs w:val="21"/>
          <w:lang w:eastAsia="zh-CN"/>
        </w:rPr>
        <w:t>，至少每六个月一次。</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（6）乙方应严格遵守甲方的规章制度。</w:t>
      </w:r>
    </w:p>
    <w:p>
      <w:pPr>
        <w:numPr>
          <w:ilvl w:val="0"/>
          <w:numId w:val="0"/>
        </w:num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（7）乙方应严格按照甲方的时间要求对电梯进行管控、开启及关闭。</w:t>
      </w:r>
    </w:p>
    <w:p>
      <w:pPr>
        <w:numPr>
          <w:ilvl w:val="0"/>
          <w:numId w:val="0"/>
        </w:num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（8）负责电梯、扶梯定时开启关闭。</w:t>
      </w:r>
    </w:p>
    <w:p>
      <w:pPr>
        <w:numPr>
          <w:ilvl w:val="0"/>
          <w:numId w:val="0"/>
        </w:numPr>
        <w:rPr>
          <w:rFonts w:hint="eastAsia" w:ascii="幼圆" w:hAnsi="幼圆" w:eastAsia="幼圆" w:cs="幼圆"/>
          <w:sz w:val="21"/>
          <w:szCs w:val="21"/>
          <w:highlight w:val="none"/>
          <w:lang w:val="en-US" w:eastAsia="zh-CN"/>
        </w:rPr>
      </w:pPr>
      <w:r>
        <w:rPr>
          <w:rFonts w:hint="eastAsia" w:ascii="幼圆" w:hAnsi="幼圆" w:eastAsia="幼圆" w:cs="幼圆"/>
          <w:sz w:val="21"/>
          <w:szCs w:val="21"/>
          <w:lang w:val="en-US" w:eastAsia="zh-CN"/>
        </w:rPr>
        <w:t>（9）</w:t>
      </w:r>
      <w:r>
        <w:rPr>
          <w:rFonts w:hint="eastAsia" w:ascii="幼圆" w:hAnsi="幼圆" w:eastAsia="幼圆" w:cs="幼圆"/>
          <w:sz w:val="21"/>
          <w:szCs w:val="21"/>
          <w:highlight w:val="none"/>
          <w:lang w:val="en-US" w:eastAsia="zh-CN"/>
        </w:rPr>
        <w:t>配合院方做好重大活动电梯管控服务。</w:t>
      </w:r>
    </w:p>
    <w:p>
      <w:pPr>
        <w:numPr>
          <w:ilvl w:val="0"/>
          <w:numId w:val="0"/>
        </w:numPr>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3、定期维护与检修</w:t>
      </w:r>
    </w:p>
    <w:p>
      <w:pPr>
        <w:rPr>
          <w:rFonts w:hint="eastAsia" w:ascii="幼圆" w:hAnsi="幼圆" w:eastAsia="幼圆" w:cs="幼圆"/>
          <w:sz w:val="21"/>
          <w:szCs w:val="21"/>
        </w:rPr>
      </w:pPr>
      <w:r>
        <w:rPr>
          <w:rFonts w:hint="eastAsia" w:ascii="幼圆" w:hAnsi="幼圆" w:eastAsia="幼圆" w:cs="幼圆"/>
          <w:sz w:val="21"/>
          <w:szCs w:val="21"/>
          <w:lang w:eastAsia="zh-CN"/>
        </w:rPr>
        <w:t>（</w:t>
      </w:r>
      <w:r>
        <w:rPr>
          <w:rFonts w:hint="eastAsia" w:ascii="幼圆" w:hAnsi="幼圆" w:eastAsia="幼圆" w:cs="幼圆"/>
          <w:sz w:val="21"/>
          <w:szCs w:val="21"/>
          <w:lang w:val="en-US" w:eastAsia="zh-CN"/>
        </w:rPr>
        <w:t>1</w:t>
      </w:r>
      <w:r>
        <w:rPr>
          <w:rFonts w:hint="eastAsia" w:ascii="幼圆" w:hAnsi="幼圆" w:eastAsia="幼圆" w:cs="幼圆"/>
          <w:sz w:val="21"/>
          <w:szCs w:val="21"/>
          <w:lang w:eastAsia="zh-CN"/>
        </w:rPr>
        <w:t>）</w:t>
      </w:r>
      <w:r>
        <w:rPr>
          <w:rFonts w:hint="eastAsia" w:ascii="幼圆" w:hAnsi="幼圆" w:eastAsia="幼圆" w:cs="幼圆"/>
          <w:sz w:val="21"/>
          <w:szCs w:val="21"/>
        </w:rPr>
        <w:t>电梯定期维护保养要求电梯定期维护保养要求主要</w:t>
      </w:r>
      <w:r>
        <w:rPr>
          <w:rFonts w:hint="eastAsia" w:ascii="幼圆" w:hAnsi="幼圆" w:eastAsia="幼圆" w:cs="幼圆"/>
          <w:sz w:val="21"/>
          <w:szCs w:val="21"/>
          <w:highlight w:val="none"/>
        </w:rPr>
        <w:t>依据《电梯维护保养规则》（TSG T5002-2017）及相关标准</w:t>
      </w:r>
      <w:r>
        <w:rPr>
          <w:rFonts w:hint="eastAsia" w:ascii="幼圆" w:hAnsi="幼圆" w:eastAsia="幼圆" w:cs="幼圆"/>
          <w:sz w:val="21"/>
          <w:szCs w:val="21"/>
          <w:highlight w:val="none"/>
          <w:lang w:eastAsia="zh-CN"/>
        </w:rPr>
        <w:t>（以国家及北京市的相关标准及最新要求标准执行）</w:t>
      </w:r>
      <w:r>
        <w:rPr>
          <w:rFonts w:hint="eastAsia" w:ascii="幼圆" w:hAnsi="幼圆" w:eastAsia="幼圆" w:cs="幼圆"/>
          <w:sz w:val="21"/>
          <w:szCs w:val="21"/>
          <w:highlight w:val="none"/>
        </w:rPr>
        <w:t>，</w:t>
      </w:r>
      <w:r>
        <w:rPr>
          <w:rFonts w:hint="eastAsia" w:ascii="幼圆" w:hAnsi="幼圆" w:eastAsia="幼圆" w:cs="幼圆"/>
          <w:sz w:val="21"/>
          <w:szCs w:val="21"/>
          <w:highlight w:val="none"/>
          <w:lang w:eastAsia="zh-CN"/>
        </w:rPr>
        <w:t>至少每</w:t>
      </w:r>
      <w:r>
        <w:rPr>
          <w:rFonts w:hint="eastAsia" w:ascii="幼圆" w:hAnsi="幼圆" w:eastAsia="幼圆" w:cs="幼圆"/>
          <w:sz w:val="21"/>
          <w:szCs w:val="21"/>
          <w:highlight w:val="none"/>
          <w:lang w:val="en-US" w:eastAsia="zh-CN"/>
        </w:rPr>
        <w:t>15天一次，并</w:t>
      </w:r>
      <w:r>
        <w:rPr>
          <w:rFonts w:hint="eastAsia" w:ascii="幼圆" w:hAnsi="幼圆" w:eastAsia="幼圆" w:cs="幼圆"/>
          <w:sz w:val="21"/>
          <w:szCs w:val="21"/>
          <w:highlight w:val="none"/>
        </w:rPr>
        <w:t>依法取得相应许可，具备与维保项目和数量相适应的专业技术人员、设备设施及健全的质量保证、安全管理和岗位责任制度。</w:t>
      </w:r>
    </w:p>
    <w:p>
      <w:pPr>
        <w:rPr>
          <w:rFonts w:hint="eastAsia" w:ascii="幼圆" w:hAnsi="幼圆" w:eastAsia="幼圆" w:cs="幼圆"/>
          <w:sz w:val="21"/>
          <w:szCs w:val="21"/>
          <w:lang w:eastAsia="zh-CN"/>
        </w:rPr>
      </w:pPr>
      <w:r>
        <w:rPr>
          <w:rFonts w:hint="eastAsia" w:ascii="幼圆" w:hAnsi="幼圆" w:eastAsia="幼圆" w:cs="幼圆"/>
          <w:sz w:val="21"/>
          <w:szCs w:val="21"/>
          <w:lang w:val="en-US" w:eastAsia="zh-CN"/>
        </w:rPr>
        <w:t>（2）</w:t>
      </w:r>
      <w:r>
        <w:rPr>
          <w:rFonts w:hint="eastAsia" w:ascii="幼圆" w:hAnsi="幼圆" w:eastAsia="幼圆" w:cs="幼圆"/>
          <w:sz w:val="21"/>
          <w:szCs w:val="21"/>
        </w:rPr>
        <w:t>维保周期与项目</w:t>
      </w:r>
      <w:r>
        <w:rPr>
          <w:rFonts w:hint="eastAsia" w:ascii="幼圆" w:hAnsi="幼圆" w:eastAsia="幼圆" w:cs="幼圆"/>
          <w:sz w:val="21"/>
          <w:szCs w:val="21"/>
          <w:lang w:eastAsia="zh-CN"/>
        </w:rPr>
        <w:t>：</w:t>
      </w:r>
    </w:p>
    <w:p>
      <w:pPr>
        <w:rPr>
          <w:rFonts w:hint="eastAsia" w:ascii="幼圆" w:hAnsi="幼圆" w:eastAsia="幼圆" w:cs="幼圆"/>
          <w:sz w:val="21"/>
          <w:szCs w:val="21"/>
        </w:rPr>
      </w:pPr>
      <w:r>
        <w:rPr>
          <w:rFonts w:hint="eastAsia" w:ascii="幼圆" w:hAnsi="幼圆" w:eastAsia="幼圆" w:cs="幼圆"/>
          <w:sz w:val="21"/>
          <w:szCs w:val="21"/>
          <w:lang w:val="en-US" w:eastAsia="zh-CN"/>
        </w:rPr>
        <w:t>1</w:t>
      </w:r>
      <w:r>
        <w:rPr>
          <w:rFonts w:hint="eastAsia" w:ascii="幼圆" w:hAnsi="幼圆" w:eastAsia="幼圆" w:cs="幼圆"/>
          <w:sz w:val="21"/>
          <w:szCs w:val="21"/>
          <w:lang w:eastAsia="zh-CN"/>
        </w:rPr>
        <w:t>）</w:t>
      </w:r>
      <w:r>
        <w:rPr>
          <w:rFonts w:hint="eastAsia" w:ascii="幼圆" w:hAnsi="幼圆" w:eastAsia="幼圆" w:cs="幼圆"/>
          <w:sz w:val="21"/>
          <w:szCs w:val="21"/>
        </w:rPr>
        <w:t xml:space="preserve">半月维保：检查机房环境、驱动主机、制动器、编码器、层门轿门系统等，确保运行无异常声响，部件清洁、润滑良好，安全装置功能正常。  </w:t>
      </w:r>
    </w:p>
    <w:p>
      <w:pPr>
        <w:rPr>
          <w:rFonts w:hint="eastAsia" w:ascii="幼圆" w:hAnsi="幼圆" w:eastAsia="幼圆" w:cs="幼圆"/>
          <w:sz w:val="21"/>
          <w:szCs w:val="21"/>
        </w:rPr>
      </w:pPr>
      <w:r>
        <w:rPr>
          <w:rFonts w:hint="eastAsia" w:ascii="幼圆" w:hAnsi="幼圆" w:eastAsia="幼圆" w:cs="幼圆"/>
          <w:sz w:val="21"/>
          <w:szCs w:val="21"/>
          <w:lang w:val="en-US" w:eastAsia="zh-CN"/>
        </w:rPr>
        <w:t>2</w:t>
      </w:r>
      <w:r>
        <w:rPr>
          <w:rFonts w:hint="eastAsia" w:ascii="幼圆" w:hAnsi="幼圆" w:eastAsia="幼圆" w:cs="幼圆"/>
          <w:sz w:val="21"/>
          <w:szCs w:val="21"/>
          <w:lang w:eastAsia="zh-CN"/>
        </w:rPr>
        <w:t>）</w:t>
      </w:r>
      <w:r>
        <w:rPr>
          <w:rFonts w:hint="eastAsia" w:ascii="幼圆" w:hAnsi="幼圆" w:eastAsia="幼圆" w:cs="幼圆"/>
          <w:sz w:val="21"/>
          <w:szCs w:val="21"/>
        </w:rPr>
        <w:t xml:space="preserve">季度维保：在半月维保基础上，检查减速机润滑油、制动衬、曳引轮槽、限速器等，调整钢丝绳张力，清洁选层器等部件。  </w:t>
      </w:r>
    </w:p>
    <w:p>
      <w:pPr>
        <w:rPr>
          <w:rFonts w:hint="eastAsia" w:ascii="幼圆" w:hAnsi="幼圆" w:eastAsia="幼圆" w:cs="幼圆"/>
          <w:sz w:val="21"/>
          <w:szCs w:val="21"/>
        </w:rPr>
      </w:pPr>
      <w:r>
        <w:rPr>
          <w:rFonts w:hint="eastAsia" w:ascii="幼圆" w:hAnsi="幼圆" w:eastAsia="幼圆" w:cs="幼圆"/>
          <w:sz w:val="21"/>
          <w:szCs w:val="21"/>
          <w:lang w:val="en-US" w:eastAsia="zh-CN"/>
        </w:rPr>
        <w:t>3</w:t>
      </w:r>
      <w:r>
        <w:rPr>
          <w:rFonts w:hint="eastAsia" w:ascii="幼圆" w:hAnsi="幼圆" w:eastAsia="幼圆" w:cs="幼圆"/>
          <w:sz w:val="21"/>
          <w:szCs w:val="21"/>
          <w:lang w:eastAsia="zh-CN"/>
        </w:rPr>
        <w:t>）</w:t>
      </w:r>
      <w:r>
        <w:rPr>
          <w:rFonts w:hint="eastAsia" w:ascii="幼圆" w:hAnsi="幼圆" w:eastAsia="幼圆" w:cs="幼圆"/>
          <w:sz w:val="21"/>
          <w:szCs w:val="21"/>
        </w:rPr>
        <w:t xml:space="preserve">半年维保：重点检查电动机与减速机联轴器、制动器动作状态监测装置、悬挂装置、导轨支架等，测试绝缘性能，调整轿门开门限制装置等。  </w:t>
      </w:r>
    </w:p>
    <w:p>
      <w:pPr>
        <w:rPr>
          <w:rFonts w:hint="eastAsia" w:ascii="幼圆" w:hAnsi="幼圆" w:eastAsia="幼圆" w:cs="幼圆"/>
          <w:sz w:val="21"/>
          <w:szCs w:val="21"/>
        </w:rPr>
      </w:pPr>
      <w:r>
        <w:rPr>
          <w:rFonts w:hint="eastAsia" w:ascii="幼圆" w:hAnsi="幼圆" w:eastAsia="幼圆" w:cs="幼圆"/>
          <w:sz w:val="21"/>
          <w:szCs w:val="21"/>
          <w:lang w:val="en-US" w:eastAsia="zh-CN"/>
        </w:rPr>
        <w:t>4</w:t>
      </w:r>
      <w:r>
        <w:rPr>
          <w:rFonts w:hint="eastAsia" w:ascii="幼圆" w:hAnsi="幼圆" w:eastAsia="幼圆" w:cs="幼圆"/>
          <w:sz w:val="21"/>
          <w:szCs w:val="21"/>
          <w:lang w:eastAsia="zh-CN"/>
        </w:rPr>
        <w:t>）</w:t>
      </w:r>
      <w:r>
        <w:rPr>
          <w:rFonts w:hint="eastAsia" w:ascii="幼圆" w:hAnsi="幼圆" w:eastAsia="幼圆" w:cs="幼圆"/>
          <w:sz w:val="21"/>
          <w:szCs w:val="21"/>
        </w:rPr>
        <w:t>年度维保：全面检查电梯整体性能，包括限速器安全钳联动试验、上行超速保护装置试验、轿厢意外移动保护装置试验，更换减速机润滑油，检查缓冲器、导轨磨损情况等。</w:t>
      </w:r>
    </w:p>
    <w:p>
      <w:pPr>
        <w:rPr>
          <w:rFonts w:hint="eastAsia" w:ascii="幼圆" w:hAnsi="幼圆" w:eastAsia="幼圆" w:cs="幼圆"/>
          <w:sz w:val="21"/>
          <w:szCs w:val="21"/>
        </w:rPr>
      </w:pPr>
      <w:r>
        <w:rPr>
          <w:rFonts w:hint="eastAsia" w:ascii="幼圆" w:hAnsi="幼圆" w:eastAsia="幼圆" w:cs="幼圆"/>
          <w:sz w:val="21"/>
          <w:szCs w:val="21"/>
          <w:lang w:val="en-US" w:eastAsia="zh-CN"/>
        </w:rPr>
        <w:t>（3）</w:t>
      </w:r>
      <w:r>
        <w:rPr>
          <w:rFonts w:hint="eastAsia" w:ascii="幼圆" w:hAnsi="幼圆" w:eastAsia="幼圆" w:cs="幼圆"/>
          <w:sz w:val="21"/>
          <w:szCs w:val="21"/>
        </w:rPr>
        <w:t xml:space="preserve">维保记录要求  </w:t>
      </w:r>
    </w:p>
    <w:p>
      <w:pPr>
        <w:rPr>
          <w:rFonts w:hint="eastAsia" w:ascii="幼圆" w:hAnsi="幼圆" w:eastAsia="幼圆" w:cs="幼圆"/>
          <w:sz w:val="21"/>
          <w:szCs w:val="21"/>
        </w:rPr>
      </w:pPr>
      <w:r>
        <w:rPr>
          <w:rFonts w:hint="eastAsia" w:ascii="幼圆" w:hAnsi="幼圆" w:eastAsia="幼圆" w:cs="幼圆"/>
          <w:sz w:val="21"/>
          <w:szCs w:val="21"/>
          <w:lang w:val="en-US" w:eastAsia="zh-CN"/>
        </w:rPr>
        <w:t>1</w:t>
      </w:r>
      <w:r>
        <w:rPr>
          <w:rFonts w:hint="eastAsia" w:ascii="幼圆" w:hAnsi="幼圆" w:eastAsia="幼圆" w:cs="幼圆"/>
          <w:sz w:val="21"/>
          <w:szCs w:val="21"/>
          <w:lang w:eastAsia="zh-CN"/>
        </w:rPr>
        <w:t>）</w:t>
      </w:r>
      <w:r>
        <w:rPr>
          <w:rFonts w:hint="eastAsia" w:ascii="幼圆" w:hAnsi="幼圆" w:eastAsia="幼圆" w:cs="幼圆"/>
          <w:sz w:val="21"/>
          <w:szCs w:val="21"/>
        </w:rPr>
        <w:t xml:space="preserve">每次维保需详细记录电梯基本情况、维保项目、工作内容、调整更换易损件情况等，经使用单位安全管理人员签字确认。  </w:t>
      </w:r>
    </w:p>
    <w:p>
      <w:pPr>
        <w:rPr>
          <w:rFonts w:hint="eastAsia" w:ascii="幼圆" w:hAnsi="幼圆" w:eastAsia="幼圆" w:cs="幼圆"/>
          <w:sz w:val="21"/>
          <w:szCs w:val="21"/>
        </w:rPr>
      </w:pPr>
      <w:r>
        <w:rPr>
          <w:rFonts w:hint="eastAsia" w:ascii="幼圆" w:hAnsi="幼圆" w:eastAsia="幼圆" w:cs="幼圆"/>
          <w:sz w:val="21"/>
          <w:szCs w:val="21"/>
          <w:lang w:val="en-US" w:eastAsia="zh-CN"/>
        </w:rPr>
        <w:t>2）</w:t>
      </w:r>
      <w:r>
        <w:rPr>
          <w:rFonts w:hint="eastAsia" w:ascii="幼圆" w:hAnsi="幼圆" w:eastAsia="幼圆" w:cs="幼圆"/>
          <w:sz w:val="21"/>
          <w:szCs w:val="21"/>
        </w:rPr>
        <w:t>维保记录至少保存4年，采用信息化技术的无纸化记录需确保数据不可篡改，可实时查询。</w:t>
      </w:r>
    </w:p>
    <w:p>
      <w:pPr>
        <w:rPr>
          <w:rFonts w:hint="eastAsia" w:ascii="幼圆" w:hAnsi="幼圆" w:eastAsia="幼圆" w:cs="幼圆"/>
          <w:sz w:val="21"/>
          <w:szCs w:val="21"/>
        </w:rPr>
      </w:pPr>
      <w:r>
        <w:rPr>
          <w:rFonts w:hint="eastAsia" w:ascii="幼圆" w:hAnsi="幼圆" w:eastAsia="幼圆" w:cs="幼圆"/>
          <w:sz w:val="21"/>
          <w:szCs w:val="21"/>
          <w:lang w:val="en-US" w:eastAsia="zh-CN"/>
        </w:rPr>
        <w:t>（4）</w:t>
      </w:r>
      <w:r>
        <w:rPr>
          <w:rFonts w:hint="eastAsia" w:ascii="幼圆" w:hAnsi="幼圆" w:eastAsia="幼圆" w:cs="幼圆"/>
          <w:sz w:val="21"/>
          <w:szCs w:val="21"/>
        </w:rPr>
        <w:t xml:space="preserve">应急响应与救援  </w:t>
      </w:r>
    </w:p>
    <w:p>
      <w:pPr>
        <w:rPr>
          <w:rFonts w:hint="eastAsia" w:ascii="幼圆" w:hAnsi="幼圆" w:eastAsia="幼圆" w:cs="幼圆"/>
          <w:sz w:val="21"/>
          <w:szCs w:val="21"/>
        </w:rPr>
      </w:pPr>
      <w:r>
        <w:rPr>
          <w:rFonts w:hint="eastAsia" w:ascii="幼圆" w:hAnsi="幼圆" w:eastAsia="幼圆" w:cs="幼圆"/>
          <w:sz w:val="21"/>
          <w:szCs w:val="21"/>
          <w:lang w:val="en-US" w:eastAsia="zh-CN"/>
        </w:rPr>
        <w:t>1</w:t>
      </w:r>
      <w:r>
        <w:rPr>
          <w:rFonts w:hint="eastAsia" w:ascii="幼圆" w:hAnsi="幼圆" w:eastAsia="幼圆" w:cs="幼圆"/>
          <w:sz w:val="21"/>
          <w:szCs w:val="21"/>
          <w:lang w:eastAsia="zh-CN"/>
        </w:rPr>
        <w:t>）</w:t>
      </w:r>
      <w:r>
        <w:rPr>
          <w:rFonts w:hint="eastAsia" w:ascii="幼圆" w:hAnsi="幼圆" w:eastAsia="幼圆" w:cs="幼圆"/>
          <w:sz w:val="21"/>
          <w:szCs w:val="21"/>
        </w:rPr>
        <w:t>维保单位需设立24小时值班电话，接到电梯困人故障报告后，</w:t>
      </w:r>
      <w:r>
        <w:rPr>
          <w:rFonts w:hint="eastAsia" w:ascii="幼圆" w:hAnsi="幼圆" w:eastAsia="幼圆" w:cs="幼圆"/>
          <w:sz w:val="21"/>
          <w:szCs w:val="21"/>
          <w:lang w:eastAsia="zh-CN"/>
        </w:rPr>
        <w:t>院内驻场人员</w:t>
      </w:r>
      <w:r>
        <w:rPr>
          <w:rFonts w:hint="eastAsia" w:ascii="幼圆" w:hAnsi="幼圆" w:eastAsia="幼圆" w:cs="幼圆"/>
          <w:sz w:val="21"/>
          <w:szCs w:val="21"/>
        </w:rPr>
        <w:t>应在</w:t>
      </w:r>
      <w:r>
        <w:rPr>
          <w:rFonts w:hint="eastAsia" w:ascii="幼圆" w:hAnsi="幼圆" w:eastAsia="幼圆" w:cs="幼圆"/>
          <w:sz w:val="21"/>
          <w:szCs w:val="21"/>
          <w:lang w:val="en-US" w:eastAsia="zh-CN"/>
        </w:rPr>
        <w:t>15</w:t>
      </w:r>
      <w:r>
        <w:rPr>
          <w:rFonts w:hint="eastAsia" w:ascii="幼圆" w:hAnsi="幼圆" w:eastAsia="幼圆" w:cs="幼圆"/>
          <w:sz w:val="21"/>
          <w:szCs w:val="21"/>
        </w:rPr>
        <w:t>分钟内抵达现场救援，</w:t>
      </w:r>
      <w:r>
        <w:rPr>
          <w:rFonts w:hint="eastAsia" w:ascii="幼圆" w:hAnsi="幼圆" w:eastAsia="幼圆" w:cs="幼圆"/>
          <w:sz w:val="21"/>
          <w:szCs w:val="21"/>
          <w:lang w:eastAsia="zh-CN"/>
        </w:rPr>
        <w:t>最长</w:t>
      </w:r>
      <w:r>
        <w:rPr>
          <w:rFonts w:hint="eastAsia" w:ascii="幼圆" w:hAnsi="幼圆" w:eastAsia="幼圆" w:cs="幼圆"/>
          <w:sz w:val="21"/>
          <w:szCs w:val="21"/>
        </w:rPr>
        <w:t>不超过</w:t>
      </w:r>
      <w:r>
        <w:rPr>
          <w:rFonts w:hint="eastAsia" w:ascii="幼圆" w:hAnsi="幼圆" w:eastAsia="幼圆" w:cs="幼圆"/>
          <w:sz w:val="21"/>
          <w:szCs w:val="21"/>
          <w:lang w:val="en-US" w:eastAsia="zh-CN"/>
        </w:rPr>
        <w:t>30</w:t>
      </w:r>
      <w:r>
        <w:rPr>
          <w:rFonts w:hint="eastAsia" w:ascii="幼圆" w:hAnsi="幼圆" w:eastAsia="幼圆" w:cs="幼圆"/>
          <w:sz w:val="21"/>
          <w:szCs w:val="21"/>
          <w:lang w:eastAsia="zh-CN"/>
        </w:rPr>
        <w:t>分钟</w:t>
      </w:r>
      <w:r>
        <w:rPr>
          <w:rFonts w:hint="eastAsia" w:ascii="幼圆" w:hAnsi="幼圆" w:eastAsia="幼圆" w:cs="幼圆"/>
          <w:sz w:val="21"/>
          <w:szCs w:val="21"/>
        </w:rPr>
        <w:t xml:space="preserve">。  </w:t>
      </w:r>
    </w:p>
    <w:p>
      <w:pPr>
        <w:rPr>
          <w:rFonts w:hint="eastAsia" w:ascii="幼圆" w:hAnsi="幼圆" w:eastAsia="幼圆" w:cs="幼圆"/>
          <w:sz w:val="21"/>
          <w:szCs w:val="21"/>
        </w:rPr>
      </w:pPr>
      <w:r>
        <w:rPr>
          <w:rFonts w:hint="eastAsia" w:ascii="幼圆" w:hAnsi="幼圆" w:eastAsia="幼圆" w:cs="幼圆"/>
          <w:sz w:val="21"/>
          <w:szCs w:val="21"/>
          <w:lang w:val="en-US" w:eastAsia="zh-CN"/>
        </w:rPr>
        <w:t>2</w:t>
      </w:r>
      <w:r>
        <w:rPr>
          <w:rFonts w:hint="eastAsia" w:ascii="幼圆" w:hAnsi="幼圆" w:eastAsia="幼圆" w:cs="幼圆"/>
          <w:sz w:val="21"/>
          <w:szCs w:val="21"/>
          <w:lang w:eastAsia="zh-CN"/>
        </w:rPr>
        <w:t>）</w:t>
      </w:r>
      <w:r>
        <w:rPr>
          <w:rFonts w:hint="eastAsia" w:ascii="幼圆" w:hAnsi="幼圆" w:eastAsia="幼圆" w:cs="幼圆"/>
          <w:sz w:val="21"/>
          <w:szCs w:val="21"/>
        </w:rPr>
        <w:t>每半年至少针对不同类别电梯进行一次应急演练，制定并完善应急措施和救援预案。</w:t>
      </w:r>
    </w:p>
    <w:p>
      <w:pPr>
        <w:rPr>
          <w:rFonts w:hint="eastAsia" w:ascii="幼圆" w:hAnsi="幼圆" w:eastAsia="幼圆" w:cs="幼圆"/>
          <w:sz w:val="21"/>
          <w:szCs w:val="21"/>
        </w:rPr>
      </w:pPr>
      <w:r>
        <w:rPr>
          <w:rFonts w:hint="eastAsia" w:ascii="幼圆" w:hAnsi="幼圆" w:eastAsia="幼圆" w:cs="幼圆"/>
          <w:sz w:val="21"/>
          <w:szCs w:val="21"/>
          <w:lang w:val="en-US" w:eastAsia="zh-CN"/>
        </w:rPr>
        <w:t>（5）</w:t>
      </w:r>
      <w:r>
        <w:rPr>
          <w:rFonts w:hint="eastAsia" w:ascii="幼圆" w:hAnsi="幼圆" w:eastAsia="幼圆" w:cs="幼圆"/>
          <w:sz w:val="21"/>
          <w:szCs w:val="21"/>
        </w:rPr>
        <w:t xml:space="preserve">隐患报告与处理  </w:t>
      </w:r>
    </w:p>
    <w:p>
      <w:pPr>
        <w:rPr>
          <w:rFonts w:hint="eastAsia" w:ascii="幼圆" w:hAnsi="幼圆" w:eastAsia="幼圆" w:cs="幼圆"/>
          <w:sz w:val="21"/>
          <w:szCs w:val="21"/>
        </w:rPr>
      </w:pPr>
      <w:r>
        <w:rPr>
          <w:rFonts w:hint="eastAsia" w:ascii="幼圆" w:hAnsi="幼圆" w:eastAsia="幼圆" w:cs="幼圆"/>
          <w:sz w:val="21"/>
          <w:szCs w:val="21"/>
          <w:lang w:val="en-US" w:eastAsia="zh-CN"/>
        </w:rPr>
        <w:t>1</w:t>
      </w:r>
      <w:r>
        <w:rPr>
          <w:rFonts w:hint="eastAsia" w:ascii="幼圆" w:hAnsi="幼圆" w:eastAsia="幼圆" w:cs="幼圆"/>
          <w:sz w:val="21"/>
          <w:szCs w:val="21"/>
          <w:lang w:eastAsia="zh-CN"/>
        </w:rPr>
        <w:t>）</w:t>
      </w:r>
      <w:r>
        <w:rPr>
          <w:rFonts w:hint="eastAsia" w:ascii="幼圆" w:hAnsi="幼圆" w:eastAsia="幼圆" w:cs="幼圆"/>
          <w:sz w:val="21"/>
          <w:szCs w:val="21"/>
        </w:rPr>
        <w:t xml:space="preserve">维保过程中发现事故隐患应及时告知使用单位，重大事故隐患需立即向当地特种设备安全监督管理部门报告，并采取措施防止事故发生。  </w:t>
      </w:r>
    </w:p>
    <w:p>
      <w:pPr>
        <w:rPr>
          <w:rFonts w:hint="eastAsia" w:ascii="幼圆" w:hAnsi="幼圆" w:eastAsia="幼圆" w:cs="幼圆"/>
          <w:sz w:val="21"/>
          <w:szCs w:val="21"/>
        </w:rPr>
      </w:pPr>
      <w:r>
        <w:rPr>
          <w:rFonts w:hint="eastAsia" w:ascii="幼圆" w:hAnsi="幼圆" w:eastAsia="幼圆" w:cs="幼圆"/>
          <w:sz w:val="21"/>
          <w:szCs w:val="21"/>
        </w:rPr>
        <w:t>若电梯仅靠常规维保无法保证安全运行，需书面告知使用单位进行改造、修理或更新。</w:t>
      </w:r>
    </w:p>
    <w:p>
      <w:pPr>
        <w:rPr>
          <w:rFonts w:hint="eastAsia" w:ascii="幼圆" w:hAnsi="幼圆" w:eastAsia="幼圆" w:cs="幼圆"/>
          <w:sz w:val="21"/>
          <w:szCs w:val="21"/>
        </w:rPr>
      </w:pPr>
      <w:r>
        <w:rPr>
          <w:rFonts w:hint="eastAsia" w:ascii="幼圆" w:hAnsi="幼圆" w:eastAsia="幼圆" w:cs="幼圆"/>
          <w:sz w:val="21"/>
          <w:szCs w:val="21"/>
          <w:lang w:val="en-US" w:eastAsia="zh-CN"/>
        </w:rPr>
        <w:t>5、</w:t>
      </w:r>
      <w:r>
        <w:rPr>
          <w:rFonts w:hint="eastAsia" w:ascii="幼圆" w:hAnsi="幼圆" w:eastAsia="幼圆" w:cs="幼圆"/>
          <w:sz w:val="21"/>
          <w:szCs w:val="21"/>
        </w:rPr>
        <w:t>电梯维保流程通常包括以下步骤，具体操作需根据电梯类型和实际情况调整：</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（1）准备工作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与院方沟通，确认停梯时间，应先放置警示围栏，确认安全。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检查工具齐全，穿戴安全装备（工作服、安全鞋、安全帽、安全带等）。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了解电梯近期运行状况，记录客户反馈问题。</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（2）机房检查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清洁机房环境，检查通风、照明、消防设施及安全标识。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检查曳引机、限速器、制动器等部件运行状态，紧固螺栓，添加润滑油。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检查控制柜内元件，清洁灰尘，紧固接线端子，检查保险管、地线等。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验证救援装置（盘车手轮、松闸扳手）功能正常。</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（3）轿厢检查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检查轿厢按钮、显示、照明、通风，测试开关门功能及安全触板、光幕。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检查平层精度，运行中观察有无异响、晃动。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检查应急照明、五方通话系统，清洁轿厢及轿顶。</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（4）井道检查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检查导轨、导靴、对重装置，清洁导轨，检查导靴油杯及磨损情况。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检查钢丝绳张力、磨损，绳头组合固定情况。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检查并清理层门地坎、滑块，测试层门自闭、锁紧装置及门锁电气触点。</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（5）底坑检查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检查缓冲器油量、安全距离，清洁底坑，检查补偿链、张紧轮。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验证底坑急停开关、限速器张紧轮安全开关功能。</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（6）收尾工作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电梯试运行，检查运行状态，排除异常。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清理工具和杂物，恢复现场，填写维保记录，客户签字确认。注意事项：  </w:t>
      </w:r>
    </w:p>
    <w:p>
      <w:pPr>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 xml:space="preserve">· 维保人员需持证上岗，严格遵守安全规范。  </w:t>
      </w:r>
    </w:p>
    <w:p>
      <w:pPr>
        <w:rPr>
          <w:rFonts w:hint="eastAsia" w:ascii="幼圆" w:hAnsi="幼圆" w:eastAsia="幼圆" w:cs="幼圆"/>
          <w:sz w:val="21"/>
          <w:szCs w:val="21"/>
        </w:rPr>
      </w:pPr>
      <w:r>
        <w:rPr>
          <w:rFonts w:hint="eastAsia" w:ascii="幼圆" w:hAnsi="幼圆" w:eastAsia="幼圆" w:cs="幼圆"/>
          <w:sz w:val="21"/>
          <w:szCs w:val="21"/>
          <w:lang w:val="en-US" w:eastAsia="zh-CN"/>
        </w:rPr>
        <w:t>· 定期维保需按周期（半月、月、季、年）全面检查，及时更换磨损部件。</w:t>
      </w:r>
    </w:p>
    <w:p>
      <w:pPr>
        <w:numPr>
          <w:ilvl w:val="0"/>
          <w:numId w:val="0"/>
        </w:numPr>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六、安全与应急管理</w:t>
      </w:r>
    </w:p>
    <w:p>
      <w:pPr>
        <w:rPr>
          <w:rFonts w:hint="eastAsia" w:ascii="幼圆" w:hAnsi="幼圆" w:eastAsia="幼圆" w:cs="幼圆"/>
          <w:sz w:val="21"/>
          <w:szCs w:val="21"/>
        </w:rPr>
      </w:pPr>
      <w:r>
        <w:rPr>
          <w:rFonts w:hint="eastAsia" w:ascii="幼圆" w:hAnsi="幼圆" w:eastAsia="幼圆" w:cs="幼圆"/>
          <w:sz w:val="21"/>
          <w:szCs w:val="21"/>
        </w:rPr>
        <w:t>1</w:t>
      </w:r>
      <w:r>
        <w:rPr>
          <w:rFonts w:hint="eastAsia" w:ascii="幼圆" w:hAnsi="幼圆" w:eastAsia="幼圆" w:cs="幼圆"/>
          <w:sz w:val="21"/>
          <w:szCs w:val="21"/>
          <w:lang w:eastAsia="zh-CN"/>
        </w:rPr>
        <w:t>、</w:t>
      </w:r>
      <w:r>
        <w:rPr>
          <w:rFonts w:hint="eastAsia" w:ascii="幼圆" w:hAnsi="幼圆" w:eastAsia="幼圆" w:cs="幼圆"/>
          <w:sz w:val="21"/>
          <w:szCs w:val="21"/>
        </w:rPr>
        <w:t>熟悉流程：所有人员必须熟悉应急预案和事故处理流程。</w:t>
      </w:r>
    </w:p>
    <w:p>
      <w:pPr>
        <w:rPr>
          <w:rFonts w:hint="eastAsia" w:ascii="幼圆" w:hAnsi="幼圆" w:eastAsia="幼圆" w:cs="幼圆"/>
          <w:sz w:val="21"/>
          <w:szCs w:val="21"/>
        </w:rPr>
      </w:pPr>
      <w:r>
        <w:rPr>
          <w:rFonts w:hint="eastAsia" w:ascii="幼圆" w:hAnsi="幼圆" w:eastAsia="幼圆" w:cs="幼圆"/>
          <w:sz w:val="21"/>
          <w:szCs w:val="21"/>
        </w:rPr>
        <w:t>2</w:t>
      </w:r>
      <w:r>
        <w:rPr>
          <w:rFonts w:hint="eastAsia" w:ascii="幼圆" w:hAnsi="幼圆" w:eastAsia="幼圆" w:cs="幼圆"/>
          <w:sz w:val="21"/>
          <w:szCs w:val="21"/>
          <w:lang w:eastAsia="zh-CN"/>
        </w:rPr>
        <w:t>、</w:t>
      </w:r>
      <w:r>
        <w:rPr>
          <w:rFonts w:hint="eastAsia" w:ascii="幼圆" w:hAnsi="幼圆" w:eastAsia="幼圆" w:cs="幼圆"/>
          <w:sz w:val="21"/>
          <w:szCs w:val="21"/>
        </w:rPr>
        <w:t>果断处理：发生事故时，应迅速、</w:t>
      </w:r>
      <w:r>
        <w:rPr>
          <w:rFonts w:hint="eastAsia" w:ascii="幼圆" w:hAnsi="幼圆" w:eastAsia="幼圆" w:cs="幼圆"/>
          <w:sz w:val="21"/>
          <w:szCs w:val="21"/>
          <w:lang w:eastAsia="zh-CN"/>
        </w:rPr>
        <w:t>安全的保障乘梯人的安全</w:t>
      </w:r>
      <w:r>
        <w:rPr>
          <w:rFonts w:hint="eastAsia" w:ascii="幼圆" w:hAnsi="幼圆" w:eastAsia="幼圆" w:cs="幼圆"/>
          <w:sz w:val="21"/>
          <w:szCs w:val="21"/>
        </w:rPr>
        <w:t>。</w:t>
      </w:r>
    </w:p>
    <w:p>
      <w:pPr>
        <w:rPr>
          <w:rFonts w:hint="eastAsia" w:ascii="幼圆" w:hAnsi="幼圆" w:eastAsia="幼圆" w:cs="幼圆"/>
          <w:sz w:val="21"/>
          <w:szCs w:val="21"/>
        </w:rPr>
      </w:pPr>
      <w:r>
        <w:rPr>
          <w:rFonts w:hint="eastAsia" w:ascii="幼圆" w:hAnsi="幼圆" w:eastAsia="幼圆" w:cs="幼圆"/>
          <w:sz w:val="21"/>
          <w:szCs w:val="21"/>
        </w:rPr>
        <w:t>3</w:t>
      </w:r>
      <w:r>
        <w:rPr>
          <w:rFonts w:hint="eastAsia" w:ascii="幼圆" w:hAnsi="幼圆" w:eastAsia="幼圆" w:cs="幼圆"/>
          <w:sz w:val="21"/>
          <w:szCs w:val="21"/>
          <w:lang w:eastAsia="zh-CN"/>
        </w:rPr>
        <w:t>、</w:t>
      </w:r>
      <w:r>
        <w:rPr>
          <w:rFonts w:hint="eastAsia" w:ascii="幼圆" w:hAnsi="幼圆" w:eastAsia="幼圆" w:cs="幼圆"/>
          <w:sz w:val="21"/>
          <w:szCs w:val="21"/>
        </w:rPr>
        <w:t>及时报告：立即向上级主管部门报告，并做好相关记录。</w:t>
      </w:r>
    </w:p>
    <w:p>
      <w:pPr>
        <w:rPr>
          <w:rFonts w:hint="eastAsia" w:ascii="幼圆" w:hAnsi="幼圆" w:eastAsia="幼圆" w:cs="幼圆"/>
          <w:sz w:val="21"/>
          <w:szCs w:val="21"/>
        </w:rPr>
      </w:pPr>
      <w:r>
        <w:rPr>
          <w:rFonts w:hint="eastAsia" w:ascii="幼圆" w:hAnsi="幼圆" w:eastAsia="幼圆" w:cs="幼圆"/>
          <w:sz w:val="21"/>
          <w:szCs w:val="21"/>
        </w:rPr>
        <w:t>4</w:t>
      </w:r>
      <w:r>
        <w:rPr>
          <w:rFonts w:hint="eastAsia" w:ascii="幼圆" w:hAnsi="幼圆" w:eastAsia="幼圆" w:cs="幼圆"/>
          <w:sz w:val="21"/>
          <w:szCs w:val="21"/>
          <w:lang w:eastAsia="zh-CN"/>
        </w:rPr>
        <w:t>、</w:t>
      </w:r>
      <w:r>
        <w:rPr>
          <w:rFonts w:hint="eastAsia" w:ascii="幼圆" w:hAnsi="幼圆" w:eastAsia="幼圆" w:cs="幼圆"/>
          <w:sz w:val="21"/>
          <w:szCs w:val="21"/>
        </w:rPr>
        <w:t>保障消防：确保</w:t>
      </w:r>
      <w:r>
        <w:rPr>
          <w:rFonts w:hint="eastAsia" w:ascii="幼圆" w:hAnsi="幼圆" w:eastAsia="幼圆" w:cs="幼圆"/>
          <w:sz w:val="21"/>
          <w:szCs w:val="21"/>
          <w:lang w:eastAsia="zh-CN"/>
        </w:rPr>
        <w:t>电梯机房</w:t>
      </w:r>
      <w:r>
        <w:rPr>
          <w:rFonts w:hint="eastAsia" w:ascii="幼圆" w:hAnsi="幼圆" w:eastAsia="幼圆" w:cs="幼圆"/>
          <w:sz w:val="21"/>
          <w:szCs w:val="21"/>
        </w:rPr>
        <w:t>内消防设施（如灭火器、沙箱）齐全有效，并熟知其使用方法（注意：电气火灾应使用干粉或二氧化碳灭火器，严禁用水）。</w:t>
      </w:r>
    </w:p>
    <w:p>
      <w:pPr>
        <w:numPr>
          <w:ilvl w:val="0"/>
          <w:numId w:val="0"/>
        </w:numPr>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七、验收及考核</w:t>
      </w:r>
    </w:p>
    <w:p>
      <w:pPr>
        <w:numPr>
          <w:ilvl w:val="0"/>
          <w:numId w:val="0"/>
        </w:numPr>
        <w:spacing w:line="240" w:lineRule="auto"/>
        <w:ind w:leftChars="0"/>
        <w:rPr>
          <w:rFonts w:hint="eastAsia" w:ascii="幼圆" w:hAnsi="幼圆" w:eastAsia="幼圆" w:cs="幼圆"/>
          <w:sz w:val="21"/>
          <w:szCs w:val="21"/>
          <w:lang w:val="en-US" w:eastAsia="zh-CN"/>
        </w:rPr>
      </w:pPr>
      <w:r>
        <w:rPr>
          <w:rFonts w:hint="eastAsia" w:ascii="幼圆" w:hAnsi="幼圆" w:eastAsia="幼圆" w:cs="幼圆"/>
          <w:bCs/>
          <w:snapToGrid w:val="0"/>
          <w:kern w:val="21"/>
          <w:sz w:val="21"/>
          <w:szCs w:val="21"/>
          <w:lang w:val="en-US" w:eastAsia="zh-CN"/>
        </w:rPr>
        <w:t xml:space="preserve">1、运行参数正常： </w:t>
      </w:r>
      <w:r>
        <w:rPr>
          <w:rFonts w:hint="eastAsia" w:ascii="幼圆" w:hAnsi="幼圆" w:eastAsia="幼圆" w:cs="幼圆"/>
          <w:sz w:val="21"/>
          <w:szCs w:val="21"/>
          <w:lang w:val="en-US" w:eastAsia="zh-CN"/>
        </w:rPr>
        <w:t>保证甲方设备安全运行，保障24小时不间断安全运行，因设备异常或乙方操作不当引起的事故，所造成的损失，乙方负全责。</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z w:val="21"/>
          <w:szCs w:val="21"/>
          <w:lang w:val="en-US" w:eastAsia="zh-CN"/>
        </w:rPr>
        <w:t>2、</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1</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服务时间安排：</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A</w:t>
      </w:r>
      <w:r>
        <w:rPr>
          <w:rFonts w:hint="eastAsia" w:ascii="幼圆" w:hAnsi="幼圆" w:eastAsia="幼圆" w:cs="幼圆"/>
          <w:spacing w:val="14"/>
          <w:sz w:val="21"/>
          <w:szCs w:val="21"/>
        </w:rPr>
        <w:t>周一至周日，7天24小时包括法定节假日。</w:t>
      </w:r>
    </w:p>
    <w:p>
      <w:pPr>
        <w:numPr>
          <w:ilvl w:val="0"/>
          <w:numId w:val="0"/>
        </w:numPr>
        <w:spacing w:line="240" w:lineRule="auto"/>
        <w:ind w:left="420" w:leftChars="0"/>
        <w:rPr>
          <w:rFonts w:hint="eastAsia" w:ascii="幼圆" w:hAnsi="幼圆" w:eastAsia="幼圆" w:cs="幼圆"/>
          <w:spacing w:val="14"/>
          <w:sz w:val="21"/>
          <w:szCs w:val="21"/>
          <w:highlight w:val="none"/>
        </w:rPr>
      </w:pPr>
      <w:r>
        <w:rPr>
          <w:rFonts w:hint="eastAsia" w:ascii="幼圆" w:hAnsi="幼圆" w:eastAsia="幼圆" w:cs="幼圆"/>
          <w:spacing w:val="14"/>
          <w:sz w:val="21"/>
          <w:szCs w:val="21"/>
          <w:lang w:val="en-US" w:eastAsia="zh-CN"/>
        </w:rPr>
        <w:t>B</w:t>
      </w:r>
      <w:r>
        <w:rPr>
          <w:rFonts w:hint="eastAsia" w:ascii="幼圆" w:hAnsi="幼圆" w:eastAsia="幼圆" w:cs="幼圆"/>
          <w:spacing w:val="14"/>
          <w:sz w:val="21"/>
          <w:szCs w:val="21"/>
        </w:rPr>
        <w:t>电话响应</w:t>
      </w:r>
      <w:r>
        <w:rPr>
          <w:rFonts w:hint="eastAsia" w:ascii="幼圆" w:hAnsi="幼圆" w:eastAsia="幼圆" w:cs="幼圆"/>
          <w:spacing w:val="14"/>
          <w:sz w:val="21"/>
          <w:szCs w:val="21"/>
          <w:highlight w:val="none"/>
        </w:rPr>
        <w:t xml:space="preserve">时间 </w:t>
      </w:r>
      <w:r>
        <w:rPr>
          <w:rFonts w:hint="eastAsia" w:ascii="幼圆" w:hAnsi="幼圆" w:eastAsia="幼圆" w:cs="幼圆"/>
          <w:spacing w:val="14"/>
          <w:sz w:val="21"/>
          <w:szCs w:val="21"/>
          <w:highlight w:val="none"/>
          <w:lang w:val="en-US" w:eastAsia="zh-CN"/>
        </w:rPr>
        <w:t>5分钟</w:t>
      </w:r>
      <w:r>
        <w:rPr>
          <w:rFonts w:hint="eastAsia" w:ascii="幼圆" w:hAnsi="幼圆" w:eastAsia="幼圆" w:cs="幼圆"/>
          <w:spacing w:val="14"/>
          <w:sz w:val="21"/>
          <w:szCs w:val="21"/>
          <w:highlight w:val="none"/>
        </w:rPr>
        <w:t>内；</w:t>
      </w:r>
    </w:p>
    <w:p>
      <w:pPr>
        <w:numPr>
          <w:ilvl w:val="0"/>
          <w:numId w:val="0"/>
        </w:numPr>
        <w:spacing w:line="240" w:lineRule="auto"/>
        <w:ind w:left="420" w:leftChars="0"/>
        <w:rPr>
          <w:rFonts w:hint="eastAsia" w:ascii="幼圆" w:hAnsi="幼圆" w:eastAsia="幼圆" w:cs="幼圆"/>
          <w:sz w:val="21"/>
          <w:szCs w:val="21"/>
          <w:highlight w:val="none"/>
          <w:lang w:val="en-US" w:eastAsia="zh-CN"/>
        </w:rPr>
      </w:pPr>
      <w:r>
        <w:rPr>
          <w:rFonts w:hint="eastAsia" w:ascii="幼圆" w:hAnsi="幼圆" w:eastAsia="幼圆" w:cs="幼圆"/>
          <w:spacing w:val="14"/>
          <w:sz w:val="21"/>
          <w:szCs w:val="21"/>
          <w:highlight w:val="none"/>
          <w:lang w:val="en-US" w:eastAsia="zh-CN"/>
        </w:rPr>
        <w:t>C</w:t>
      </w:r>
      <w:r>
        <w:rPr>
          <w:rFonts w:hint="eastAsia" w:ascii="幼圆" w:hAnsi="幼圆" w:eastAsia="幼圆" w:cs="幼圆"/>
          <w:spacing w:val="14"/>
          <w:sz w:val="21"/>
          <w:szCs w:val="21"/>
          <w:highlight w:val="none"/>
        </w:rPr>
        <w:t xml:space="preserve">到达现场时间 </w:t>
      </w:r>
      <w:r>
        <w:rPr>
          <w:rFonts w:hint="eastAsia" w:ascii="幼圆" w:hAnsi="幼圆" w:eastAsia="幼圆" w:cs="幼圆"/>
          <w:spacing w:val="14"/>
          <w:sz w:val="21"/>
          <w:szCs w:val="21"/>
          <w:highlight w:val="none"/>
          <w:lang w:val="en-US" w:eastAsia="zh-CN"/>
        </w:rPr>
        <w:t>10分钟</w:t>
      </w:r>
      <w:r>
        <w:rPr>
          <w:rFonts w:hint="eastAsia" w:ascii="幼圆" w:hAnsi="幼圆" w:eastAsia="幼圆" w:cs="幼圆"/>
          <w:spacing w:val="14"/>
          <w:sz w:val="21"/>
          <w:szCs w:val="21"/>
          <w:highlight w:val="none"/>
        </w:rPr>
        <w:t>内</w:t>
      </w:r>
      <w:r>
        <w:rPr>
          <w:rFonts w:hint="eastAsia" w:ascii="幼圆" w:hAnsi="幼圆" w:eastAsia="幼圆" w:cs="幼圆"/>
          <w:spacing w:val="14"/>
          <w:sz w:val="21"/>
          <w:szCs w:val="21"/>
          <w:highlight w:val="none"/>
          <w:lang w:eastAsia="zh-CN"/>
        </w:rPr>
        <w:t>；</w:t>
      </w:r>
    </w:p>
    <w:p>
      <w:pPr>
        <w:numPr>
          <w:ilvl w:val="0"/>
          <w:numId w:val="0"/>
        </w:numPr>
        <w:spacing w:line="240" w:lineRule="auto"/>
        <w:ind w:left="420" w:leftChars="0"/>
        <w:rPr>
          <w:rFonts w:hint="eastAsia" w:ascii="幼圆" w:hAnsi="幼圆" w:eastAsia="幼圆" w:cs="幼圆"/>
          <w:sz w:val="21"/>
          <w:szCs w:val="21"/>
          <w:highlight w:val="none"/>
          <w:lang w:val="en-US" w:eastAsia="zh-CN"/>
        </w:rPr>
      </w:pPr>
      <w:r>
        <w:rPr>
          <w:rFonts w:hint="eastAsia" w:ascii="幼圆" w:hAnsi="幼圆" w:eastAsia="幼圆" w:cs="幼圆"/>
          <w:sz w:val="21"/>
          <w:szCs w:val="21"/>
          <w:highlight w:val="none"/>
          <w:lang w:val="en-US" w:eastAsia="zh-CN"/>
        </w:rPr>
        <w:t>D乙方维保配件应充足，紧急故障应</w:t>
      </w:r>
      <w:r>
        <w:rPr>
          <w:rFonts w:hint="eastAsia" w:ascii="幼圆" w:hAnsi="幼圆" w:eastAsia="幼圆" w:cs="幼圆"/>
          <w:sz w:val="21"/>
          <w:szCs w:val="21"/>
          <w:highlight w:val="none"/>
          <w:u w:val="single"/>
          <w:lang w:val="en-US" w:eastAsia="zh-CN"/>
        </w:rPr>
        <w:t xml:space="preserve">   0.5   </w:t>
      </w:r>
      <w:r>
        <w:rPr>
          <w:rFonts w:hint="eastAsia" w:ascii="幼圆" w:hAnsi="幼圆" w:eastAsia="幼圆" w:cs="幼圆"/>
          <w:sz w:val="21"/>
          <w:szCs w:val="21"/>
          <w:highlight w:val="none"/>
          <w:lang w:val="en-US" w:eastAsia="zh-CN"/>
        </w:rPr>
        <w:t>小时内维修完成；</w:t>
      </w:r>
    </w:p>
    <w:p>
      <w:pPr>
        <w:numPr>
          <w:ilvl w:val="0"/>
          <w:numId w:val="0"/>
        </w:numPr>
        <w:spacing w:line="240" w:lineRule="auto"/>
        <w:ind w:left="420" w:leftChars="0"/>
        <w:rPr>
          <w:rFonts w:hint="eastAsia" w:ascii="幼圆" w:hAnsi="幼圆" w:eastAsia="幼圆" w:cs="幼圆"/>
          <w:spacing w:val="14"/>
          <w:sz w:val="21"/>
          <w:szCs w:val="21"/>
          <w:highlight w:val="none"/>
        </w:rPr>
      </w:pPr>
      <w:r>
        <w:rPr>
          <w:rFonts w:hint="eastAsia" w:ascii="幼圆" w:hAnsi="幼圆" w:eastAsia="幼圆" w:cs="幼圆"/>
          <w:sz w:val="21"/>
          <w:szCs w:val="21"/>
          <w:highlight w:val="none"/>
          <w:lang w:val="en-US" w:eastAsia="zh-CN"/>
        </w:rPr>
        <w:t>E一般故障自报修起</w:t>
      </w:r>
      <w:r>
        <w:rPr>
          <w:rFonts w:hint="eastAsia" w:ascii="幼圆" w:hAnsi="幼圆" w:eastAsia="幼圆" w:cs="幼圆"/>
          <w:sz w:val="21"/>
          <w:szCs w:val="21"/>
          <w:highlight w:val="none"/>
          <w:u w:val="single"/>
          <w:lang w:val="en-US" w:eastAsia="zh-CN"/>
        </w:rPr>
        <w:t xml:space="preserve">   2  </w:t>
      </w:r>
      <w:r>
        <w:rPr>
          <w:rFonts w:hint="eastAsia" w:ascii="幼圆" w:hAnsi="幼圆" w:eastAsia="幼圆" w:cs="幼圆"/>
          <w:sz w:val="21"/>
          <w:szCs w:val="21"/>
          <w:highlight w:val="none"/>
          <w:lang w:val="en-US" w:eastAsia="zh-CN"/>
        </w:rPr>
        <w:t>小时内维修完成。</w:t>
      </w:r>
    </w:p>
    <w:p>
      <w:pPr>
        <w:numPr>
          <w:ilvl w:val="0"/>
          <w:numId w:val="10"/>
        </w:numPr>
        <w:spacing w:line="240" w:lineRule="auto"/>
        <w:ind w:leftChars="0"/>
        <w:rPr>
          <w:rFonts w:hint="eastAsia" w:ascii="幼圆" w:hAnsi="幼圆" w:eastAsia="幼圆" w:cs="幼圆"/>
          <w:spacing w:val="14"/>
          <w:sz w:val="21"/>
          <w:szCs w:val="21"/>
          <w:highlight w:val="none"/>
        </w:rPr>
      </w:pPr>
      <w:r>
        <w:rPr>
          <w:rFonts w:hint="eastAsia" w:ascii="幼圆" w:hAnsi="幼圆" w:eastAsia="幼圆" w:cs="幼圆"/>
          <w:spacing w:val="14"/>
          <w:sz w:val="21"/>
          <w:szCs w:val="21"/>
          <w:highlight w:val="none"/>
          <w:lang w:eastAsia="zh-CN"/>
        </w:rPr>
        <w:t>乙方</w:t>
      </w:r>
      <w:r>
        <w:rPr>
          <w:rFonts w:hint="eastAsia" w:ascii="幼圆" w:hAnsi="幼圆" w:eastAsia="幼圆" w:cs="幼圆"/>
          <w:spacing w:val="14"/>
          <w:sz w:val="21"/>
          <w:szCs w:val="21"/>
          <w:highlight w:val="none"/>
        </w:rPr>
        <w:t>负责对</w:t>
      </w:r>
      <w:r>
        <w:rPr>
          <w:rFonts w:hint="eastAsia" w:ascii="幼圆" w:hAnsi="幼圆" w:eastAsia="幼圆" w:cs="幼圆"/>
          <w:spacing w:val="14"/>
          <w:sz w:val="21"/>
          <w:szCs w:val="21"/>
          <w:highlight w:val="none"/>
          <w:lang w:eastAsia="zh-CN"/>
        </w:rPr>
        <w:t>院区</w:t>
      </w:r>
      <w:r>
        <w:rPr>
          <w:rFonts w:hint="eastAsia" w:ascii="幼圆" w:hAnsi="幼圆" w:eastAsia="幼圆" w:cs="幼圆"/>
          <w:spacing w:val="14"/>
          <w:sz w:val="21"/>
          <w:szCs w:val="21"/>
          <w:highlight w:val="none"/>
        </w:rPr>
        <w:t>所包括的所有</w:t>
      </w:r>
      <w:r>
        <w:rPr>
          <w:rFonts w:hint="eastAsia" w:ascii="幼圆" w:hAnsi="幼圆" w:eastAsia="幼圆" w:cs="幼圆"/>
          <w:spacing w:val="14"/>
          <w:sz w:val="21"/>
          <w:szCs w:val="21"/>
          <w:highlight w:val="none"/>
          <w:lang w:eastAsia="zh-CN"/>
        </w:rPr>
        <w:t>电梯</w:t>
      </w:r>
      <w:r>
        <w:rPr>
          <w:rFonts w:hint="eastAsia" w:ascii="幼圆" w:hAnsi="幼圆" w:eastAsia="幼圆" w:cs="幼圆"/>
          <w:spacing w:val="14"/>
          <w:sz w:val="21"/>
          <w:szCs w:val="21"/>
          <w:highlight w:val="none"/>
        </w:rPr>
        <w:t>设施的维修保养</w:t>
      </w:r>
    </w:p>
    <w:p>
      <w:pPr>
        <w:numPr>
          <w:ilvl w:val="0"/>
          <w:numId w:val="0"/>
        </w:numPr>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highlight w:val="none"/>
          <w:lang w:eastAsia="zh-CN"/>
        </w:rPr>
        <w:t>（</w:t>
      </w:r>
      <w:r>
        <w:rPr>
          <w:rFonts w:hint="eastAsia" w:ascii="幼圆" w:hAnsi="幼圆" w:eastAsia="幼圆" w:cs="幼圆"/>
          <w:spacing w:val="14"/>
          <w:sz w:val="21"/>
          <w:szCs w:val="21"/>
          <w:highlight w:val="none"/>
          <w:lang w:val="en-US" w:eastAsia="zh-CN"/>
        </w:rPr>
        <w:t>3</w:t>
      </w:r>
      <w:r>
        <w:rPr>
          <w:rFonts w:hint="eastAsia" w:ascii="幼圆" w:hAnsi="幼圆" w:eastAsia="幼圆" w:cs="幼圆"/>
          <w:spacing w:val="14"/>
          <w:sz w:val="21"/>
          <w:szCs w:val="21"/>
          <w:highlight w:val="none"/>
          <w:lang w:eastAsia="zh-CN"/>
        </w:rPr>
        <w:t>）</w:t>
      </w:r>
      <w:r>
        <w:rPr>
          <w:rFonts w:hint="eastAsia" w:ascii="幼圆" w:hAnsi="幼圆" w:eastAsia="幼圆" w:cs="幼圆"/>
          <w:spacing w:val="14"/>
          <w:sz w:val="21"/>
          <w:szCs w:val="21"/>
          <w:highlight w:val="none"/>
        </w:rPr>
        <w:t>维</w:t>
      </w:r>
      <w:r>
        <w:rPr>
          <w:rFonts w:hint="eastAsia" w:ascii="幼圆" w:hAnsi="幼圆" w:eastAsia="幼圆" w:cs="幼圆"/>
          <w:spacing w:val="14"/>
          <w:sz w:val="21"/>
          <w:szCs w:val="21"/>
          <w:highlight w:val="none"/>
          <w:lang w:eastAsia="zh-CN"/>
        </w:rPr>
        <w:t>修</w:t>
      </w:r>
      <w:r>
        <w:rPr>
          <w:rFonts w:hint="eastAsia" w:ascii="幼圆" w:hAnsi="幼圆" w:eastAsia="幼圆" w:cs="幼圆"/>
          <w:spacing w:val="14"/>
          <w:sz w:val="21"/>
          <w:szCs w:val="21"/>
          <w:highlight w:val="none"/>
        </w:rPr>
        <w:t>工作</w:t>
      </w:r>
      <w:r>
        <w:rPr>
          <w:rFonts w:hint="eastAsia" w:ascii="幼圆" w:hAnsi="幼圆" w:eastAsia="幼圆" w:cs="幼圆"/>
          <w:spacing w:val="14"/>
          <w:sz w:val="21"/>
          <w:szCs w:val="21"/>
          <w:highlight w:val="none"/>
          <w:lang w:eastAsia="zh-CN"/>
        </w:rPr>
        <w:t>一般故障</w:t>
      </w:r>
      <w:r>
        <w:rPr>
          <w:rFonts w:hint="eastAsia" w:ascii="幼圆" w:hAnsi="幼圆" w:eastAsia="幼圆" w:cs="幼圆"/>
          <w:spacing w:val="14"/>
          <w:sz w:val="21"/>
          <w:szCs w:val="21"/>
          <w:highlight w:val="none"/>
        </w:rPr>
        <w:t>要做到小修不过夜，大修不能超过三天。小修范围：根据故障情况，</w:t>
      </w:r>
      <w:r>
        <w:rPr>
          <w:rFonts w:hint="eastAsia" w:ascii="幼圆" w:hAnsi="幼圆" w:eastAsia="幼圆" w:cs="幼圆"/>
          <w:spacing w:val="14"/>
          <w:sz w:val="21"/>
          <w:szCs w:val="21"/>
          <w:highlight w:val="none"/>
          <w:lang w:eastAsia="zh-CN"/>
        </w:rPr>
        <w:t>甲方</w:t>
      </w:r>
      <w:r>
        <w:rPr>
          <w:rFonts w:hint="eastAsia" w:ascii="幼圆" w:hAnsi="幼圆" w:eastAsia="幼圆" w:cs="幼圆"/>
          <w:spacing w:val="14"/>
          <w:sz w:val="21"/>
          <w:szCs w:val="21"/>
          <w:highlight w:val="none"/>
        </w:rPr>
        <w:t>管理值班人</w:t>
      </w:r>
      <w:r>
        <w:rPr>
          <w:rFonts w:hint="eastAsia" w:ascii="幼圆" w:hAnsi="幼圆" w:eastAsia="幼圆" w:cs="幼圆"/>
          <w:spacing w:val="14"/>
          <w:sz w:val="21"/>
          <w:szCs w:val="21"/>
        </w:rPr>
        <w:t>员及时通知</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方维护人员应积极配合及时完成维护，</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要对每次通知落实情况进行考核，</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如有延误，小修考核每次</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rPr>
        <w:t>扣</w:t>
      </w:r>
      <w:r>
        <w:rPr>
          <w:rFonts w:hint="eastAsia" w:ascii="幼圆" w:hAnsi="幼圆" w:eastAsia="幼圆" w:cs="幼圆"/>
          <w:spacing w:val="14"/>
          <w:sz w:val="21"/>
          <w:szCs w:val="21"/>
          <w:lang w:val="en-US" w:eastAsia="zh-CN"/>
        </w:rPr>
        <w:t>10</w:t>
      </w:r>
      <w:r>
        <w:rPr>
          <w:rFonts w:hint="eastAsia" w:ascii="幼圆" w:hAnsi="幼圆" w:eastAsia="幼圆" w:cs="幼圆"/>
          <w:spacing w:val="14"/>
          <w:sz w:val="21"/>
          <w:szCs w:val="21"/>
        </w:rPr>
        <w:t>00元</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大修考核每次</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rPr>
        <w:t>扣</w:t>
      </w: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rPr>
        <w:t>000元，以便对维保工作的促进。</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4</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甲方有权随时检查维保人员工作情况，如有擅离职守、日常巡查及保养工作完成不到位等情况</w:t>
      </w:r>
      <w:r>
        <w:rPr>
          <w:rFonts w:hint="eastAsia" w:ascii="幼圆" w:hAnsi="幼圆" w:eastAsia="幼圆" w:cs="幼圆"/>
          <w:spacing w:val="14"/>
          <w:sz w:val="21"/>
          <w:szCs w:val="21"/>
          <w:lang w:eastAsia="zh-CN"/>
        </w:rPr>
        <w:t>每项</w:t>
      </w:r>
      <w:r>
        <w:rPr>
          <w:rFonts w:hint="eastAsia" w:ascii="幼圆" w:hAnsi="幼圆" w:eastAsia="幼圆" w:cs="幼圆"/>
          <w:spacing w:val="14"/>
          <w:sz w:val="21"/>
          <w:szCs w:val="21"/>
        </w:rPr>
        <w:t>罚</w:t>
      </w:r>
      <w:r>
        <w:rPr>
          <w:rFonts w:hint="eastAsia" w:ascii="幼圆" w:hAnsi="幼圆" w:eastAsia="幼圆" w:cs="幼圆"/>
          <w:spacing w:val="14"/>
          <w:sz w:val="21"/>
          <w:szCs w:val="21"/>
          <w:lang w:eastAsia="zh-CN"/>
        </w:rPr>
        <w:t>扣</w:t>
      </w:r>
      <w:r>
        <w:rPr>
          <w:rFonts w:hint="eastAsia" w:ascii="幼圆" w:hAnsi="幼圆" w:eastAsia="幼圆" w:cs="幼圆"/>
          <w:spacing w:val="14"/>
          <w:sz w:val="21"/>
          <w:szCs w:val="21"/>
          <w:lang w:val="en-US" w:eastAsia="zh-CN"/>
        </w:rPr>
        <w:t>10</w:t>
      </w:r>
      <w:r>
        <w:rPr>
          <w:rFonts w:hint="eastAsia" w:ascii="幼圆" w:hAnsi="幼圆" w:eastAsia="幼圆" w:cs="幼圆"/>
          <w:spacing w:val="14"/>
          <w:sz w:val="21"/>
          <w:szCs w:val="21"/>
        </w:rPr>
        <w:t>00元。</w:t>
      </w:r>
      <w:r>
        <w:rPr>
          <w:rFonts w:hint="eastAsia" w:ascii="幼圆" w:hAnsi="幼圆" w:eastAsia="幼圆" w:cs="幼圆"/>
          <w:spacing w:val="14"/>
          <w:sz w:val="21"/>
          <w:szCs w:val="21"/>
          <w:lang w:eastAsia="zh-CN"/>
        </w:rPr>
        <w:t>维保期间</w:t>
      </w:r>
      <w:r>
        <w:rPr>
          <w:rFonts w:hint="eastAsia" w:ascii="幼圆" w:hAnsi="幼圆" w:eastAsia="幼圆" w:cs="幼圆"/>
          <w:spacing w:val="14"/>
          <w:sz w:val="21"/>
          <w:szCs w:val="21"/>
        </w:rPr>
        <w:t>由</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工作延误导致人身、财产损失，由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方承担全部责任。</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5</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维保人员工作期间应穿统一服装、佩戴工作证件等，维保期间</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方的安全责任和由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方引起的安全责任由</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方负责。</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6</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每月维保工作结束时应</w:t>
      </w:r>
      <w:r>
        <w:rPr>
          <w:rFonts w:hint="eastAsia" w:ascii="幼圆" w:hAnsi="幼圆" w:eastAsia="幼圆" w:cs="幼圆"/>
          <w:spacing w:val="14"/>
          <w:sz w:val="21"/>
          <w:szCs w:val="21"/>
          <w:lang w:val="en-US" w:eastAsia="zh-CN"/>
        </w:rPr>
        <w:t>在次月5号前</w:t>
      </w:r>
      <w:r>
        <w:rPr>
          <w:rFonts w:hint="eastAsia" w:ascii="幼圆" w:hAnsi="幼圆" w:eastAsia="幼圆" w:cs="幼圆"/>
          <w:spacing w:val="14"/>
          <w:sz w:val="21"/>
          <w:szCs w:val="21"/>
        </w:rPr>
        <w:t>出具月度工作报告及相关维修保养记录</w:t>
      </w:r>
      <w:r>
        <w:rPr>
          <w:rFonts w:hint="eastAsia" w:ascii="幼圆" w:hAnsi="幼圆" w:eastAsia="幼圆" w:cs="幼圆"/>
          <w:spacing w:val="14"/>
          <w:sz w:val="21"/>
          <w:szCs w:val="21"/>
          <w:lang w:val="en-US" w:eastAsia="zh-CN"/>
        </w:rPr>
        <w:t>交付甲方，每次延迟交付</w:t>
      </w:r>
      <w:r>
        <w:rPr>
          <w:rFonts w:hint="eastAsia" w:ascii="幼圆" w:hAnsi="幼圆" w:eastAsia="幼圆" w:cs="幼圆"/>
          <w:spacing w:val="14"/>
          <w:sz w:val="21"/>
          <w:szCs w:val="21"/>
          <w:lang w:eastAsia="zh-CN"/>
        </w:rPr>
        <w:t>罚</w:t>
      </w:r>
      <w:r>
        <w:rPr>
          <w:rFonts w:hint="eastAsia" w:ascii="幼圆" w:hAnsi="幼圆" w:eastAsia="幼圆" w:cs="幼圆"/>
          <w:spacing w:val="14"/>
          <w:sz w:val="21"/>
          <w:szCs w:val="21"/>
          <w:lang w:val="en-US" w:eastAsia="zh-CN"/>
        </w:rPr>
        <w:t>扣1000元</w:t>
      </w:r>
      <w:r>
        <w:rPr>
          <w:rFonts w:hint="eastAsia" w:ascii="幼圆" w:hAnsi="幼圆" w:eastAsia="幼圆" w:cs="幼圆"/>
          <w:spacing w:val="14"/>
          <w:sz w:val="21"/>
          <w:szCs w:val="21"/>
        </w:rPr>
        <w:t>。</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7</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方应该为</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建立</w:t>
      </w:r>
      <w:r>
        <w:rPr>
          <w:rFonts w:hint="eastAsia" w:ascii="幼圆" w:hAnsi="幼圆" w:eastAsia="幼圆" w:cs="幼圆"/>
          <w:spacing w:val="14"/>
          <w:sz w:val="21"/>
          <w:szCs w:val="21"/>
          <w:lang w:eastAsia="zh-CN"/>
        </w:rPr>
        <w:t>电梯</w:t>
      </w:r>
      <w:r>
        <w:rPr>
          <w:rFonts w:hint="eastAsia" w:ascii="幼圆" w:hAnsi="幼圆" w:eastAsia="幼圆" w:cs="幼圆"/>
          <w:spacing w:val="14"/>
          <w:sz w:val="21"/>
          <w:szCs w:val="21"/>
        </w:rPr>
        <w:t>系统设施运行使用档案，派从事专业技术人员提供服务，定期回访，每</w:t>
      </w:r>
      <w:r>
        <w:rPr>
          <w:rFonts w:hint="eastAsia" w:ascii="幼圆" w:hAnsi="幼圆" w:eastAsia="幼圆" w:cs="幼圆"/>
          <w:spacing w:val="14"/>
          <w:sz w:val="21"/>
          <w:szCs w:val="21"/>
          <w:lang w:eastAsia="zh-CN"/>
        </w:rPr>
        <w:t>月乙方</w:t>
      </w:r>
      <w:r>
        <w:rPr>
          <w:rFonts w:hint="eastAsia" w:ascii="幼圆" w:hAnsi="幼圆" w:eastAsia="幼圆" w:cs="幼圆"/>
          <w:spacing w:val="14"/>
          <w:sz w:val="21"/>
          <w:szCs w:val="21"/>
        </w:rPr>
        <w:t>进行一次系统的全面检查</w:t>
      </w:r>
      <w:r>
        <w:rPr>
          <w:rFonts w:hint="eastAsia" w:ascii="幼圆" w:hAnsi="幼圆" w:eastAsia="幼圆" w:cs="幼圆"/>
          <w:spacing w:val="14"/>
          <w:sz w:val="21"/>
          <w:szCs w:val="21"/>
          <w:lang w:eastAsia="zh-CN"/>
        </w:rPr>
        <w:t>。现场故障</w:t>
      </w:r>
      <w:r>
        <w:rPr>
          <w:rFonts w:hint="eastAsia" w:ascii="幼圆" w:hAnsi="幼圆" w:eastAsia="幼圆" w:cs="幼圆"/>
          <w:spacing w:val="14"/>
          <w:sz w:val="21"/>
          <w:szCs w:val="21"/>
        </w:rPr>
        <w:t>在</w:t>
      </w:r>
      <w:r>
        <w:rPr>
          <w:rFonts w:hint="eastAsia" w:ascii="幼圆" w:hAnsi="幼圆" w:eastAsia="幼圆" w:cs="幼圆"/>
          <w:spacing w:val="14"/>
          <w:sz w:val="21"/>
          <w:szCs w:val="21"/>
          <w:lang w:val="en-US" w:eastAsia="zh-CN"/>
        </w:rPr>
        <w:t>维修</w:t>
      </w:r>
      <w:r>
        <w:rPr>
          <w:rFonts w:hint="eastAsia" w:ascii="幼圆" w:hAnsi="幼圆" w:eastAsia="幼圆" w:cs="幼圆"/>
          <w:spacing w:val="14"/>
          <w:sz w:val="21"/>
          <w:szCs w:val="21"/>
        </w:rPr>
        <w:t>后，</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方将</w:t>
      </w:r>
      <w:r>
        <w:rPr>
          <w:rFonts w:hint="eastAsia" w:ascii="幼圆" w:hAnsi="幼圆" w:eastAsia="幼圆" w:cs="幼圆"/>
          <w:spacing w:val="14"/>
          <w:sz w:val="21"/>
          <w:szCs w:val="21"/>
          <w:lang w:val="en-US" w:eastAsia="zh-CN"/>
        </w:rPr>
        <w:t>故障</w:t>
      </w:r>
      <w:r>
        <w:rPr>
          <w:rFonts w:hint="eastAsia" w:ascii="幼圆" w:hAnsi="幼圆" w:eastAsia="幼圆" w:cs="幼圆"/>
          <w:spacing w:val="14"/>
          <w:sz w:val="21"/>
          <w:szCs w:val="21"/>
        </w:rPr>
        <w:t>原因、</w:t>
      </w:r>
      <w:r>
        <w:rPr>
          <w:rFonts w:hint="eastAsia" w:ascii="幼圆" w:hAnsi="幼圆" w:eastAsia="幼圆" w:cs="幼圆"/>
          <w:spacing w:val="14"/>
          <w:sz w:val="21"/>
          <w:szCs w:val="21"/>
          <w:lang w:val="en-US" w:eastAsia="zh-CN"/>
        </w:rPr>
        <w:t>维修</w:t>
      </w:r>
      <w:r>
        <w:rPr>
          <w:rFonts w:hint="eastAsia" w:ascii="幼圆" w:hAnsi="幼圆" w:eastAsia="幼圆" w:cs="幼圆"/>
          <w:spacing w:val="14"/>
          <w:sz w:val="21"/>
          <w:szCs w:val="21"/>
        </w:rPr>
        <w:t>内容、完成时间</w:t>
      </w:r>
      <w:r>
        <w:rPr>
          <w:rFonts w:hint="eastAsia" w:ascii="幼圆" w:hAnsi="幼圆" w:eastAsia="幼圆" w:cs="幼圆"/>
          <w:spacing w:val="14"/>
          <w:sz w:val="21"/>
          <w:szCs w:val="21"/>
          <w:lang w:val="en-US" w:eastAsia="zh-CN"/>
        </w:rPr>
        <w:t>形成</w:t>
      </w:r>
      <w:r>
        <w:rPr>
          <w:rFonts w:hint="eastAsia" w:ascii="幼圆" w:hAnsi="幼圆" w:eastAsia="幼圆" w:cs="幼圆"/>
          <w:spacing w:val="14"/>
          <w:sz w:val="21"/>
          <w:szCs w:val="21"/>
        </w:rPr>
        <w:t>报告</w:t>
      </w:r>
      <w:r>
        <w:rPr>
          <w:rFonts w:hint="eastAsia" w:ascii="幼圆" w:hAnsi="幼圆" w:eastAsia="幼圆" w:cs="幼圆"/>
          <w:spacing w:val="14"/>
          <w:sz w:val="21"/>
          <w:szCs w:val="21"/>
          <w:lang w:val="en-US" w:eastAsia="zh-CN"/>
        </w:rPr>
        <w:t>单交付</w:t>
      </w:r>
      <w:r>
        <w:rPr>
          <w:rFonts w:hint="eastAsia" w:ascii="幼圆" w:hAnsi="幼圆" w:eastAsia="幼圆" w:cs="幼圆"/>
          <w:spacing w:val="14"/>
          <w:sz w:val="21"/>
          <w:szCs w:val="21"/>
        </w:rPr>
        <w:t>给</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，报告一式两份。</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8</w:t>
      </w:r>
      <w:r>
        <w:rPr>
          <w:rFonts w:hint="eastAsia" w:ascii="幼圆" w:hAnsi="幼圆" w:eastAsia="幼圆" w:cs="幼圆"/>
          <w:spacing w:val="14"/>
          <w:sz w:val="21"/>
          <w:szCs w:val="21"/>
          <w:lang w:eastAsia="zh-CN"/>
        </w:rPr>
        <w:t>）乙</w:t>
      </w:r>
      <w:r>
        <w:rPr>
          <w:rFonts w:hint="eastAsia" w:ascii="幼圆" w:hAnsi="幼圆" w:eastAsia="幼圆" w:cs="幼圆"/>
          <w:spacing w:val="14"/>
          <w:sz w:val="21"/>
          <w:szCs w:val="21"/>
        </w:rPr>
        <w:t>方应该配合</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检查，</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应认真执行国家有关规定，服从</w:t>
      </w:r>
      <w:r>
        <w:rPr>
          <w:rFonts w:hint="eastAsia" w:ascii="幼圆" w:hAnsi="幼圆" w:eastAsia="幼圆" w:cs="幼圆"/>
          <w:spacing w:val="14"/>
          <w:sz w:val="21"/>
          <w:szCs w:val="21"/>
          <w:lang w:eastAsia="zh-CN"/>
        </w:rPr>
        <w:t>甲方</w:t>
      </w:r>
      <w:r>
        <w:rPr>
          <w:rFonts w:hint="eastAsia" w:ascii="幼圆" w:hAnsi="幼圆" w:eastAsia="幼圆" w:cs="幼圆"/>
          <w:spacing w:val="14"/>
          <w:sz w:val="21"/>
          <w:szCs w:val="21"/>
        </w:rPr>
        <w:t xml:space="preserve">管理部门的技术指导和业务管理，达到要求，并承担相应的责任。  </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9</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乙方驻场人员均应持有与该项目相匹配的特种作业证书方可上岗，如不符合要求条件，甲方有权提出</w:t>
      </w:r>
      <w:r>
        <w:rPr>
          <w:rFonts w:hint="eastAsia" w:ascii="幼圆" w:hAnsi="幼圆" w:eastAsia="幼圆" w:cs="幼圆"/>
          <w:b w:val="0"/>
          <w:bCs w:val="0"/>
          <w:sz w:val="21"/>
          <w:szCs w:val="21"/>
        </w:rPr>
        <w:t>更换。</w:t>
      </w:r>
    </w:p>
    <w:p>
      <w:pPr>
        <w:numPr>
          <w:ilvl w:val="0"/>
          <w:numId w:val="0"/>
        </w:numPr>
        <w:spacing w:line="240" w:lineRule="auto"/>
        <w:ind w:leftChars="0"/>
        <w:rPr>
          <w:rFonts w:hint="eastAsia" w:ascii="幼圆" w:hAnsi="幼圆" w:eastAsia="幼圆" w:cs="幼圆"/>
          <w:spacing w:val="14"/>
          <w:sz w:val="21"/>
          <w:szCs w:val="21"/>
        </w:rPr>
      </w:pP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lang w:val="en-US" w:eastAsia="zh-CN"/>
        </w:rPr>
        <w:t>10</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 xml:space="preserve">违约界定和处理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A</w:t>
      </w:r>
      <w:r>
        <w:rPr>
          <w:rFonts w:hint="eastAsia" w:ascii="幼圆" w:hAnsi="幼圆" w:eastAsia="幼圆" w:cs="幼圆"/>
          <w:spacing w:val="14"/>
          <w:sz w:val="21"/>
          <w:szCs w:val="21"/>
        </w:rPr>
        <w:t xml:space="preserve">未按规定的时间完成本合同的维保内容；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B</w:t>
      </w:r>
      <w:r>
        <w:rPr>
          <w:rFonts w:hint="eastAsia" w:ascii="幼圆" w:hAnsi="幼圆" w:eastAsia="幼圆" w:cs="幼圆"/>
          <w:spacing w:val="14"/>
          <w:sz w:val="21"/>
          <w:szCs w:val="21"/>
        </w:rPr>
        <w:t xml:space="preserve">提供的维保服务与本合同所要求的不一致；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C</w:t>
      </w:r>
      <w:r>
        <w:rPr>
          <w:rFonts w:hint="eastAsia" w:ascii="幼圆" w:hAnsi="幼圆" w:eastAsia="幼圆" w:cs="幼圆"/>
          <w:spacing w:val="14"/>
          <w:sz w:val="21"/>
          <w:szCs w:val="21"/>
        </w:rPr>
        <w:t xml:space="preserve">提供的零配件质量和性能有问题，按规定属不合格产品；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D</w:t>
      </w:r>
      <w:r>
        <w:rPr>
          <w:rFonts w:hint="eastAsia" w:ascii="幼圆" w:hAnsi="幼圆" w:eastAsia="幼圆" w:cs="幼圆"/>
          <w:spacing w:val="14"/>
          <w:sz w:val="21"/>
          <w:szCs w:val="21"/>
        </w:rPr>
        <w:t xml:space="preserve">没有维保能力（或没有组织配件的能力）更新配件或维保工作采取转包的； </w:t>
      </w:r>
    </w:p>
    <w:p>
      <w:pPr>
        <w:numPr>
          <w:ilvl w:val="0"/>
          <w:numId w:val="0"/>
        </w:numPr>
        <w:spacing w:line="240" w:lineRule="auto"/>
        <w:ind w:left="420" w:leftChars="0"/>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E</w:t>
      </w:r>
      <w:r>
        <w:rPr>
          <w:rFonts w:hint="eastAsia" w:ascii="幼圆" w:hAnsi="幼圆" w:eastAsia="幼圆" w:cs="幼圆"/>
          <w:spacing w:val="14"/>
          <w:sz w:val="21"/>
          <w:szCs w:val="21"/>
        </w:rPr>
        <w:t>相关权威部门年度检查验收不合格；</w:t>
      </w:r>
    </w:p>
    <w:p>
      <w:pPr>
        <w:numPr>
          <w:ilvl w:val="0"/>
          <w:numId w:val="0"/>
        </w:numPr>
        <w:spacing w:line="240" w:lineRule="auto"/>
        <w:rPr>
          <w:rFonts w:hint="eastAsia" w:ascii="幼圆" w:hAnsi="幼圆" w:eastAsia="幼圆" w:cs="幼圆"/>
          <w:sz w:val="21"/>
          <w:szCs w:val="21"/>
          <w:lang w:val="en-US" w:eastAsia="zh-CN"/>
        </w:rPr>
      </w:pPr>
      <w:r>
        <w:rPr>
          <w:rFonts w:hint="eastAsia" w:ascii="幼圆" w:hAnsi="幼圆" w:eastAsia="幼圆" w:cs="幼圆"/>
          <w:b w:val="0"/>
          <w:bCs w:val="0"/>
          <w:spacing w:val="14"/>
          <w:sz w:val="21"/>
          <w:szCs w:val="21"/>
        </w:rPr>
        <w:t>处理约定：</w:t>
      </w:r>
      <w:r>
        <w:rPr>
          <w:rFonts w:hint="eastAsia" w:ascii="幼圆" w:hAnsi="幼圆" w:eastAsia="幼圆" w:cs="幼圆"/>
          <w:spacing w:val="14"/>
          <w:sz w:val="21"/>
          <w:szCs w:val="21"/>
          <w:lang w:eastAsia="zh-CN"/>
        </w:rPr>
        <w:t>乙方</w:t>
      </w:r>
      <w:r>
        <w:rPr>
          <w:rFonts w:hint="eastAsia" w:ascii="幼圆" w:hAnsi="幼圆" w:eastAsia="幼圆" w:cs="幼圆"/>
          <w:b w:val="0"/>
          <w:bCs w:val="0"/>
          <w:spacing w:val="14"/>
          <w:sz w:val="21"/>
          <w:szCs w:val="21"/>
          <w:lang w:eastAsia="zh-CN"/>
        </w:rPr>
        <w:t>若有上述违约情况之一的，</w:t>
      </w:r>
      <w:r>
        <w:rPr>
          <w:rFonts w:hint="eastAsia" w:ascii="幼圆" w:hAnsi="幼圆" w:eastAsia="幼圆" w:cs="幼圆"/>
          <w:spacing w:val="14"/>
          <w:sz w:val="21"/>
          <w:szCs w:val="21"/>
        </w:rPr>
        <w:t>将视为违约</w:t>
      </w:r>
      <w:r>
        <w:rPr>
          <w:rFonts w:hint="eastAsia" w:ascii="幼圆" w:hAnsi="幼圆" w:eastAsia="幼圆" w:cs="幼圆"/>
          <w:spacing w:val="14"/>
          <w:sz w:val="21"/>
          <w:szCs w:val="21"/>
          <w:lang w:eastAsia="zh-CN"/>
        </w:rPr>
        <w:t>，</w:t>
      </w:r>
      <w:r>
        <w:rPr>
          <w:rFonts w:hint="eastAsia" w:ascii="幼圆" w:hAnsi="幼圆" w:eastAsia="幼圆" w:cs="幼圆"/>
          <w:b w:val="0"/>
          <w:bCs w:val="0"/>
          <w:spacing w:val="14"/>
          <w:sz w:val="21"/>
          <w:szCs w:val="21"/>
          <w:lang w:eastAsia="zh-CN"/>
        </w:rPr>
        <w:t>罚扣当年维保合同金额的</w:t>
      </w:r>
      <w:r>
        <w:rPr>
          <w:rFonts w:hint="eastAsia" w:ascii="幼圆" w:hAnsi="幼圆" w:eastAsia="幼圆" w:cs="幼圆"/>
          <w:b w:val="0"/>
          <w:bCs w:val="0"/>
          <w:spacing w:val="14"/>
          <w:sz w:val="21"/>
          <w:szCs w:val="21"/>
        </w:rPr>
        <w:t>10%</w:t>
      </w:r>
      <w:r>
        <w:rPr>
          <w:rFonts w:hint="eastAsia" w:ascii="幼圆" w:hAnsi="幼圆" w:eastAsia="幼圆" w:cs="幼圆"/>
          <w:b w:val="0"/>
          <w:bCs w:val="0"/>
          <w:spacing w:val="14"/>
          <w:sz w:val="21"/>
          <w:szCs w:val="21"/>
          <w:lang w:eastAsia="zh-CN"/>
        </w:rPr>
        <w:t>。拒不改正的，合约解除，并赔偿甲方所有损失。</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Cs/>
          <w:snapToGrid w:val="0"/>
          <w:kern w:val="21"/>
          <w:sz w:val="21"/>
          <w:szCs w:val="21"/>
          <w:lang w:val="en-US" w:eastAsia="zh-CN"/>
        </w:rPr>
        <w:t>3、设备： 设备外观平整，功能正常无缺。</w:t>
      </w:r>
    </w:p>
    <w:p>
      <w:pPr>
        <w:numPr>
          <w:ilvl w:val="0"/>
          <w:numId w:val="0"/>
        </w:numPr>
        <w:spacing w:line="240" w:lineRule="auto"/>
        <w:jc w:val="left"/>
        <w:rPr>
          <w:rFonts w:hint="eastAsia" w:ascii="幼圆" w:hAnsi="幼圆" w:eastAsia="幼圆" w:cs="幼圆"/>
          <w:sz w:val="21"/>
          <w:szCs w:val="21"/>
          <w:lang w:val="en-US" w:eastAsia="zh-CN"/>
        </w:rPr>
      </w:pPr>
      <w:r>
        <w:rPr>
          <w:rFonts w:hint="eastAsia" w:ascii="幼圆" w:hAnsi="幼圆" w:eastAsia="幼圆" w:cs="幼圆"/>
          <w:bCs/>
          <w:snapToGrid w:val="0"/>
          <w:kern w:val="21"/>
          <w:sz w:val="21"/>
          <w:szCs w:val="21"/>
          <w:lang w:val="en-US" w:eastAsia="zh-CN"/>
        </w:rPr>
        <w:t xml:space="preserve">4、文档齐全： </w:t>
      </w:r>
      <w:r>
        <w:rPr>
          <w:rFonts w:hint="eastAsia" w:ascii="幼圆" w:hAnsi="幼圆" w:eastAsia="幼圆" w:cs="幼圆"/>
          <w:sz w:val="21"/>
          <w:szCs w:val="21"/>
          <w:lang w:val="en-US" w:eastAsia="zh-CN"/>
        </w:rPr>
        <w:t>每月5日前递交上一月度维保报告、巡检记录、维修记录，甲方签字认可，缺少一次按照不低于1000元罚扣。</w:t>
      </w:r>
    </w:p>
    <w:p>
      <w:pPr>
        <w:numPr>
          <w:ilvl w:val="0"/>
          <w:numId w:val="0"/>
        </w:numPr>
        <w:spacing w:line="240" w:lineRule="auto"/>
        <w:jc w:val="left"/>
        <w:rPr>
          <w:rFonts w:hint="eastAsia" w:ascii="幼圆" w:hAnsi="幼圆" w:eastAsia="幼圆" w:cs="幼圆"/>
          <w:sz w:val="21"/>
          <w:szCs w:val="21"/>
          <w:highlight w:val="none"/>
          <w:lang w:val="en-US" w:eastAsia="zh-CN"/>
        </w:rPr>
      </w:pPr>
      <w:r>
        <w:rPr>
          <w:rFonts w:hint="eastAsia" w:ascii="幼圆" w:hAnsi="幼圆" w:eastAsia="幼圆" w:cs="幼圆"/>
          <w:sz w:val="21"/>
          <w:szCs w:val="21"/>
          <w:highlight w:val="none"/>
          <w:lang w:val="en-US" w:eastAsia="zh-CN"/>
        </w:rPr>
        <w:t>5、应提供预防性维修维护措施并在上一月度的维保报告中体现相应预防措施；每6个月更换一次电梯轿门、厅门门锁及安全开关，拍照记录更换时间并让甲方签字确认。</w:t>
      </w:r>
    </w:p>
    <w:p>
      <w:pPr>
        <w:numPr>
          <w:ilvl w:val="0"/>
          <w:numId w:val="0"/>
        </w:numPr>
        <w:spacing w:line="240" w:lineRule="auto"/>
        <w:jc w:val="left"/>
        <w:rPr>
          <w:rFonts w:hint="eastAsia" w:ascii="幼圆" w:hAnsi="幼圆" w:eastAsia="幼圆" w:cs="幼圆"/>
          <w:sz w:val="21"/>
          <w:szCs w:val="21"/>
          <w:highlight w:val="none"/>
          <w:lang w:val="en-US" w:eastAsia="zh-CN"/>
        </w:rPr>
      </w:pPr>
      <w:r>
        <w:rPr>
          <w:rFonts w:hint="eastAsia" w:ascii="幼圆" w:hAnsi="幼圆" w:eastAsia="幼圆" w:cs="幼圆"/>
          <w:sz w:val="21"/>
          <w:szCs w:val="21"/>
          <w:highlight w:val="none"/>
          <w:lang w:val="en-US" w:eastAsia="zh-CN"/>
        </w:rPr>
        <w:t>6、严禁乙方维护保养人员以修代保。</w:t>
      </w:r>
    </w:p>
    <w:p>
      <w:pPr>
        <w:numPr>
          <w:ilvl w:val="0"/>
          <w:numId w:val="0"/>
        </w:numPr>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八、人员要求</w:t>
      </w:r>
    </w:p>
    <w:p>
      <w:pPr>
        <w:numPr>
          <w:ilvl w:val="0"/>
          <w:numId w:val="0"/>
        </w:numPr>
        <w:spacing w:line="240" w:lineRule="auto"/>
        <w:rPr>
          <w:rFonts w:hint="eastAsia" w:ascii="幼圆" w:hAnsi="幼圆" w:eastAsia="幼圆" w:cs="幼圆"/>
          <w:spacing w:val="14"/>
          <w:sz w:val="21"/>
          <w:szCs w:val="21"/>
          <w:highlight w:val="none"/>
          <w:lang w:val="en-US" w:eastAsia="zh-CN"/>
        </w:rPr>
      </w:pPr>
      <w:r>
        <w:rPr>
          <w:rFonts w:hint="eastAsia" w:ascii="幼圆" w:hAnsi="幼圆" w:eastAsia="幼圆" w:cs="幼圆"/>
          <w:spacing w:val="14"/>
          <w:sz w:val="21"/>
          <w:szCs w:val="21"/>
          <w:lang w:val="en-US" w:eastAsia="zh-CN"/>
        </w:rPr>
        <w:t>1、</w:t>
      </w:r>
      <w:r>
        <w:rPr>
          <w:rFonts w:hint="eastAsia" w:ascii="幼圆" w:hAnsi="幼圆" w:eastAsia="幼圆" w:cs="幼圆"/>
          <w:spacing w:val="14"/>
          <w:sz w:val="21"/>
          <w:szCs w:val="21"/>
        </w:rPr>
        <w:t>应建立人员行为规范（包括统一着装、佩戴标识、仪表仪容整洁等）、职业素质与技能培训机制、从业人员保密制度、人员激励及处罚机制等</w:t>
      </w:r>
      <w:r>
        <w:rPr>
          <w:rFonts w:hint="eastAsia" w:ascii="幼圆" w:hAnsi="幼圆" w:eastAsia="幼圆" w:cs="幼圆"/>
          <w:spacing w:val="14"/>
          <w:sz w:val="21"/>
          <w:szCs w:val="21"/>
          <w:highlight w:val="none"/>
          <w:lang w:eastAsia="zh-CN"/>
        </w:rPr>
        <w:t>；人员在进入井道内必须佩带安全帽、安全带等安全设备，维修首层放置安全警示标识及围挡</w:t>
      </w:r>
      <w:r>
        <w:rPr>
          <w:rFonts w:hint="eastAsia" w:ascii="幼圆" w:hAnsi="幼圆" w:eastAsia="幼圆" w:cs="幼圆"/>
          <w:spacing w:val="14"/>
          <w:sz w:val="21"/>
          <w:szCs w:val="21"/>
          <w:highlight w:val="none"/>
        </w:rPr>
        <w:t>。</w:t>
      </w:r>
    </w:p>
    <w:p>
      <w:pPr>
        <w:numPr>
          <w:ilvl w:val="0"/>
          <w:numId w:val="0"/>
        </w:numPr>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highlight w:val="none"/>
          <w:lang w:val="en-US" w:eastAsia="zh-CN"/>
        </w:rPr>
        <w:t>2、</w:t>
      </w:r>
      <w:r>
        <w:rPr>
          <w:rFonts w:hint="eastAsia" w:ascii="幼圆" w:hAnsi="幼圆" w:eastAsia="幼圆" w:cs="幼圆"/>
          <w:spacing w:val="14"/>
          <w:sz w:val="21"/>
          <w:szCs w:val="21"/>
          <w:highlight w:val="none"/>
          <w:lang w:eastAsia="zh-CN"/>
        </w:rPr>
        <w:t>乙方</w:t>
      </w:r>
      <w:r>
        <w:rPr>
          <w:rFonts w:hint="eastAsia" w:ascii="幼圆" w:hAnsi="幼圆" w:eastAsia="幼圆" w:cs="幼圆"/>
          <w:spacing w:val="14"/>
          <w:sz w:val="21"/>
          <w:szCs w:val="21"/>
          <w:highlight w:val="none"/>
        </w:rPr>
        <w:t>人员应经过专业技术培训且考核合格，具有相应的工作实践经验的操作</w:t>
      </w:r>
      <w:r>
        <w:rPr>
          <w:rFonts w:hint="eastAsia" w:ascii="幼圆" w:hAnsi="幼圆" w:eastAsia="幼圆" w:cs="幼圆"/>
          <w:spacing w:val="14"/>
          <w:sz w:val="21"/>
          <w:szCs w:val="21"/>
        </w:rPr>
        <w:t>人员。应熟悉并掌握设备结构、性能、工作原理、操作方法及使用维修保养知识。</w:t>
      </w:r>
    </w:p>
    <w:p>
      <w:pPr>
        <w:numPr>
          <w:ilvl w:val="0"/>
          <w:numId w:val="0"/>
        </w:numPr>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3、</w:t>
      </w:r>
      <w:r>
        <w:rPr>
          <w:rFonts w:hint="eastAsia" w:ascii="幼圆" w:hAnsi="幼圆" w:eastAsia="幼圆" w:cs="幼圆"/>
          <w:spacing w:val="14"/>
          <w:sz w:val="21"/>
          <w:szCs w:val="21"/>
        </w:rPr>
        <w:t>工程经理</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年龄不足55周岁</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具有大专及以上学历</w:t>
      </w:r>
    </w:p>
    <w:p>
      <w:pPr>
        <w:numPr>
          <w:ilvl w:val="0"/>
          <w:numId w:val="0"/>
        </w:numPr>
        <w:spacing w:line="240" w:lineRule="auto"/>
        <w:rPr>
          <w:rFonts w:hint="eastAsia" w:ascii="幼圆" w:hAnsi="幼圆" w:eastAsia="幼圆" w:cs="幼圆"/>
          <w:spacing w:val="14"/>
          <w:sz w:val="21"/>
          <w:szCs w:val="21"/>
          <w:lang w:eastAsia="zh-CN"/>
        </w:rPr>
      </w:pPr>
      <w:r>
        <w:rPr>
          <w:rFonts w:hint="eastAsia" w:ascii="幼圆" w:hAnsi="幼圆" w:eastAsia="幼圆" w:cs="幼圆"/>
          <w:spacing w:val="14"/>
          <w:sz w:val="21"/>
          <w:szCs w:val="21"/>
          <w:lang w:val="en-US" w:eastAsia="zh-CN"/>
        </w:rPr>
        <w:t>4、</w:t>
      </w:r>
      <w:r>
        <w:rPr>
          <w:rFonts w:hint="eastAsia" w:ascii="幼圆" w:hAnsi="幼圆" w:eastAsia="幼圆" w:cs="幼圆"/>
          <w:spacing w:val="14"/>
          <w:sz w:val="21"/>
          <w:szCs w:val="21"/>
          <w:lang w:eastAsia="zh-CN"/>
        </w:rPr>
        <w:t>操作人员需具有下述证照：</w:t>
      </w:r>
    </w:p>
    <w:p>
      <w:pPr>
        <w:numPr>
          <w:ilvl w:val="0"/>
          <w:numId w:val="0"/>
        </w:numPr>
        <w:spacing w:line="240" w:lineRule="auto"/>
        <w:ind w:left="420" w:leftChars="0"/>
        <w:rPr>
          <w:rFonts w:hint="eastAsia" w:ascii="幼圆" w:hAnsi="幼圆" w:eastAsia="幼圆" w:cs="幼圆"/>
          <w:spacing w:val="14"/>
          <w:sz w:val="21"/>
          <w:szCs w:val="21"/>
          <w:highlight w:val="none"/>
          <w:lang w:eastAsia="zh-CN"/>
        </w:rPr>
      </w:pPr>
      <w:r>
        <w:rPr>
          <w:rFonts w:hint="eastAsia" w:ascii="幼圆" w:hAnsi="幼圆" w:eastAsia="幼圆" w:cs="幼圆"/>
          <w:spacing w:val="14"/>
          <w:sz w:val="21"/>
          <w:szCs w:val="21"/>
        </w:rPr>
        <w:t>《</w:t>
      </w:r>
      <w:bookmarkStart w:id="1" w:name="OLE_LINK1"/>
      <w:r>
        <w:rPr>
          <w:rFonts w:hint="eastAsia" w:ascii="幼圆" w:hAnsi="幼圆" w:eastAsia="幼圆" w:cs="幼圆"/>
          <w:spacing w:val="14"/>
          <w:sz w:val="21"/>
          <w:szCs w:val="21"/>
        </w:rPr>
        <w:t>中华人民共和国特种作业</w:t>
      </w:r>
      <w:r>
        <w:rPr>
          <w:rFonts w:hint="eastAsia" w:ascii="幼圆" w:hAnsi="幼圆" w:eastAsia="幼圆" w:cs="幼圆"/>
          <w:spacing w:val="14"/>
          <w:sz w:val="21"/>
          <w:szCs w:val="21"/>
          <w:highlight w:val="none"/>
        </w:rPr>
        <w:t>操作证（</w:t>
      </w:r>
      <w:r>
        <w:rPr>
          <w:rFonts w:hint="eastAsia" w:ascii="幼圆" w:hAnsi="幼圆" w:eastAsia="幼圆" w:cs="幼圆"/>
          <w:sz w:val="24"/>
          <w:szCs w:val="24"/>
          <w:highlight w:val="none"/>
          <w:lang w:eastAsia="zh-CN"/>
        </w:rPr>
        <w:t>电梯</w:t>
      </w:r>
      <w:r>
        <w:rPr>
          <w:rFonts w:hint="eastAsia" w:ascii="幼圆" w:hAnsi="幼圆" w:eastAsia="幼圆" w:cs="幼圆"/>
          <w:sz w:val="24"/>
          <w:szCs w:val="24"/>
          <w:highlight w:val="none"/>
        </w:rPr>
        <w:t>特种作业操作证</w:t>
      </w:r>
      <w:r>
        <w:rPr>
          <w:rFonts w:hint="eastAsia" w:ascii="幼圆" w:hAnsi="幼圆" w:eastAsia="幼圆" w:cs="幼圆"/>
          <w:spacing w:val="14"/>
          <w:sz w:val="21"/>
          <w:szCs w:val="21"/>
          <w:highlight w:val="none"/>
        </w:rPr>
        <w:t>）</w:t>
      </w:r>
      <w:bookmarkEnd w:id="1"/>
      <w:r>
        <w:rPr>
          <w:rFonts w:hint="eastAsia" w:ascii="幼圆" w:hAnsi="幼圆" w:eastAsia="幼圆" w:cs="幼圆"/>
          <w:spacing w:val="14"/>
          <w:sz w:val="21"/>
          <w:szCs w:val="21"/>
          <w:highlight w:val="none"/>
        </w:rPr>
        <w:t>》</w:t>
      </w:r>
      <w:r>
        <w:rPr>
          <w:rFonts w:hint="eastAsia" w:ascii="幼圆" w:hAnsi="幼圆" w:eastAsia="幼圆" w:cs="幼圆"/>
          <w:spacing w:val="14"/>
          <w:sz w:val="21"/>
          <w:szCs w:val="21"/>
          <w:highlight w:val="none"/>
          <w:lang w:eastAsia="zh-CN"/>
        </w:rPr>
        <w:t>；</w:t>
      </w:r>
    </w:p>
    <w:p>
      <w:pPr>
        <w:numPr>
          <w:ilvl w:val="0"/>
          <w:numId w:val="0"/>
        </w:numPr>
        <w:spacing w:line="240" w:lineRule="auto"/>
        <w:rPr>
          <w:rFonts w:hint="eastAsia" w:ascii="幼圆" w:hAnsi="幼圆" w:eastAsia="幼圆" w:cs="幼圆"/>
          <w:spacing w:val="14"/>
          <w:sz w:val="21"/>
          <w:szCs w:val="21"/>
          <w:highlight w:val="none"/>
          <w:lang w:val="en-US" w:eastAsia="zh-CN"/>
        </w:rPr>
      </w:pPr>
      <w:r>
        <w:rPr>
          <w:rFonts w:hint="eastAsia" w:ascii="幼圆" w:hAnsi="幼圆" w:eastAsia="幼圆" w:cs="幼圆"/>
          <w:spacing w:val="14"/>
          <w:sz w:val="21"/>
          <w:szCs w:val="21"/>
          <w:highlight w:val="none"/>
          <w:lang w:val="en-US" w:eastAsia="zh-CN"/>
        </w:rPr>
        <w:t>5、维保厂商接院方故障报修后，10分钟内维修人员到达现场，2小时内将故障排除，并免费提供备机服务。</w:t>
      </w:r>
    </w:p>
    <w:p>
      <w:pPr>
        <w:numPr>
          <w:ilvl w:val="0"/>
          <w:numId w:val="0"/>
        </w:numPr>
        <w:spacing w:line="240" w:lineRule="auto"/>
        <w:rPr>
          <w:rFonts w:hint="eastAsia" w:ascii="幼圆" w:hAnsi="幼圆" w:eastAsia="幼圆" w:cs="幼圆"/>
          <w:sz w:val="24"/>
          <w:szCs w:val="24"/>
          <w:highlight w:val="none"/>
          <w:lang w:val="en-US" w:eastAsia="zh-CN"/>
        </w:rPr>
      </w:pPr>
      <w:r>
        <w:rPr>
          <w:rFonts w:hint="eastAsia" w:ascii="幼圆" w:hAnsi="幼圆" w:eastAsia="幼圆" w:cs="幼圆"/>
          <w:spacing w:val="14"/>
          <w:sz w:val="21"/>
          <w:szCs w:val="21"/>
          <w:highlight w:val="none"/>
          <w:lang w:val="en-US" w:eastAsia="zh-CN"/>
        </w:rPr>
        <w:t>6、提供人员驻场服务：</w:t>
      </w:r>
      <w:r>
        <w:rPr>
          <w:rFonts w:hint="eastAsia" w:ascii="幼圆" w:hAnsi="幼圆" w:eastAsia="幼圆" w:cs="幼圆"/>
          <w:sz w:val="24"/>
          <w:szCs w:val="24"/>
          <w:highlight w:val="none"/>
          <w:lang w:val="en-US" w:eastAsia="zh-CN"/>
        </w:rPr>
        <w:t>7×24小时值守，每班次不低于2人。</w:t>
      </w:r>
    </w:p>
    <w:p>
      <w:pPr>
        <w:numPr>
          <w:ilvl w:val="0"/>
          <w:numId w:val="0"/>
        </w:numPr>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7、甲方提供驻场人员住宿，需按照院内规定缴纳房费及水电费；或自行解决住宿问题（医院附件，约定时间内到达现场即可）。</w:t>
      </w:r>
    </w:p>
    <w:p>
      <w:pPr>
        <w:numPr>
          <w:ilvl w:val="0"/>
          <w:numId w:val="0"/>
        </w:numPr>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九、维保设备清单</w:t>
      </w:r>
    </w:p>
    <w:tbl>
      <w:tblPr>
        <w:tblStyle w:val="35"/>
        <w:tblpPr w:leftFromText="180" w:rightFromText="180" w:vertAnchor="text" w:horzAnchor="page" w:tblpX="1905" w:tblpY="309"/>
        <w:tblOverlap w:val="never"/>
        <w:tblW w:w="92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5"/>
        <w:gridCol w:w="906"/>
        <w:gridCol w:w="1380"/>
        <w:gridCol w:w="1050"/>
        <w:gridCol w:w="4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lang w:val="en-US" w:eastAsia="zh-CN"/>
              </w:rPr>
            </w:pPr>
            <w:r>
              <w:rPr>
                <w:rFonts w:hint="eastAsia" w:ascii="幼圆" w:hAnsi="幼圆" w:eastAsia="幼圆" w:cs="幼圆"/>
                <w:i w:val="0"/>
                <w:iCs w:val="0"/>
                <w:color w:val="000000"/>
                <w:sz w:val="21"/>
                <w:szCs w:val="21"/>
                <w:u w:val="none"/>
                <w:lang w:val="en-US" w:eastAsia="zh-CN"/>
              </w:rPr>
              <w:t>序号</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设备类型</w:t>
            </w: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 xml:space="preserve"> 品牌（或制造厂）</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使用地点</w:t>
            </w:r>
          </w:p>
        </w:tc>
        <w:tc>
          <w:tcPr>
            <w:tcW w:w="4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sz w:val="21"/>
                <w:szCs w:val="21"/>
                <w:u w:val="none"/>
              </w:rPr>
            </w:pPr>
            <w:r>
              <w:rPr>
                <w:rFonts w:hint="eastAsia" w:ascii="幼圆" w:hAnsi="幼圆" w:eastAsia="幼圆" w:cs="幼圆"/>
                <w:i w:val="0"/>
                <w:iCs w:val="0"/>
                <w:color w:val="000000"/>
                <w:kern w:val="0"/>
                <w:sz w:val="21"/>
                <w:szCs w:val="21"/>
                <w:u w:val="none"/>
                <w:lang w:val="en-US" w:eastAsia="zh-CN" w:bidi="ar"/>
              </w:rPr>
              <w:t>主要参数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运行速度（M/S）:2.0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一号楼2#电梯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运行速度（M/S）:2.0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一号楼3#电梯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运行速度（M/S）:2.0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一号楼4#电梯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运行速度（M/S）:2.0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一号楼5#电梯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型号：e'IQ-B</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额定载重量（KG）:1800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6</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一号楼6#电梯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型号：e'IQ-B</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额定载重量（KG）:1800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7</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一号楼7#电梯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型号：e'IQ-B</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额定载重量（KG）:1800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8</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一号楼8#电梯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型号：e'IQ-B</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额定载重量（KG）:1800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9</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一号楼9#电梯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型号：e'IQ-F</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额定载重量（KG）:1800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10</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一号楼10#电梯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型号：e'IQ-F</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额定载重量（KG）:1800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11</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一号楼11#电梯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型号：e'IQ-F</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额定载重量（KG）:1800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提升高度（M）:63.38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12</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一号楼12#电梯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型号：e'NT-F</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额定载重量（KG）:1800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提升高度（M）:20.1</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13</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一号楼13#电梯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型号：e'IQ-F</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额定载重量（KG）:1800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提升高度（M）:24.58</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14</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一号楼14电梯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提升高度（M）:9.9</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15</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一号楼15#电梯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提升高度（M）:9.9</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16</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一号楼16#电梯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型号：e'NI-F</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额定载重量（KG）:1800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提升高度（M）:14.7</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17</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杂物电梯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北京捷特达电梯有限公司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一号楼17#电梯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型号：TWJ/100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运行速度（M/S）:0.4</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提升高度（M）:3.2</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18</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自动扶梯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一号楼18#电梯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型号：EP-1200*30/030-5100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运行速度（M/S）:0.5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输送能力（P/h）：6000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19</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自动扶梯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一号楼19#电梯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型号：EP-1200*30/030-5100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运行速度（M/S）:0.5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输送能力（P/h）：6000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20</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二号楼1#电梯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额定载重量（KG）:1150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提升高度（M）:14.1</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21</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二号楼2#电梯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额定载重量（KG）:1150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提升高度（M）:14.1</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22</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三号楼1#电梯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提升高度（M）:51.85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23</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三号楼2#电梯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提升高度（M）:51.85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24</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上海永大电梯设备有限公司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三号楼3#电梯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型号：e'IQ-P</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提升高度（M）:51.85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25</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杭州西奥电梯有限公司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三号楼西侧1#电梯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型号：XO-CONB(MRL)</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26</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杭州西奥电梯有限公司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临建1#</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型号：XO-MRLII</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27</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发热2#</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28</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发热3#</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额定载重量（KG）:1050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29</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2"/>
                <w:sz w:val="21"/>
                <w:szCs w:val="21"/>
                <w:u w:val="none"/>
                <w:lang w:val="en-US" w:eastAsia="zh-CN" w:bidi="ar-SA"/>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发热4#</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30</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提升高度（M）:30.9</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31</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提升高度（M）:19.6</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32</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5号楼3#电梯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提升高度（M）:30.9</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33</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5号楼4#电梯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额定载重量（KG）:1050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提升高度（M）:30.9</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34</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5号楼5#电梯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额定载重量（KG）:1050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提升高度（M）:30.9</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35</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5号楼6#电梯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额定载重量（KG）:1050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提升高度（M）:35.7</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36</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5号楼7#电梯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运行速度（M/S）:1.6</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额定载重量（KG）:1600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提升高度（M）:69.9</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37</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5号楼8#电梯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运行速度（M/S）:1.75</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额定载重量（KG）:1050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提升高度（M）:71.6</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38</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5号楼9#电梯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额定载重量（KG）:1050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提升高度（M）:16.1</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39</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5号楼10#电梯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运行速度（M/S）:1.6</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额定载重量（KG）:1600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提升高度（M）:69.9</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层站数：16/16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40</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5号楼11#电梯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型号：LEHY-MRL-II</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额定载重量（KG）:2500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提升高度（M）:19.6</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41</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5号楼12#电梯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运行速度（M/S）:1.0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额定载重量（KG）:2500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提升高度（M）:19.6</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层站数：5/5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42</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5号楼13#电梯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型号：LEHY-III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运行速度（M/S）:1.75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额定载重量（KG）:1600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提升高度（M）:60.3</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43</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5号楼14#电梯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型号：LEHY-III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运行速度（M/S）:1.75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额定载重量（KG）:1600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提升高度（M）:60.3</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44</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5号楼15#电梯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型号：LEHY-III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运行速度（M/S）:1.75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额定载重量（KG）:1600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提升高度（M）:60.3</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45</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5号楼16#电梯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型号：LEHY-MRL-II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运行速度（M/S）:1.75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额定载重量（KG）:1350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提升高度（M）:69.9</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46</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5号楼17#电梯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型号：LEHY-MRL-II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运行速度（M/S）:1.75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额定载重量（KG）:1350</w:t>
            </w:r>
          </w:p>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提升高度（M）:69.9</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5"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47</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5号楼18#电梯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型号：LEHY-MRL-II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运行速度（M/S）:1.75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额定载重量（KG）:1350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提升高度（M）:69.9</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48</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5号楼19#电梯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型号：LEHY-MRL-II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运行速度（M/S）:1.75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额定载重量（KG）:1350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提升高度（M）:69.9</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49</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5号楼20#电梯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型号：LEHY-MRL-II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运行速度（M/S）:1.75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额定载重量（KG）:1600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提升高度（M）:60.3</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50</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5号楼21#电梯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型号：LEHY-MRL-II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运行速度（M/S）:1.75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额定载重量（KG）:1600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提升高度（M）:60.3</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51</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5号楼22#电梯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型号：LEHY-MRL-II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运行速度（M/S）:1.75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额定载重量（KG）:1600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提升高度（M）:60.3</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层站数：14/14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52</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5号楼23#电梯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额定载重量（KG）:1050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提升高度（M）:16.1</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53</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5号楼24#电梯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额定载重量（KG）:1050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提升高度（M）:16.1</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54</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5号楼25#电梯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额定载重量（KG）:1600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提升高度（M）:16.1</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55</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5号楼26#电梯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额定载重量（KG）:1050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提升高度（M）:16.1</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56</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5号楼27#电梯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额定载重量（KG）:1050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提升高度（M）:16.1</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57</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5号楼28#电梯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额定载重量（KG）:1050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提升高度（M）:16.1</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58</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5号楼29#电梯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额定载重量（KG）:825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提升高度（M）:16.1</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59</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乘客电梯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5号楼30#电梯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型号：ELENESSA</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运行速度（M/S）:1.0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额定载重量（KG）:1050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提升高度（M）:16.1</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层站数：4/4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9" w:hRule="atLeast"/>
        </w:trPr>
        <w:tc>
          <w:tcPr>
            <w:tcW w:w="795" w:type="dxa"/>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60</w:t>
            </w:r>
          </w:p>
        </w:tc>
        <w:tc>
          <w:tcPr>
            <w:tcW w:w="906" w:type="dxa"/>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自动扶梯</w:t>
            </w:r>
          </w:p>
        </w:tc>
        <w:tc>
          <w:tcPr>
            <w:tcW w:w="138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5号楼33#电梯</w:t>
            </w:r>
          </w:p>
        </w:tc>
        <w:tc>
          <w:tcPr>
            <w:tcW w:w="484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型号：KS-SBF-II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运行速度（M/S）:0.5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输送能力（P/h）：6000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61</w:t>
            </w:r>
          </w:p>
        </w:tc>
        <w:tc>
          <w:tcPr>
            <w:tcW w:w="906"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自动扶梯</w:t>
            </w:r>
          </w:p>
        </w:tc>
        <w:tc>
          <w:tcPr>
            <w:tcW w:w="13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5号楼34#电梯</w:t>
            </w:r>
          </w:p>
        </w:tc>
        <w:tc>
          <w:tcPr>
            <w:tcW w:w="48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型号：KS-SBF-II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运行速度（M/S）:0.5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输送能力（P/h）：6000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提升高度（M）:6.45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4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62</w:t>
            </w:r>
          </w:p>
        </w:tc>
        <w:tc>
          <w:tcPr>
            <w:tcW w:w="90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自动扶梯</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5号楼35#电梯</w:t>
            </w:r>
          </w:p>
        </w:tc>
        <w:tc>
          <w:tcPr>
            <w:tcW w:w="4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型号：KS-SBF-II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运行速度（M/S）:0.5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输送能力（P/h）：6000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4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4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4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c>
          <w:tcPr>
            <w:tcW w:w="4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63</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自动扶梯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5号楼36#电梯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型号：KS-SBF-II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运行速度（M/S）:0.5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输送能力（P/h）：6000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2"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64</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自动扶梯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5号楼37#电梯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型号：KS-SBF-II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运行速度（M/S）:0.5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输送能力（P/h）：6000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65</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自动扶梯</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上海三菱电梯有限公司</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5号楼38#电梯</w:t>
            </w:r>
          </w:p>
        </w:tc>
        <w:tc>
          <w:tcPr>
            <w:tcW w:w="4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幼圆" w:hAnsi="幼圆" w:eastAsia="幼圆" w:cs="幼圆"/>
                <w:i w:val="0"/>
                <w:iCs w:val="0"/>
                <w:color w:val="000000"/>
                <w:kern w:val="0"/>
                <w:sz w:val="21"/>
                <w:szCs w:val="21"/>
                <w:u w:val="none"/>
                <w:lang w:val="en-US" w:eastAsia="zh-CN" w:bidi="ar"/>
              </w:rPr>
            </w:pPr>
            <w:r>
              <w:rPr>
                <w:rFonts w:hint="eastAsia" w:ascii="幼圆" w:hAnsi="幼圆" w:eastAsia="幼圆" w:cs="幼圆"/>
                <w:i w:val="0"/>
                <w:iCs w:val="0"/>
                <w:color w:val="000000"/>
                <w:kern w:val="0"/>
                <w:sz w:val="21"/>
                <w:szCs w:val="21"/>
                <w:u w:val="none"/>
                <w:lang w:val="en-US" w:eastAsia="zh-CN" w:bidi="ar"/>
              </w:rPr>
              <w:t>型号：KS-SBF-II</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运行速度（M/S）:0.5</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输送能力（P/h）：6000</w:t>
            </w:r>
            <w:r>
              <w:rPr>
                <w:rFonts w:hint="eastAsia" w:ascii="幼圆" w:hAnsi="幼圆" w:eastAsia="幼圆" w:cs="幼圆"/>
                <w:i w:val="0"/>
                <w:iCs w:val="0"/>
                <w:color w:val="000000"/>
                <w:kern w:val="0"/>
                <w:sz w:val="21"/>
                <w:szCs w:val="21"/>
                <w:u w:val="none"/>
                <w:lang w:val="en-US" w:eastAsia="zh-CN" w:bidi="ar"/>
              </w:rPr>
              <w:br w:type="textWrapping"/>
            </w:r>
            <w:r>
              <w:rPr>
                <w:rFonts w:hint="eastAsia" w:ascii="幼圆" w:hAnsi="幼圆" w:eastAsia="幼圆" w:cs="幼圆"/>
                <w:i w:val="0"/>
                <w:iCs w:val="0"/>
                <w:color w:val="000000"/>
                <w:kern w:val="0"/>
                <w:sz w:val="21"/>
                <w:szCs w:val="21"/>
                <w:u w:val="none"/>
                <w:lang w:val="en-US" w:eastAsia="zh-CN" w:bidi="ar"/>
              </w:rPr>
              <w:t>提升高度（M）:4.8</w:t>
            </w:r>
          </w:p>
        </w:tc>
      </w:tr>
    </w:tbl>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十、评标方法和评审标准</w:t>
      </w:r>
      <w:bookmarkEnd w:id="0"/>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1.评标方法</w:t>
      </w:r>
    </w:p>
    <w:p>
      <w:pPr>
        <w:pStyle w:val="2"/>
        <w:spacing w:line="360" w:lineRule="auto"/>
        <w:ind w:firstLine="440" w:firstLineChars="200"/>
        <w:rPr>
          <w:rFonts w:hint="eastAsia" w:ascii="幼圆" w:hAnsi="幼圆" w:eastAsia="幼圆" w:cs="幼圆"/>
          <w:lang w:val="en-US" w:eastAsia="zh-CN"/>
        </w:rPr>
      </w:pPr>
      <w:r>
        <w:rPr>
          <w:rFonts w:hint="eastAsia" w:ascii="幼圆" w:hAnsi="幼圆" w:eastAsia="幼圆" w:cs="幼圆"/>
          <w:lang w:val="en-US" w:eastAsia="zh-CN"/>
        </w:rPr>
        <w:t>本次评标采用</w:t>
      </w:r>
      <w:r>
        <w:rPr>
          <w:rFonts w:hint="eastAsia" w:ascii="幼圆" w:hAnsi="幼圆" w:eastAsia="幼圆" w:cs="幼圆"/>
          <w:b/>
          <w:bCs/>
          <w:lang w:val="en-US" w:eastAsia="zh-CN"/>
        </w:rPr>
        <w:t>综合评分法</w:t>
      </w:r>
      <w:r>
        <w:rPr>
          <w:rFonts w:hint="eastAsia" w:ascii="幼圆" w:hAnsi="幼圆" w:eastAsia="幼圆" w:cs="幼圆"/>
          <w:lang w:val="en-US" w:eastAsia="zh-CN"/>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keepNext w:val="0"/>
        <w:keepLines w:val="0"/>
        <w:pageBreakBefore w:val="0"/>
        <w:widowControl/>
        <w:numPr>
          <w:ilvl w:val="0"/>
          <w:numId w:val="0"/>
        </w:numPr>
        <w:wordWrap/>
        <w:topLinePunct w:val="0"/>
        <w:bidi w:val="0"/>
        <w:spacing w:after="0" w:line="240" w:lineRule="auto"/>
        <w:ind w:leftChars="0" w:firstLine="482" w:firstLineChars="200"/>
        <w:jc w:val="both"/>
        <w:rPr>
          <w:rFonts w:hint="eastAsia" w:ascii="幼圆" w:hAnsi="幼圆" w:eastAsia="幼圆" w:cs="幼圆"/>
          <w:b/>
          <w:bCs/>
          <w:color w:val="FF0000"/>
          <w:sz w:val="24"/>
          <w:szCs w:val="20"/>
        </w:rPr>
      </w:pPr>
      <w:r>
        <w:rPr>
          <w:rFonts w:hint="eastAsia" w:ascii="幼圆" w:hAnsi="幼圆" w:eastAsia="幼圆" w:cs="幼圆"/>
          <w:b/>
          <w:bCs/>
          <w:color w:val="FF0000"/>
          <w:sz w:val="24"/>
          <w:szCs w:val="20"/>
        </w:rPr>
        <w:t>投标最低报价不作为中标的唯一理由</w:t>
      </w:r>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2</w:t>
      </w:r>
      <w:r>
        <w:rPr>
          <w:rFonts w:hint="eastAsia" w:ascii="幼圆" w:hAnsi="幼圆" w:eastAsia="幼圆" w:cs="幼圆"/>
          <w:b/>
          <w:bCs/>
          <w:sz w:val="24"/>
          <w:szCs w:val="20"/>
        </w:rPr>
        <w:t>.</w:t>
      </w:r>
      <w:r>
        <w:rPr>
          <w:rFonts w:hint="eastAsia" w:ascii="幼圆" w:hAnsi="幼圆" w:eastAsia="幼圆" w:cs="幼圆"/>
          <w:b/>
          <w:bCs/>
          <w:sz w:val="24"/>
          <w:szCs w:val="20"/>
          <w:lang w:val="en-US" w:eastAsia="zh-CN"/>
        </w:rPr>
        <w:t>评分标准</w:t>
      </w:r>
    </w:p>
    <w:tbl>
      <w:tblPr>
        <w:tblStyle w:val="3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776"/>
        <w:gridCol w:w="1665"/>
        <w:gridCol w:w="574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b/>
                <w:bCs/>
                <w:highlight w:val="none"/>
              </w:rPr>
            </w:pPr>
            <w:bookmarkStart w:id="2" w:name="_Hlk536608376"/>
            <w:r>
              <w:rPr>
                <w:rFonts w:hint="eastAsia" w:ascii="幼圆" w:hAnsi="幼圆" w:eastAsia="幼圆" w:cs="幼圆"/>
                <w:b/>
                <w:bCs/>
                <w:highlight w:val="none"/>
              </w:rPr>
              <w:t>内容</w:t>
            </w:r>
          </w:p>
        </w:tc>
        <w:tc>
          <w:tcPr>
            <w:tcW w:w="776"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分值</w:t>
            </w:r>
          </w:p>
        </w:tc>
        <w:tc>
          <w:tcPr>
            <w:tcW w:w="1665"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评分因素分项</w:t>
            </w:r>
          </w:p>
        </w:tc>
        <w:tc>
          <w:tcPr>
            <w:tcW w:w="5749"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价格部分</w:t>
            </w:r>
          </w:p>
        </w:tc>
        <w:tc>
          <w:tcPr>
            <w:tcW w:w="776" w:type="dxa"/>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lang w:val="en-US" w:eastAsia="zh-CN"/>
              </w:rPr>
              <w:t>20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评标价格</w:t>
            </w:r>
          </w:p>
        </w:tc>
        <w:tc>
          <w:tcPr>
            <w:tcW w:w="5749" w:type="dxa"/>
            <w:vAlign w:val="center"/>
          </w:tcPr>
          <w:p>
            <w:pPr>
              <w:pStyle w:val="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满足招标文件要求且投标价格最低的投标报价为评标基准价，其价格分为满分。其他投标人的价格分统一按照下列公式计算：</w:t>
            </w:r>
          </w:p>
          <w:p>
            <w:pPr>
              <w:pStyle w:val="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rPr>
            </w:pPr>
            <w:r>
              <w:rPr>
                <w:rFonts w:hint="eastAsia" w:ascii="幼圆" w:hAnsi="幼圆" w:eastAsia="幼圆" w:cs="幼圆"/>
                <w:highlight w:val="none"/>
                <w:lang w:eastAsia="zh-CN"/>
              </w:rPr>
              <w:t>投标报价得分=(评标基准价／投标报价)×</w:t>
            </w:r>
            <w:r>
              <w:rPr>
                <w:rFonts w:hint="eastAsia" w:ascii="幼圆" w:hAnsi="幼圆" w:eastAsia="幼圆" w:cs="幼圆"/>
                <w:highlight w:val="none"/>
                <w:lang w:val="en-US" w:eastAsia="zh-CN"/>
              </w:rPr>
              <w:t>20</w:t>
            </w:r>
            <w:r>
              <w:rPr>
                <w:rFonts w:hint="eastAsia" w:ascii="幼圆" w:hAnsi="幼圆" w:eastAsia="幼圆" w:cs="幼圆"/>
                <w:highlight w:val="none"/>
                <w:lang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商务部分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类似业绩</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自202</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年</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月1日至今（按合同签订时间计算），投标人每提供一个</w:t>
            </w:r>
            <w:r>
              <w:rPr>
                <w:rFonts w:hint="eastAsia" w:ascii="幼圆" w:hAnsi="幼圆" w:eastAsia="幼圆" w:cs="幼圆"/>
                <w:highlight w:val="none"/>
                <w:lang w:val="en-US" w:eastAsia="zh-CN"/>
              </w:rPr>
              <w:t>同类</w:t>
            </w:r>
            <w:r>
              <w:rPr>
                <w:rFonts w:hint="eastAsia" w:ascii="幼圆" w:hAnsi="幼圆" w:eastAsia="幼圆" w:cs="幼圆"/>
                <w:highlight w:val="none"/>
                <w:lang w:eastAsia="zh-CN"/>
              </w:rPr>
              <w:t>项目</w:t>
            </w:r>
            <w:r>
              <w:rPr>
                <w:rFonts w:hint="eastAsia" w:ascii="幼圆" w:hAnsi="幼圆" w:eastAsia="幼圆" w:cs="幼圆"/>
                <w:highlight w:val="none"/>
                <w:lang w:val="en-US" w:eastAsia="zh-CN"/>
              </w:rPr>
              <w:t>的</w:t>
            </w:r>
            <w:r>
              <w:rPr>
                <w:rFonts w:hint="eastAsia" w:ascii="幼圆" w:hAnsi="幼圆" w:eastAsia="幼圆" w:cs="幼圆"/>
                <w:highlight w:val="none"/>
                <w:lang w:eastAsia="zh-CN"/>
              </w:rPr>
              <w:t>业绩，得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分，最高得</w:t>
            </w:r>
            <w:r>
              <w:rPr>
                <w:rFonts w:hint="eastAsia" w:ascii="幼圆" w:hAnsi="幼圆" w:eastAsia="幼圆" w:cs="幼圆"/>
                <w:highlight w:val="none"/>
                <w:lang w:val="en-US" w:eastAsia="zh-CN"/>
              </w:rPr>
              <w:t>10</w:t>
            </w:r>
            <w:r>
              <w:rPr>
                <w:rFonts w:hint="eastAsia" w:ascii="幼圆" w:hAnsi="幼圆" w:eastAsia="幼圆" w:cs="幼圆"/>
                <w:highlight w:val="none"/>
                <w:lang w:eastAsia="zh-CN"/>
              </w:rPr>
              <w:t>分。须提供合同复印件，内容能体现合同名称、主要服务内容以及双方签字盖章页。未按上述要求提供合同复印件的不得分。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技术部分</w:t>
            </w:r>
          </w:p>
        </w:tc>
        <w:tc>
          <w:tcPr>
            <w:tcW w:w="776"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lang w:val="en-US" w:eastAsia="zh-CN"/>
              </w:rPr>
              <w:t>25</w:t>
            </w:r>
          </w:p>
        </w:tc>
        <w:tc>
          <w:tcPr>
            <w:tcW w:w="1665"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rPr>
              <w:t>对文件技术要求的响应程度</w:t>
            </w:r>
          </w:p>
        </w:tc>
        <w:tc>
          <w:tcPr>
            <w:tcW w:w="5749" w:type="dxa"/>
            <w:shd w:val="clear" w:color="auto" w:fill="auto"/>
            <w:vAlign w:val="center"/>
          </w:tcPr>
          <w:p>
            <w:pPr>
              <w:widowControl/>
              <w:spacing w:line="240" w:lineRule="auto"/>
              <w:jc w:val="both"/>
              <w:rPr>
                <w:rFonts w:hint="eastAsia" w:ascii="幼圆" w:hAnsi="幼圆" w:eastAsia="幼圆" w:cs="幼圆"/>
                <w:highlight w:val="none"/>
              </w:rPr>
            </w:pPr>
            <w:r>
              <w:rPr>
                <w:rFonts w:hint="eastAsia" w:ascii="幼圆" w:hAnsi="幼圆" w:eastAsia="幼圆" w:cs="幼圆"/>
                <w:highlight w:val="none"/>
              </w:rPr>
              <w:t>投标人完全满足第三章采购需求中“</w:t>
            </w:r>
            <w:r>
              <w:rPr>
                <w:rFonts w:hint="eastAsia" w:ascii="幼圆" w:hAnsi="幼圆" w:eastAsia="幼圆" w:cs="幼圆"/>
                <w:highlight w:val="none"/>
                <w:lang w:val="en-US" w:eastAsia="zh-CN"/>
              </w:rPr>
              <w:t>五</w:t>
            </w:r>
            <w:r>
              <w:rPr>
                <w:rFonts w:hint="eastAsia" w:ascii="幼圆" w:hAnsi="幼圆" w:eastAsia="幼圆" w:cs="幼圆"/>
                <w:highlight w:val="none"/>
              </w:rPr>
              <w:t>、</w:t>
            </w:r>
            <w:r>
              <w:rPr>
                <w:rFonts w:hint="eastAsia" w:ascii="幼圆" w:hAnsi="幼圆" w:eastAsia="幼圆" w:cs="幼圆"/>
                <w:highlight w:val="none"/>
                <w:lang w:val="en-US" w:eastAsia="zh-CN"/>
              </w:rPr>
              <w:t>维保内容</w:t>
            </w:r>
            <w:r>
              <w:rPr>
                <w:rFonts w:hint="eastAsia" w:ascii="幼圆" w:hAnsi="幼圆" w:eastAsia="幼圆" w:cs="幼圆"/>
                <w:highlight w:val="none"/>
              </w:rPr>
              <w:t>”的得</w:t>
            </w:r>
            <w:r>
              <w:rPr>
                <w:rFonts w:hint="eastAsia" w:ascii="幼圆" w:hAnsi="幼圆" w:eastAsia="幼圆" w:cs="幼圆"/>
                <w:highlight w:val="none"/>
                <w:lang w:val="en-US" w:eastAsia="zh-CN"/>
              </w:rPr>
              <w:t>25</w:t>
            </w:r>
            <w:r>
              <w:rPr>
                <w:rFonts w:hint="eastAsia" w:ascii="幼圆" w:hAnsi="幼圆" w:eastAsia="幼圆" w:cs="幼圆"/>
                <w:highlight w:val="none"/>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rPr>
              <w:t>共有</w:t>
            </w:r>
            <w:r>
              <w:rPr>
                <w:rFonts w:hint="eastAsia" w:ascii="幼圆" w:hAnsi="幼圆" w:eastAsia="幼圆" w:cs="幼圆"/>
                <w:highlight w:val="none"/>
                <w:lang w:val="en-US" w:eastAsia="zh-CN"/>
              </w:rPr>
              <w:t>25</w:t>
            </w:r>
            <w:r>
              <w:rPr>
                <w:rFonts w:hint="eastAsia" w:ascii="幼圆" w:hAnsi="幼圆" w:eastAsia="幼圆" w:cs="幼圆"/>
                <w:highlight w:val="none"/>
              </w:rPr>
              <w:t>项指标，每满足一项得</w:t>
            </w:r>
            <w:r>
              <w:rPr>
                <w:rFonts w:hint="eastAsia" w:ascii="幼圆" w:hAnsi="幼圆" w:eastAsia="幼圆" w:cs="幼圆"/>
                <w:highlight w:val="none"/>
                <w:lang w:val="en-US" w:eastAsia="zh-CN"/>
              </w:rPr>
              <w:t>1</w:t>
            </w:r>
            <w:r>
              <w:rPr>
                <w:rFonts w:hint="eastAsia" w:ascii="幼圆" w:hAnsi="幼圆" w:eastAsia="幼圆" w:cs="幼圆"/>
                <w:highlight w:val="none"/>
              </w:rPr>
              <w:t>分，共</w:t>
            </w:r>
            <w:r>
              <w:rPr>
                <w:rFonts w:hint="eastAsia" w:ascii="幼圆" w:hAnsi="幼圆" w:eastAsia="幼圆" w:cs="幼圆"/>
                <w:highlight w:val="none"/>
                <w:lang w:val="en-US" w:eastAsia="zh-CN"/>
              </w:rPr>
              <w:t>25</w:t>
            </w:r>
            <w:r>
              <w:rPr>
                <w:rFonts w:hint="eastAsia" w:ascii="幼圆" w:hAnsi="幼圆" w:eastAsia="幼圆" w:cs="幼圆"/>
                <w:highlight w:val="none"/>
              </w:rPr>
              <w:t>分</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b/>
                <w:bCs/>
                <w:highlight w:val="none"/>
                <w:lang w:eastAsia="zh-CN"/>
              </w:rPr>
              <w:t>注：</w:t>
            </w:r>
            <w:r>
              <w:rPr>
                <w:rFonts w:hint="eastAsia" w:ascii="幼圆" w:hAnsi="幼圆" w:eastAsia="幼圆" w:cs="幼圆"/>
                <w:b/>
                <w:bCs/>
                <w:highlight w:val="none"/>
                <w:lang w:val="en-US" w:eastAsia="zh-CN"/>
              </w:rPr>
              <w:t>1</w:t>
            </w:r>
            <w:r>
              <w:rPr>
                <w:rFonts w:hint="eastAsia" w:ascii="幼圆" w:hAnsi="幼圆" w:eastAsia="幼圆" w:cs="幼圆"/>
                <w:b/>
                <w:bCs/>
                <w:highlight w:val="none"/>
                <w:lang w:eastAsia="zh-CN"/>
              </w:rPr>
              <w:t>）“</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lang w:eastAsia="zh-CN"/>
              </w:rPr>
              <w:t>”以“ 附件《技术规格偏离表》”响应为准，否则不得分。</w:t>
            </w:r>
          </w:p>
          <w:p>
            <w:pPr>
              <w:spacing w:line="240" w:lineRule="auto"/>
              <w:jc w:val="both"/>
              <w:rPr>
                <w:rFonts w:hint="eastAsia" w:ascii="幼圆" w:hAnsi="幼圆" w:eastAsia="幼圆" w:cs="幼圆"/>
                <w:b/>
                <w:bCs/>
                <w:highlight w:val="none"/>
                <w:lang w:val="en-US" w:eastAsia="zh-CN"/>
              </w:rPr>
            </w:pPr>
            <w:r>
              <w:rPr>
                <w:rFonts w:hint="eastAsia" w:ascii="幼圆" w:hAnsi="幼圆" w:eastAsia="幼圆" w:cs="幼圆"/>
                <w:b/>
                <w:bCs/>
                <w:highlight w:val="none"/>
              </w:rPr>
              <w:t>2）以“</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rPr>
              <w:t>”中的“序号”作为指标项的计算依据，无论该指标项包含几条技术参数。如该指标项中有任意一条指标不满足招标文件要求或负偏离，则该项不得分；漏报该项不得分。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rPr>
            </w:pPr>
          </w:p>
        </w:tc>
        <w:tc>
          <w:tcPr>
            <w:tcW w:w="776"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6</w:t>
            </w:r>
          </w:p>
        </w:tc>
        <w:tc>
          <w:tcPr>
            <w:tcW w:w="1665"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内部管理制度及培训方案</w:t>
            </w:r>
          </w:p>
        </w:tc>
        <w:tc>
          <w:tcPr>
            <w:tcW w:w="5749" w:type="dxa"/>
            <w:shd w:val="clear" w:color="auto" w:fill="auto"/>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val="en-US" w:eastAsia="zh-CN"/>
              </w:rPr>
              <w:t>内部管理制度及培训方案</w:t>
            </w:r>
            <w:r>
              <w:rPr>
                <w:rFonts w:hint="eastAsia" w:ascii="幼圆" w:hAnsi="幼圆" w:eastAsia="幼圆" w:cs="幼圆"/>
                <w:highlight w:val="none"/>
                <w:lang w:eastAsia="zh-CN"/>
              </w:rPr>
              <w:t>合理、详细，</w:t>
            </w:r>
            <w:r>
              <w:rPr>
                <w:rFonts w:hint="eastAsia" w:ascii="幼圆" w:hAnsi="幼圆" w:eastAsia="幼圆" w:cs="幼圆"/>
                <w:highlight w:val="none"/>
                <w:lang w:val="en-US" w:eastAsia="zh-CN"/>
              </w:rPr>
              <w:t>培训</w:t>
            </w:r>
            <w:r>
              <w:rPr>
                <w:rFonts w:hint="eastAsia" w:ascii="幼圆" w:hAnsi="幼圆" w:eastAsia="幼圆" w:cs="幼圆"/>
                <w:highlight w:val="none"/>
                <w:lang w:eastAsia="zh-CN"/>
              </w:rPr>
              <w:t>服务承诺周到，具有完善的</w:t>
            </w:r>
            <w:r>
              <w:rPr>
                <w:rFonts w:hint="eastAsia" w:ascii="幼圆" w:hAnsi="幼圆" w:eastAsia="幼圆" w:cs="幼圆"/>
                <w:highlight w:val="none"/>
                <w:lang w:val="en-US" w:eastAsia="zh-CN"/>
              </w:rPr>
              <w:t>管理</w:t>
            </w:r>
            <w:r>
              <w:rPr>
                <w:rFonts w:hint="eastAsia" w:ascii="幼圆" w:hAnsi="幼圆" w:eastAsia="幼圆" w:cs="幼圆"/>
                <w:highlight w:val="none"/>
                <w:lang w:eastAsia="zh-CN"/>
              </w:rPr>
              <w:t>体系：</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方案合理、</w:t>
            </w:r>
            <w:r>
              <w:rPr>
                <w:rFonts w:hint="eastAsia" w:ascii="幼圆" w:hAnsi="幼圆" w:eastAsia="幼圆" w:cs="幼圆"/>
                <w:highlight w:val="none"/>
                <w:lang w:val="en-US" w:eastAsia="zh-CN"/>
              </w:rPr>
              <w:t>详细，体系完善的，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6</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较为</w:t>
            </w:r>
            <w:r>
              <w:rPr>
                <w:rFonts w:hint="eastAsia" w:ascii="幼圆" w:hAnsi="幼圆" w:eastAsia="幼圆" w:cs="幼圆"/>
                <w:highlight w:val="none"/>
                <w:lang w:eastAsia="zh-CN"/>
              </w:rPr>
              <w:t>合理、</w:t>
            </w:r>
            <w:r>
              <w:rPr>
                <w:rFonts w:hint="eastAsia" w:ascii="幼圆" w:hAnsi="幼圆" w:eastAsia="幼圆" w:cs="幼圆"/>
                <w:highlight w:val="none"/>
                <w:lang w:val="en-US" w:eastAsia="zh-CN"/>
              </w:rPr>
              <w:t>详细，体系较为完善的，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4</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一般，体系基本完善的，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方案有欠缺，</w:t>
            </w:r>
            <w:r>
              <w:rPr>
                <w:rFonts w:hint="eastAsia" w:ascii="幼圆" w:hAnsi="幼圆" w:eastAsia="幼圆" w:cs="幼圆"/>
                <w:highlight w:val="none"/>
                <w:lang w:val="en-US" w:eastAsia="zh-CN"/>
              </w:rPr>
              <w:t>体系不完整的，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highlight w:val="none"/>
                <w:lang w:val="en-US" w:eastAsia="zh-CN"/>
              </w:rPr>
              <w:t>未提供，</w:t>
            </w:r>
            <w:r>
              <w:rPr>
                <w:rFonts w:hint="eastAsia" w:ascii="幼圆" w:hAnsi="幼圆" w:eastAsia="幼圆" w:cs="幼圆"/>
                <w:highlight w:val="none"/>
                <w:lang w:eastAsia="zh-CN"/>
              </w:rPr>
              <w:t>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服务部分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Merge w:val="restart"/>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rPr>
              <w:t>服务方案及人员配备方案</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根据投标人提供的</w:t>
            </w:r>
            <w:r>
              <w:rPr>
                <w:rFonts w:hint="eastAsia" w:ascii="幼圆" w:hAnsi="幼圆" w:eastAsia="幼圆" w:cs="幼圆"/>
                <w:highlight w:val="none"/>
                <w:lang w:val="en-US" w:eastAsia="zh-CN"/>
              </w:rPr>
              <w:t>总体设计方案进行评价</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设计方案亮点突出、针对性强、内容全面、规划统筹考虑充分，得</w:t>
            </w:r>
            <w:r>
              <w:rPr>
                <w:rFonts w:hint="eastAsia" w:ascii="幼圆" w:hAnsi="幼圆" w:eastAsia="幼圆" w:cs="幼圆"/>
                <w:highlight w:val="none"/>
                <w:lang w:val="en-US" w:eastAsia="zh-CN"/>
              </w:rPr>
              <w:t>7</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基本全面</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一般</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中规中矩</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4</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简单</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欠妥</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欠佳</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未提供该方案不得分。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13</w:t>
            </w:r>
          </w:p>
        </w:tc>
        <w:tc>
          <w:tcPr>
            <w:tcW w:w="1665" w:type="dxa"/>
            <w:vMerge w:val="continue"/>
            <w:vAlign w:val="center"/>
          </w:tcPr>
          <w:p>
            <w:pPr>
              <w:widowControl/>
              <w:spacing w:line="240" w:lineRule="auto"/>
              <w:jc w:val="center"/>
              <w:rPr>
                <w:rFonts w:hint="eastAsia" w:ascii="幼圆" w:hAnsi="幼圆" w:eastAsia="幼圆" w:cs="幼圆"/>
                <w:highlight w:val="none"/>
                <w:lang w:eastAsia="zh-CN"/>
              </w:rPr>
            </w:pP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（1）根据各投标人按照采购需求提供的维保团队的规模、专业度、架构方面进行打分。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人员架构科学合理，数量充足，专业度高的，完全满足项目需求的，得7分；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人员架构基本科学合理，数量一般，专业度普通的，得4分；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人员架构不合理，数量稀少，专业度低的，得1分；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未提供不得分。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（2）根据团队成员的专业能力进行评价：</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1）具有中华人民共和国应急管理部门颁发的特种作业操作证（电梯特种作业操作证），每提供一人得2分，最高6分；</w:t>
            </w:r>
          </w:p>
          <w:p>
            <w:pPr>
              <w:pStyle w:val="2"/>
              <w:tabs>
                <w:tab w:val="left" w:pos="567"/>
              </w:tabs>
              <w:rPr>
                <w:rFonts w:hint="eastAsia" w:ascii="幼圆" w:hAnsi="幼圆" w:eastAsia="幼圆" w:cs="幼圆"/>
                <w:lang w:val="en-US" w:eastAsia="zh-CN"/>
              </w:rPr>
            </w:pPr>
            <w:r>
              <w:rPr>
                <w:rFonts w:hint="eastAsia" w:ascii="幼圆" w:hAnsi="幼圆" w:eastAsia="幼圆" w:cs="幼圆"/>
                <w:b/>
                <w:bCs/>
                <w:highlight w:val="none"/>
                <w:lang w:val="en-US" w:eastAsia="zh-CN"/>
              </w:rPr>
              <w:t>注：以上证书需提供有效的证书复印件，并加盖投标单位公章，否则视为无效</w:t>
            </w:r>
            <w:r>
              <w:rPr>
                <w:rFonts w:hint="eastAsia" w:ascii="幼圆" w:hAnsi="幼圆" w:eastAsia="幼圆" w:cs="幼圆"/>
                <w:highlight w:val="none"/>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服务响应时间及质量保障措施</w:t>
            </w:r>
          </w:p>
        </w:tc>
        <w:tc>
          <w:tcPr>
            <w:tcW w:w="5749" w:type="dxa"/>
            <w:vAlign w:val="center"/>
          </w:tcPr>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响应时间及时、保障措施到位、分工明确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得7分；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响应时间基本满足需求、保障措施基本到位、分工较为明确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得4分；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响应时间滞后、保障措施欠缺、分工混乱</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得1分；</w:t>
            </w:r>
          </w:p>
          <w:p>
            <w:pPr>
              <w:keepNext w:val="0"/>
              <w:keepLines w:val="0"/>
              <w:pageBreakBefore w:val="0"/>
              <w:widowControl/>
              <w:kinsoku/>
              <w:wordWrap/>
              <w:overflowPunct/>
              <w:topLinePunct w:val="0"/>
              <w:autoSpaceDE/>
              <w:autoSpaceDN/>
              <w:bidi w:val="0"/>
              <w:snapToGrid/>
              <w:spacing w:line="240" w:lineRule="auto"/>
              <w:rPr>
                <w:rFonts w:hint="eastAsia" w:ascii="幼圆" w:hAnsi="幼圆" w:eastAsia="幼圆" w:cs="幼圆"/>
                <w:highlight w:val="none"/>
              </w:rPr>
            </w:pPr>
            <w:r>
              <w:rPr>
                <w:rFonts w:hint="eastAsia" w:ascii="幼圆" w:hAnsi="幼圆" w:eastAsia="幼圆" w:cs="幼圆"/>
                <w:sz w:val="24"/>
                <w:szCs w:val="24"/>
                <w:highlight w:val="none"/>
                <w:lang w:val="en-US" w:eastAsia="zh-CN"/>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后续服务承诺</w:t>
            </w:r>
          </w:p>
        </w:tc>
        <w:tc>
          <w:tcPr>
            <w:tcW w:w="5749" w:type="dxa"/>
            <w:vAlign w:val="center"/>
          </w:tcPr>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根据投标人提供的服务承诺进行打分：内容应包含但不限于售后服务及其他情况介绍；</w:t>
            </w:r>
            <w:r>
              <w:rPr>
                <w:rFonts w:hint="eastAsia" w:ascii="幼圆" w:hAnsi="幼圆" w:eastAsia="幼圆" w:cs="幼圆"/>
                <w:b/>
                <w:highlight w:val="none"/>
              </w:rPr>
              <w:t>可提供的优惠条件；突发状况服务时间承诺。</w:t>
            </w:r>
          </w:p>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服务承诺完全满足项目需求的，得</w:t>
            </w:r>
            <w:r>
              <w:rPr>
                <w:rFonts w:hint="eastAsia" w:ascii="幼圆" w:hAnsi="幼圆" w:eastAsia="幼圆" w:cs="幼圆"/>
                <w:highlight w:val="none"/>
                <w:lang w:val="en-US" w:eastAsia="zh-CN"/>
              </w:rPr>
              <w:t>7</w:t>
            </w:r>
            <w:r>
              <w:rPr>
                <w:rFonts w:hint="eastAsia" w:ascii="幼圆" w:hAnsi="幼圆" w:eastAsia="幼圆" w:cs="幼圆"/>
                <w:highlight w:val="none"/>
              </w:rPr>
              <w:t>分；</w:t>
            </w:r>
          </w:p>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服务承诺基本满足项目需求的，得</w:t>
            </w:r>
            <w:r>
              <w:rPr>
                <w:rFonts w:hint="eastAsia" w:ascii="幼圆" w:hAnsi="幼圆" w:eastAsia="幼圆" w:cs="幼圆"/>
                <w:highlight w:val="none"/>
                <w:lang w:val="en-US" w:eastAsia="zh-CN"/>
              </w:rPr>
              <w:t>4</w:t>
            </w:r>
            <w:r>
              <w:rPr>
                <w:rFonts w:hint="eastAsia" w:ascii="幼圆" w:hAnsi="幼圆" w:eastAsia="幼圆" w:cs="幼圆"/>
                <w:highlight w:val="none"/>
              </w:rPr>
              <w:t>分；</w:t>
            </w:r>
          </w:p>
          <w:p>
            <w:pPr>
              <w:autoSpaceDN w:val="0"/>
              <w:spacing w:line="340" w:lineRule="exact"/>
              <w:textAlignment w:val="bottom"/>
              <w:rPr>
                <w:rFonts w:hint="eastAsia" w:ascii="幼圆" w:hAnsi="幼圆" w:eastAsia="幼圆" w:cs="幼圆"/>
                <w:highlight w:val="none"/>
              </w:rPr>
            </w:pPr>
            <w:r>
              <w:rPr>
                <w:rFonts w:hint="eastAsia" w:ascii="幼圆" w:hAnsi="幼圆" w:eastAsia="幼圆" w:cs="幼圆"/>
                <w:highlight w:val="none"/>
              </w:rPr>
              <w:t>服务承诺不满足项目需求的，得1分；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其他</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5</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拟投入设备</w:t>
            </w: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设备齐全，完全满足项目需要的，得5分；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设备基本满足项目需要的，得3分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设备无法满足项目需要的，得1分；</w:t>
            </w:r>
          </w:p>
          <w:p>
            <w:pPr>
              <w:widowControl/>
              <w:spacing w:line="240" w:lineRule="auto"/>
              <w:rPr>
                <w:rFonts w:hint="eastAsia" w:ascii="幼圆" w:hAnsi="幼圆" w:eastAsia="幼圆" w:cs="幼圆"/>
                <w:highlight w:val="none"/>
                <w:lang w:eastAsia="zh-CN"/>
              </w:rPr>
            </w:pPr>
            <w:r>
              <w:rPr>
                <w:rFonts w:hint="eastAsia" w:ascii="幼圆" w:hAnsi="幼圆" w:eastAsia="幼圆" w:cs="幼圆"/>
                <w:highlight w:val="none"/>
                <w:lang w:val="en-US" w:eastAsia="zh-CN"/>
              </w:rPr>
              <w:t>不满足项目需要或未提供，不得分。</w:t>
            </w:r>
          </w:p>
        </w:tc>
      </w:tr>
      <w:bookmarkEnd w:id="2"/>
    </w:tbl>
    <w:p>
      <w:pPr>
        <w:keepNext w:val="0"/>
        <w:keepLines w:val="0"/>
        <w:pageBreakBefore w:val="0"/>
        <w:widowControl/>
        <w:wordWrap/>
        <w:topLinePunct w:val="0"/>
        <w:bidi w:val="0"/>
        <w:spacing w:line="240" w:lineRule="auto"/>
        <w:rPr>
          <w:rFonts w:hint="eastAsia" w:ascii="幼圆" w:hAnsi="幼圆" w:eastAsia="幼圆" w:cs="幼圆"/>
          <w:b/>
          <w:bCs/>
          <w:sz w:val="24"/>
          <w:szCs w:val="20"/>
        </w:rPr>
      </w:pPr>
    </w:p>
    <w:p>
      <w:pPr>
        <w:rPr>
          <w:rFonts w:hint="eastAsia" w:ascii="幼圆" w:hAnsi="幼圆" w:eastAsia="幼圆" w:cs="幼圆"/>
          <w:color w:val="FF0000"/>
          <w:kern w:val="2"/>
          <w:highlight w:val="none"/>
          <w:lang w:val="en-US" w:eastAsia="zh-CN" w:bidi="zh-CN"/>
        </w:rPr>
      </w:pPr>
      <w:r>
        <w:rPr>
          <w:rFonts w:hint="eastAsia" w:ascii="幼圆" w:hAnsi="幼圆" w:eastAsia="幼圆" w:cs="幼圆"/>
          <w:color w:val="FF0000"/>
          <w:kern w:val="2"/>
          <w:highlight w:val="none"/>
          <w:lang w:val="en-US" w:eastAsia="zh-CN" w:bidi="zh-CN"/>
        </w:rPr>
        <w:br w:type="page"/>
      </w:r>
    </w:p>
    <w:p>
      <w:pPr>
        <w:snapToGrid w:val="0"/>
        <w:spacing w:line="400" w:lineRule="exact"/>
        <w:textAlignment w:val="auto"/>
        <w:outlineLvl w:val="0"/>
        <w:rPr>
          <w:rFonts w:hint="eastAsia" w:ascii="幼圆" w:hAnsi="幼圆" w:eastAsia="幼圆" w:cs="幼圆"/>
          <w:b/>
          <w:szCs w:val="20"/>
          <w:highlight w:val="none"/>
        </w:rPr>
      </w:pPr>
      <w:bookmarkStart w:id="3" w:name="_Toc70433717"/>
      <w:bookmarkStart w:id="4" w:name="_Toc73536577"/>
      <w:bookmarkStart w:id="5" w:name="_Toc955"/>
      <w:r>
        <w:rPr>
          <w:rFonts w:hint="eastAsia" w:ascii="幼圆" w:hAnsi="幼圆" w:eastAsia="幼圆" w:cs="幼圆"/>
          <w:b/>
          <w:szCs w:val="20"/>
          <w:highlight w:val="none"/>
        </w:rPr>
        <w:t>附件：</w:t>
      </w:r>
      <w:bookmarkEnd w:id="3"/>
      <w:bookmarkEnd w:id="4"/>
      <w:bookmarkEnd w:id="5"/>
    </w:p>
    <w:p>
      <w:pPr>
        <w:widowControl/>
        <w:snapToGrid w:val="0"/>
        <w:spacing w:line="400" w:lineRule="exact"/>
        <w:textAlignment w:val="auto"/>
        <w:rPr>
          <w:rFonts w:hint="eastAsia" w:ascii="幼圆" w:hAnsi="幼圆" w:eastAsia="幼圆" w:cs="幼圆"/>
          <w:b/>
          <w:highlight w:val="none"/>
        </w:rPr>
      </w:pPr>
    </w:p>
    <w:p>
      <w:pPr>
        <w:snapToGrid w:val="0"/>
        <w:spacing w:line="400" w:lineRule="exact"/>
        <w:jc w:val="center"/>
        <w:rPr>
          <w:rFonts w:hint="eastAsia" w:ascii="幼圆" w:hAnsi="幼圆" w:eastAsia="幼圆" w:cs="幼圆"/>
          <w:caps/>
          <w:sz w:val="36"/>
          <w:szCs w:val="36"/>
          <w:highlight w:val="none"/>
        </w:rPr>
      </w:pPr>
      <w:r>
        <w:rPr>
          <w:rFonts w:hint="eastAsia" w:ascii="幼圆" w:hAnsi="幼圆" w:eastAsia="幼圆" w:cs="幼圆"/>
          <w:caps/>
          <w:sz w:val="36"/>
          <w:szCs w:val="36"/>
          <w:highlight w:val="none"/>
        </w:rPr>
        <w:t>技术规格偏离表</w:t>
      </w:r>
    </w:p>
    <w:p>
      <w:pPr>
        <w:snapToGrid w:val="0"/>
        <w:spacing w:before="120" w:beforeLines="50" w:line="400" w:lineRule="exact"/>
        <w:rPr>
          <w:rFonts w:hint="eastAsia" w:ascii="幼圆" w:hAnsi="幼圆" w:eastAsia="幼圆" w:cs="幼圆"/>
          <w:highlight w:val="none"/>
        </w:rPr>
      </w:pPr>
    </w:p>
    <w:p>
      <w:pPr>
        <w:snapToGrid w:val="0"/>
        <w:spacing w:before="120" w:beforeLines="50" w:line="400" w:lineRule="exact"/>
        <w:rPr>
          <w:rFonts w:hint="eastAsia" w:ascii="幼圆" w:hAnsi="幼圆" w:eastAsia="幼圆" w:cs="幼圆"/>
          <w:highlight w:val="none"/>
        </w:rPr>
      </w:pPr>
      <w:r>
        <w:rPr>
          <w:rFonts w:hint="eastAsia" w:ascii="幼圆" w:hAnsi="幼圆" w:eastAsia="幼圆" w:cs="幼圆"/>
          <w:highlight w:val="none"/>
        </w:rPr>
        <w:t>项目编号：                            包号：</w:t>
      </w:r>
    </w:p>
    <w:p>
      <w:pPr>
        <w:snapToGrid w:val="0"/>
        <w:spacing w:after="120" w:afterLines="50" w:line="400" w:lineRule="exact"/>
        <w:rPr>
          <w:rFonts w:hint="eastAsia" w:ascii="幼圆" w:hAnsi="幼圆" w:eastAsia="幼圆" w:cs="幼圆"/>
          <w:highlight w:val="none"/>
          <w:u w:val="single"/>
        </w:rPr>
      </w:pPr>
      <w:r>
        <w:rPr>
          <w:rFonts w:hint="eastAsia" w:ascii="幼圆" w:hAnsi="幼圆" w:eastAsia="幼圆" w:cs="幼圆"/>
          <w:highlight w:val="none"/>
        </w:rPr>
        <w:t>项目名称：</w:t>
      </w:r>
    </w:p>
    <w:tbl>
      <w:tblPr>
        <w:tblStyle w:val="35"/>
        <w:tblW w:w="850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2977"/>
        <w:gridCol w:w="2586"/>
        <w:gridCol w:w="166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Borders>
              <w:top w:val="double" w:color="auto" w:sz="4" w:space="0"/>
            </w:tcBorders>
            <w:vAlign w:val="center"/>
          </w:tcPr>
          <w:p>
            <w:pPr>
              <w:snapToGrid w:val="0"/>
              <w:spacing w:line="400" w:lineRule="exact"/>
              <w:jc w:val="center"/>
              <w:textAlignment w:val="auto"/>
              <w:rPr>
                <w:rFonts w:hint="eastAsia" w:ascii="幼圆" w:hAnsi="幼圆" w:eastAsia="幼圆" w:cs="幼圆"/>
                <w:highlight w:val="none"/>
              </w:rPr>
            </w:pPr>
            <w:r>
              <w:rPr>
                <w:rFonts w:hint="eastAsia" w:ascii="幼圆" w:hAnsi="幼圆" w:eastAsia="幼圆" w:cs="幼圆"/>
                <w:highlight w:val="none"/>
              </w:rPr>
              <w:t>招标文件条目号</w:t>
            </w:r>
          </w:p>
        </w:tc>
        <w:tc>
          <w:tcPr>
            <w:tcW w:w="2977" w:type="dxa"/>
            <w:tcBorders>
              <w:top w:val="double" w:color="auto" w:sz="4" w:space="0"/>
            </w:tcBorders>
            <w:vAlign w:val="center"/>
          </w:tcPr>
          <w:p>
            <w:pPr>
              <w:snapToGrid w:val="0"/>
              <w:spacing w:line="400" w:lineRule="exact"/>
              <w:jc w:val="center"/>
              <w:textAlignment w:val="auto"/>
              <w:rPr>
                <w:rFonts w:hint="eastAsia" w:ascii="幼圆" w:hAnsi="幼圆" w:eastAsia="幼圆" w:cs="幼圆"/>
                <w:highlight w:val="none"/>
              </w:rPr>
            </w:pPr>
            <w:r>
              <w:rPr>
                <w:rFonts w:hint="eastAsia" w:ascii="幼圆" w:hAnsi="幼圆" w:eastAsia="幼圆" w:cs="幼圆"/>
                <w:highlight w:val="none"/>
              </w:rPr>
              <w:t>招标文件采购需求的内容与数值</w:t>
            </w:r>
          </w:p>
        </w:tc>
        <w:tc>
          <w:tcPr>
            <w:tcW w:w="2586" w:type="dxa"/>
            <w:tcBorders>
              <w:top w:val="double" w:color="auto" w:sz="4" w:space="0"/>
            </w:tcBorders>
            <w:vAlign w:val="center"/>
          </w:tcPr>
          <w:p>
            <w:pPr>
              <w:snapToGrid w:val="0"/>
              <w:spacing w:line="400" w:lineRule="exact"/>
              <w:jc w:val="center"/>
              <w:textAlignment w:val="auto"/>
              <w:rPr>
                <w:rFonts w:hint="eastAsia" w:ascii="幼圆" w:hAnsi="幼圆" w:eastAsia="幼圆" w:cs="幼圆"/>
                <w:highlight w:val="none"/>
              </w:rPr>
            </w:pPr>
            <w:r>
              <w:rPr>
                <w:rFonts w:hint="eastAsia" w:ascii="幼圆" w:hAnsi="幼圆" w:eastAsia="幼圆" w:cs="幼圆"/>
                <w:highlight w:val="none"/>
              </w:rPr>
              <w:t>投标人的采购需求响应内容与数值</w:t>
            </w:r>
          </w:p>
        </w:tc>
        <w:tc>
          <w:tcPr>
            <w:tcW w:w="1666" w:type="dxa"/>
            <w:tcBorders>
              <w:top w:val="double" w:color="auto" w:sz="4" w:space="0"/>
            </w:tcBorders>
            <w:vAlign w:val="center"/>
          </w:tcPr>
          <w:p>
            <w:pPr>
              <w:snapToGrid w:val="0"/>
              <w:spacing w:line="400" w:lineRule="exact"/>
              <w:jc w:val="center"/>
              <w:textAlignment w:val="auto"/>
              <w:rPr>
                <w:rFonts w:hint="eastAsia" w:ascii="幼圆" w:hAnsi="幼圆" w:eastAsia="幼圆" w:cs="幼圆"/>
                <w:highlight w:val="none"/>
              </w:rPr>
            </w:pPr>
            <w:r>
              <w:rPr>
                <w:rFonts w:hint="eastAsia" w:ascii="幼圆" w:hAnsi="幼圆" w:eastAsia="幼圆" w:cs="幼圆"/>
                <w:highlight w:val="none"/>
              </w:rPr>
              <w:t>偏差说明</w:t>
            </w:r>
          </w:p>
          <w:p>
            <w:pPr>
              <w:snapToGrid w:val="0"/>
              <w:spacing w:line="400" w:lineRule="exact"/>
              <w:jc w:val="center"/>
              <w:textAlignment w:val="auto"/>
              <w:rPr>
                <w:rFonts w:hint="eastAsia" w:ascii="幼圆" w:hAnsi="幼圆" w:eastAsia="幼圆" w:cs="幼圆"/>
                <w:highlight w:val="none"/>
              </w:rPr>
            </w:pPr>
            <w:r>
              <w:rPr>
                <w:rFonts w:hint="eastAsia" w:ascii="幼圆" w:hAnsi="幼圆" w:eastAsia="幼圆" w:cs="幼圆"/>
                <w:highlight w:val="none"/>
              </w:rPr>
              <w:t>（是否偏离/满足）</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eastAsia" w:ascii="幼圆" w:hAnsi="幼圆" w:eastAsia="幼圆" w:cs="幼圆"/>
                <w:highlight w:val="none"/>
              </w:rPr>
            </w:pPr>
          </w:p>
        </w:tc>
        <w:tc>
          <w:tcPr>
            <w:tcW w:w="2977" w:type="dxa"/>
          </w:tcPr>
          <w:p>
            <w:pPr>
              <w:snapToGrid w:val="0"/>
              <w:spacing w:line="400" w:lineRule="exact"/>
              <w:jc w:val="both"/>
              <w:textAlignment w:val="auto"/>
              <w:rPr>
                <w:rFonts w:hint="eastAsia" w:ascii="幼圆" w:hAnsi="幼圆" w:eastAsia="幼圆" w:cs="幼圆"/>
                <w:highlight w:val="none"/>
              </w:rPr>
            </w:pPr>
          </w:p>
        </w:tc>
        <w:tc>
          <w:tcPr>
            <w:tcW w:w="2586" w:type="dxa"/>
          </w:tcPr>
          <w:p>
            <w:pPr>
              <w:snapToGrid w:val="0"/>
              <w:spacing w:line="400" w:lineRule="exact"/>
              <w:jc w:val="both"/>
              <w:textAlignment w:val="auto"/>
              <w:rPr>
                <w:rFonts w:hint="eastAsia" w:ascii="幼圆" w:hAnsi="幼圆" w:eastAsia="幼圆" w:cs="幼圆"/>
                <w:highlight w:val="none"/>
              </w:rPr>
            </w:pPr>
          </w:p>
        </w:tc>
        <w:tc>
          <w:tcPr>
            <w:tcW w:w="1666" w:type="dxa"/>
          </w:tcPr>
          <w:p>
            <w:pPr>
              <w:snapToGrid w:val="0"/>
              <w:spacing w:line="400" w:lineRule="exact"/>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eastAsia" w:ascii="幼圆" w:hAnsi="幼圆" w:eastAsia="幼圆" w:cs="幼圆"/>
                <w:highlight w:val="none"/>
              </w:rPr>
            </w:pPr>
          </w:p>
        </w:tc>
        <w:tc>
          <w:tcPr>
            <w:tcW w:w="2977" w:type="dxa"/>
          </w:tcPr>
          <w:p>
            <w:pPr>
              <w:snapToGrid w:val="0"/>
              <w:spacing w:line="400" w:lineRule="exact"/>
              <w:jc w:val="both"/>
              <w:textAlignment w:val="auto"/>
              <w:rPr>
                <w:rFonts w:hint="eastAsia" w:ascii="幼圆" w:hAnsi="幼圆" w:eastAsia="幼圆" w:cs="幼圆"/>
                <w:highlight w:val="none"/>
              </w:rPr>
            </w:pPr>
          </w:p>
        </w:tc>
        <w:tc>
          <w:tcPr>
            <w:tcW w:w="2586" w:type="dxa"/>
          </w:tcPr>
          <w:p>
            <w:pPr>
              <w:snapToGrid w:val="0"/>
              <w:spacing w:line="400" w:lineRule="exact"/>
              <w:jc w:val="both"/>
              <w:textAlignment w:val="auto"/>
              <w:rPr>
                <w:rFonts w:hint="eastAsia" w:ascii="幼圆" w:hAnsi="幼圆" w:eastAsia="幼圆" w:cs="幼圆"/>
                <w:highlight w:val="none"/>
              </w:rPr>
            </w:pPr>
          </w:p>
        </w:tc>
        <w:tc>
          <w:tcPr>
            <w:tcW w:w="1666" w:type="dxa"/>
          </w:tcPr>
          <w:p>
            <w:pPr>
              <w:snapToGrid w:val="0"/>
              <w:spacing w:line="400" w:lineRule="exact"/>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eastAsia" w:ascii="幼圆" w:hAnsi="幼圆" w:eastAsia="幼圆" w:cs="幼圆"/>
                <w:highlight w:val="none"/>
              </w:rPr>
            </w:pPr>
          </w:p>
        </w:tc>
        <w:tc>
          <w:tcPr>
            <w:tcW w:w="2977" w:type="dxa"/>
          </w:tcPr>
          <w:p>
            <w:pPr>
              <w:snapToGrid w:val="0"/>
              <w:spacing w:line="400" w:lineRule="exact"/>
              <w:jc w:val="both"/>
              <w:textAlignment w:val="auto"/>
              <w:rPr>
                <w:rFonts w:hint="eastAsia" w:ascii="幼圆" w:hAnsi="幼圆" w:eastAsia="幼圆" w:cs="幼圆"/>
                <w:highlight w:val="none"/>
              </w:rPr>
            </w:pPr>
          </w:p>
        </w:tc>
        <w:tc>
          <w:tcPr>
            <w:tcW w:w="2586" w:type="dxa"/>
          </w:tcPr>
          <w:p>
            <w:pPr>
              <w:snapToGrid w:val="0"/>
              <w:spacing w:line="400" w:lineRule="exact"/>
              <w:jc w:val="both"/>
              <w:textAlignment w:val="auto"/>
              <w:rPr>
                <w:rFonts w:hint="eastAsia" w:ascii="幼圆" w:hAnsi="幼圆" w:eastAsia="幼圆" w:cs="幼圆"/>
                <w:highlight w:val="none"/>
              </w:rPr>
            </w:pPr>
          </w:p>
        </w:tc>
        <w:tc>
          <w:tcPr>
            <w:tcW w:w="1666" w:type="dxa"/>
          </w:tcPr>
          <w:p>
            <w:pPr>
              <w:snapToGrid w:val="0"/>
              <w:spacing w:line="400" w:lineRule="exact"/>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400" w:lineRule="exact"/>
              <w:jc w:val="both"/>
              <w:textAlignment w:val="auto"/>
              <w:rPr>
                <w:rFonts w:hint="eastAsia" w:ascii="幼圆" w:hAnsi="幼圆" w:eastAsia="幼圆" w:cs="幼圆"/>
                <w:highlight w:val="none"/>
              </w:rPr>
            </w:pPr>
          </w:p>
        </w:tc>
        <w:tc>
          <w:tcPr>
            <w:tcW w:w="2977" w:type="dxa"/>
          </w:tcPr>
          <w:p>
            <w:pPr>
              <w:snapToGrid w:val="0"/>
              <w:spacing w:line="400" w:lineRule="exact"/>
              <w:jc w:val="both"/>
              <w:textAlignment w:val="auto"/>
              <w:rPr>
                <w:rFonts w:hint="eastAsia" w:ascii="幼圆" w:hAnsi="幼圆" w:eastAsia="幼圆" w:cs="幼圆"/>
                <w:highlight w:val="none"/>
              </w:rPr>
            </w:pPr>
          </w:p>
        </w:tc>
        <w:tc>
          <w:tcPr>
            <w:tcW w:w="2586" w:type="dxa"/>
          </w:tcPr>
          <w:p>
            <w:pPr>
              <w:snapToGrid w:val="0"/>
              <w:spacing w:line="400" w:lineRule="exact"/>
              <w:jc w:val="both"/>
              <w:textAlignment w:val="auto"/>
              <w:rPr>
                <w:rFonts w:hint="eastAsia" w:ascii="幼圆" w:hAnsi="幼圆" w:eastAsia="幼圆" w:cs="幼圆"/>
                <w:highlight w:val="none"/>
              </w:rPr>
            </w:pPr>
          </w:p>
        </w:tc>
        <w:tc>
          <w:tcPr>
            <w:tcW w:w="1666" w:type="dxa"/>
          </w:tcPr>
          <w:p>
            <w:pPr>
              <w:snapToGrid w:val="0"/>
              <w:spacing w:line="400" w:lineRule="exact"/>
              <w:jc w:val="both"/>
              <w:textAlignment w:val="auto"/>
              <w:rPr>
                <w:rFonts w:hint="eastAsia" w:ascii="幼圆" w:hAnsi="幼圆" w:eastAsia="幼圆" w:cs="幼圆"/>
                <w:highlight w:val="none"/>
              </w:rPr>
            </w:pPr>
          </w:p>
        </w:tc>
      </w:tr>
    </w:tbl>
    <w:p>
      <w:pPr>
        <w:snapToGrid w:val="0"/>
        <w:spacing w:line="400" w:lineRule="exact"/>
        <w:ind w:left="540" w:hanging="495" w:hangingChars="225"/>
        <w:rPr>
          <w:rFonts w:hint="eastAsia" w:ascii="幼圆" w:hAnsi="幼圆" w:eastAsia="幼圆" w:cs="幼圆"/>
          <w:highlight w:val="none"/>
        </w:rPr>
      </w:pPr>
    </w:p>
    <w:p>
      <w:pPr>
        <w:snapToGrid w:val="0"/>
        <w:spacing w:line="400" w:lineRule="exact"/>
        <w:ind w:firstLine="440" w:firstLineChars="200"/>
        <w:rPr>
          <w:rFonts w:hint="eastAsia" w:ascii="幼圆" w:hAnsi="幼圆" w:eastAsia="幼圆" w:cs="幼圆"/>
          <w:highlight w:val="none"/>
        </w:rPr>
      </w:pPr>
      <w:r>
        <w:rPr>
          <w:rFonts w:hint="eastAsia" w:ascii="幼圆" w:hAnsi="幼圆" w:eastAsia="幼圆" w:cs="幼圆"/>
          <w:highlight w:val="none"/>
        </w:rPr>
        <w:t>注：1.投标人应对招标文件第三章采购需求要求的内容给予逐条响应，以投标服务所能达到的内容予以填写，而不应复印采购需求作为响应内容，有具体需求的应填写具体要求。</w:t>
      </w:r>
    </w:p>
    <w:p>
      <w:pPr>
        <w:snapToGrid w:val="0"/>
        <w:spacing w:line="400" w:lineRule="exact"/>
        <w:ind w:firstLine="440" w:firstLineChars="200"/>
        <w:rPr>
          <w:rFonts w:hint="eastAsia" w:ascii="幼圆" w:hAnsi="幼圆" w:eastAsia="幼圆" w:cs="幼圆"/>
          <w:highlight w:val="none"/>
        </w:rPr>
      </w:pPr>
      <w:r>
        <w:rPr>
          <w:rFonts w:hint="eastAsia" w:ascii="幼圆" w:hAnsi="幼圆" w:eastAsia="幼圆" w:cs="幼圆"/>
          <w:highlight w:val="none"/>
        </w:rPr>
        <w:tab/>
      </w:r>
      <w:r>
        <w:rPr>
          <w:rFonts w:hint="eastAsia" w:ascii="幼圆" w:hAnsi="幼圆" w:eastAsia="幼圆" w:cs="幼圆"/>
          <w:highlight w:val="none"/>
        </w:rPr>
        <w:t>2. 偏差说明处：技术、服务内容满足招标文件相应要求填写：“满足招标文件要求”、或“无偏离”；技术、服务内容不满足招标文件相应要求填写：“不满足招标文件要求”或“负偏离”。</w:t>
      </w:r>
    </w:p>
    <w:p>
      <w:pPr>
        <w:snapToGrid w:val="0"/>
        <w:spacing w:line="400" w:lineRule="exact"/>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投标人名称：（单位公章）</w:t>
      </w:r>
    </w:p>
    <w:p>
      <w:pPr>
        <w:snapToGrid w:val="0"/>
        <w:spacing w:line="400" w:lineRule="exact"/>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法定代表人或授权代表：（签字）</w:t>
      </w:r>
    </w:p>
    <w:p>
      <w:pPr>
        <w:snapToGrid w:val="0"/>
        <w:spacing w:line="400" w:lineRule="exact"/>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日期：</w:t>
      </w:r>
    </w:p>
    <w:p>
      <w:pPr>
        <w:rPr>
          <w:rFonts w:hint="eastAsia" w:ascii="幼圆" w:hAnsi="幼圆" w:eastAsia="幼圆" w:cs="幼圆"/>
          <w:lang w:val="en-US" w:eastAsia="zh-CN"/>
        </w:rPr>
      </w:pPr>
      <w:r>
        <w:rPr>
          <w:rFonts w:hint="eastAsia" w:ascii="幼圆" w:hAnsi="幼圆" w:eastAsia="幼圆" w:cs="幼圆"/>
          <w:lang w:val="en-US" w:eastAsia="zh-CN"/>
        </w:rPr>
        <w:br w:type="page"/>
      </w:r>
    </w:p>
    <w:p>
      <w:pPr>
        <w:snapToGrid w:val="0"/>
        <w:spacing w:line="400" w:lineRule="exact"/>
        <w:textAlignment w:val="auto"/>
        <w:outlineLvl w:val="0"/>
        <w:rPr>
          <w:rFonts w:hint="eastAsia" w:ascii="幼圆" w:hAnsi="幼圆" w:eastAsia="幼圆" w:cs="幼圆"/>
          <w:b/>
          <w:szCs w:val="20"/>
          <w:highlight w:val="none"/>
          <w:lang w:val="en-US" w:eastAsia="zh-CN"/>
        </w:rPr>
      </w:pPr>
      <w:r>
        <w:rPr>
          <w:rFonts w:hint="eastAsia" w:ascii="幼圆" w:hAnsi="幼圆" w:eastAsia="幼圆" w:cs="幼圆"/>
          <w:b/>
          <w:szCs w:val="20"/>
          <w:highlight w:val="none"/>
          <w:lang w:val="en-US" w:eastAsia="zh-CN"/>
        </w:rPr>
        <w:t>附件</w:t>
      </w:r>
    </w:p>
    <w:p>
      <w:pPr>
        <w:widowControl/>
        <w:tabs>
          <w:tab w:val="left" w:pos="1620"/>
          <w:tab w:val="left" w:pos="1680"/>
        </w:tabs>
        <w:snapToGrid w:val="0"/>
        <w:spacing w:line="500" w:lineRule="exact"/>
        <w:ind w:left="720"/>
        <w:jc w:val="center"/>
        <w:textAlignment w:val="auto"/>
        <w:rPr>
          <w:rFonts w:hint="eastAsia" w:ascii="幼圆" w:hAnsi="幼圆" w:eastAsia="幼圆" w:cs="幼圆"/>
          <w:caps/>
          <w:sz w:val="36"/>
          <w:szCs w:val="36"/>
          <w:highlight w:val="none"/>
        </w:rPr>
      </w:pPr>
      <w:r>
        <w:rPr>
          <w:rFonts w:hint="eastAsia" w:ascii="幼圆" w:hAnsi="幼圆" w:eastAsia="幼圆" w:cs="幼圆"/>
          <w:caps/>
          <w:sz w:val="36"/>
          <w:szCs w:val="36"/>
          <w:highlight w:val="none"/>
        </w:rPr>
        <w:t>中小企业声明函（服务）</w:t>
      </w: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36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本公司（联合体）郑重声明，根据《政府采购促进中小企业发展管理办法》（财库﹝2020﹞46 号）的规定，本公司 （联合体）参加</w:t>
      </w:r>
      <w:r>
        <w:rPr>
          <w:rFonts w:hint="eastAsia" w:ascii="幼圆" w:hAnsi="幼圆" w:eastAsia="幼圆" w:cs="幼圆"/>
          <w:highlight w:val="none"/>
          <w:u w:val="single"/>
        </w:rPr>
        <w:t>（单位名称）</w:t>
      </w:r>
      <w:r>
        <w:rPr>
          <w:rFonts w:hint="eastAsia" w:ascii="幼圆" w:hAnsi="幼圆" w:eastAsia="幼圆" w:cs="幼圆"/>
          <w:highlight w:val="none"/>
        </w:rPr>
        <w:t>的</w:t>
      </w:r>
      <w:r>
        <w:rPr>
          <w:rFonts w:hint="eastAsia" w:ascii="幼圆" w:hAnsi="幼圆" w:eastAsia="幼圆" w:cs="幼圆"/>
          <w:highlight w:val="none"/>
          <w:u w:val="single"/>
        </w:rPr>
        <w:t>（项目名称）</w:t>
      </w:r>
      <w:r>
        <w:rPr>
          <w:rFonts w:hint="eastAsia" w:ascii="幼圆" w:hAnsi="幼圆" w:eastAsia="幼圆" w:cs="幼圆"/>
          <w:highlight w:val="none"/>
        </w:rPr>
        <w:t xml:space="preserve">采购活动，服务全部由符合政策要求的中小企业承接。相关企业（含联合体中的中小企业、签订分包意向协议的中小企业）的具体情况如下： </w:t>
      </w:r>
    </w:p>
    <w:p>
      <w:pPr>
        <w:widowControl/>
        <w:shd w:val="clear" w:color="auto" w:fill="FFFFFF"/>
        <w:adjustRightInd/>
        <w:spacing w:line="36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1.</w:t>
      </w:r>
      <w:bookmarkStart w:id="6" w:name="_Hlk61596022"/>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bookmarkEnd w:id="6"/>
      <w:r>
        <w:rPr>
          <w:rFonts w:hint="eastAsia" w:ascii="幼圆" w:hAnsi="幼圆" w:eastAsia="幼圆" w:cs="幼圆"/>
          <w:highlight w:val="none"/>
        </w:rPr>
        <w:t xml:space="preserve">； </w:t>
      </w:r>
    </w:p>
    <w:p>
      <w:pPr>
        <w:widowControl/>
        <w:shd w:val="clear" w:color="auto" w:fill="FFFFFF"/>
        <w:adjustRightInd/>
        <w:spacing w:line="36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2.</w:t>
      </w:r>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r>
        <w:rPr>
          <w:rFonts w:hint="eastAsia" w:ascii="幼圆" w:hAnsi="幼圆" w:eastAsia="幼圆" w:cs="幼圆"/>
          <w:highlight w:val="none"/>
        </w:rPr>
        <w:t xml:space="preserve">； </w:t>
      </w:r>
    </w:p>
    <w:p>
      <w:pPr>
        <w:widowControl/>
        <w:shd w:val="clear" w:color="auto" w:fill="FFFFFF"/>
        <w:adjustRightInd/>
        <w:spacing w:line="36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 </w:t>
      </w:r>
    </w:p>
    <w:p>
      <w:pPr>
        <w:widowControl/>
        <w:shd w:val="clear" w:color="auto" w:fill="FFFFFF"/>
        <w:adjustRightInd/>
        <w:spacing w:line="36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以上企业，不属于大企业的分支机构，不存在控股股东为大企业的情形，也不存在与大企业的负责人为同一人的情形。本企业对上述声明内容的真实性负责。如有虚假，将依法承担相应责任。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企业名称（盖章）：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日 期：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adjustRightInd/>
        <w:spacing w:before="100" w:beforeAutospacing="1" w:after="100" w:afterAutospacing="1" w:line="240" w:lineRule="auto"/>
        <w:ind w:left="360"/>
        <w:contextualSpacing/>
        <w:textAlignment w:val="auto"/>
        <w:rPr>
          <w:rFonts w:hint="eastAsia" w:ascii="幼圆" w:hAnsi="幼圆" w:eastAsia="幼圆" w:cs="幼圆"/>
          <w:highlight w:val="none"/>
        </w:rPr>
      </w:pPr>
      <w:r>
        <w:rPr>
          <w:rFonts w:hint="eastAsia" w:ascii="幼圆" w:hAnsi="幼圆" w:eastAsia="幼圆" w:cs="幼圆"/>
          <w:highlight w:val="none"/>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166370</wp:posOffset>
                </wp:positionV>
                <wp:extent cx="2232660" cy="0"/>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2232660" cy="0"/>
                        </a:xfrm>
                        <a:prstGeom prst="line">
                          <a:avLst/>
                        </a:prstGeom>
                        <a:noFill/>
                        <a:ln w="6350">
                          <a:solidFill>
                            <a:srgbClr val="4F81BD"/>
                          </a:solidFill>
                          <a:miter lim="800000"/>
                        </a:ln>
                        <a:effectLst/>
                      </wps:spPr>
                      <wps:bodyPr/>
                    </wps:wsp>
                  </a:graphicData>
                </a:graphic>
              </wp:anchor>
            </w:drawing>
          </mc:Choice>
          <mc:Fallback>
            <w:pict>
              <v:line id="直接连接符 1" o:spid="_x0000_s1026" o:spt="20" style="position:absolute;left:0pt;margin-left:18pt;margin-top:13.1pt;height:0pt;width:175.8pt;z-index:251659264;mso-width-relative:page;mso-height-relative:page;" filled="f" stroked="t" coordsize="21600,21600" o:gfxdata="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HVzKtkAAAAIAQAADwAAAAAAAAABACAAAAAiAAAAZHJzL2Rvd25yZXYueG1sUEsB&#10;AhQAFAAAAAgAh07iQBQxWnH0AQAAxQMAAA4AAAAAAAAAAQAgAAAAKAEAAGRycy9lMm9Eb2MueG1s&#10;UEsFBgAAAAAGAAYAWQEAAI4FAAAAAA==&#10;">
                <v:fill on="f" focussize="0,0"/>
                <v:stroke weight="0.5pt" color="#4F81BD" miterlimit="8" joinstyle="miter"/>
                <v:imagedata o:title=""/>
                <o:lock v:ext="edit" aspectratio="f"/>
              </v:line>
            </w:pict>
          </mc:Fallback>
        </mc:AlternateConten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注：从业人员、营业收入、资产总额填报上一年度数据，无上一年度数据的新成立企业可不填报。</w:t>
      </w:r>
    </w:p>
    <w:p>
      <w:pPr>
        <w:pStyle w:val="3"/>
        <w:rPr>
          <w:rFonts w:hint="eastAsia" w:ascii="幼圆" w:hAnsi="幼圆" w:eastAsia="幼圆" w:cs="幼圆"/>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71C912"/>
    <w:multiLevelType w:val="singleLevel"/>
    <w:tmpl w:val="9071C912"/>
    <w:lvl w:ilvl="0" w:tentative="0">
      <w:start w:val="2"/>
      <w:numFmt w:val="decimal"/>
      <w:suff w:val="nothing"/>
      <w:lvlText w:val="（%1）"/>
      <w:lvlJc w:val="left"/>
    </w:lvl>
  </w:abstractNum>
  <w:abstractNum w:abstractNumId="1">
    <w:nsid w:val="B801158A"/>
    <w:multiLevelType w:val="singleLevel"/>
    <w:tmpl w:val="B801158A"/>
    <w:lvl w:ilvl="0" w:tentative="0">
      <w:start w:val="2"/>
      <w:numFmt w:val="chineseCounting"/>
      <w:suff w:val="nothing"/>
      <w:lvlText w:val="%1、"/>
      <w:lvlJc w:val="left"/>
      <w:rPr>
        <w:rFonts w:hint="eastAsia"/>
      </w:rPr>
    </w:lvl>
  </w:abstractNum>
  <w:abstractNum w:abstractNumId="2">
    <w:nsid w:val="FFFFFF7E"/>
    <w:multiLevelType w:val="singleLevel"/>
    <w:tmpl w:val="FFFFFF7E"/>
    <w:lvl w:ilvl="0" w:tentative="0">
      <w:start w:val="1"/>
      <w:numFmt w:val="decimal"/>
      <w:pStyle w:val="23"/>
      <w:lvlText w:val="%1."/>
      <w:lvlJc w:val="left"/>
      <w:pPr>
        <w:tabs>
          <w:tab w:val="left" w:pos="1080"/>
        </w:tabs>
        <w:ind w:left="1080" w:hanging="360"/>
      </w:pPr>
    </w:lvl>
  </w:abstractNum>
  <w:abstractNum w:abstractNumId="3">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4">
    <w:nsid w:val="FFFFFF82"/>
    <w:multiLevelType w:val="singleLevel"/>
    <w:tmpl w:val="FFFFFF82"/>
    <w:lvl w:ilvl="0" w:tentative="0">
      <w:start w:val="1"/>
      <w:numFmt w:val="bullet"/>
      <w:pStyle w:val="21"/>
      <w:lvlText w:val=""/>
      <w:lvlJc w:val="left"/>
      <w:pPr>
        <w:tabs>
          <w:tab w:val="left" w:pos="1080"/>
        </w:tabs>
        <w:ind w:left="1080" w:hanging="360"/>
      </w:pPr>
      <w:rPr>
        <w:rFonts w:hint="default" w:ascii="Symbol" w:hAnsi="Symbol"/>
      </w:rPr>
    </w:lvl>
  </w:abstractNum>
  <w:abstractNum w:abstractNumId="5">
    <w:nsid w:val="FFFFFF83"/>
    <w:multiLevelType w:val="singleLevel"/>
    <w:tmpl w:val="FFFFFF83"/>
    <w:lvl w:ilvl="0" w:tentative="0">
      <w:start w:val="1"/>
      <w:numFmt w:val="bullet"/>
      <w:pStyle w:val="26"/>
      <w:lvlText w:val=""/>
      <w:lvlJc w:val="left"/>
      <w:pPr>
        <w:tabs>
          <w:tab w:val="left" w:pos="720"/>
        </w:tabs>
        <w:ind w:left="720" w:hanging="360"/>
      </w:pPr>
      <w:rPr>
        <w:rFonts w:hint="default" w:ascii="Symbol" w:hAnsi="Symbol"/>
      </w:rPr>
    </w:lvl>
  </w:abstractNum>
  <w:abstractNum w:abstractNumId="6">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7">
    <w:nsid w:val="FFFFFF89"/>
    <w:multiLevelType w:val="singleLevel"/>
    <w:tmpl w:val="FFFFFF89"/>
    <w:lvl w:ilvl="0" w:tentative="0">
      <w:start w:val="1"/>
      <w:numFmt w:val="bullet"/>
      <w:pStyle w:val="18"/>
      <w:lvlText w:val=""/>
      <w:lvlJc w:val="left"/>
      <w:pPr>
        <w:tabs>
          <w:tab w:val="left" w:pos="360"/>
        </w:tabs>
        <w:ind w:left="360" w:hanging="360"/>
      </w:pPr>
      <w:rPr>
        <w:rFonts w:hint="default" w:ascii="Symbol" w:hAnsi="Symbol"/>
      </w:rPr>
    </w:lvl>
  </w:abstractNum>
  <w:abstractNum w:abstractNumId="8">
    <w:nsid w:val="1FF2635C"/>
    <w:multiLevelType w:val="singleLevel"/>
    <w:tmpl w:val="1FF2635C"/>
    <w:lvl w:ilvl="0" w:tentative="0">
      <w:start w:val="1"/>
      <w:numFmt w:val="decimal"/>
      <w:suff w:val="nothing"/>
      <w:lvlText w:val="%1、"/>
      <w:lvlJc w:val="left"/>
    </w:lvl>
  </w:abstractNum>
  <w:abstractNum w:abstractNumId="9">
    <w:nsid w:val="433F00E0"/>
    <w:multiLevelType w:val="multilevel"/>
    <w:tmpl w:val="433F00E0"/>
    <w:lvl w:ilvl="0" w:tentative="0">
      <w:start w:val="1"/>
      <w:numFmt w:val="decimal"/>
      <w:pStyle w:val="172"/>
      <w:suff w:val="nothing"/>
      <w:lvlText w:val="（%1）"/>
      <w:lvlJc w:val="left"/>
      <w:pPr>
        <w:ind w:left="1413"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6"/>
  </w:num>
  <w:num w:numId="3">
    <w:abstractNumId w:val="7"/>
  </w:num>
  <w:num w:numId="4">
    <w:abstractNumId w:val="4"/>
  </w:num>
  <w:num w:numId="5">
    <w:abstractNumId w:val="2"/>
  </w:num>
  <w:num w:numId="6">
    <w:abstractNumId w:val="5"/>
  </w:num>
  <w:num w:numId="7">
    <w:abstractNumId w:val="9"/>
  </w:num>
  <w:num w:numId="8">
    <w:abstractNumId w:val="1"/>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5F224A"/>
    <w:rsid w:val="008369C7"/>
    <w:rsid w:val="00AA1D8D"/>
    <w:rsid w:val="00B47730"/>
    <w:rsid w:val="00CB0664"/>
    <w:rsid w:val="00FC693F"/>
    <w:rsid w:val="015A556D"/>
    <w:rsid w:val="039B035C"/>
    <w:rsid w:val="03DC6164"/>
    <w:rsid w:val="04BF5B95"/>
    <w:rsid w:val="05B922DB"/>
    <w:rsid w:val="06247180"/>
    <w:rsid w:val="08CA0C86"/>
    <w:rsid w:val="0ADE0A96"/>
    <w:rsid w:val="0B9760F9"/>
    <w:rsid w:val="0F553938"/>
    <w:rsid w:val="113329E6"/>
    <w:rsid w:val="117F262B"/>
    <w:rsid w:val="12A90D4E"/>
    <w:rsid w:val="12C56763"/>
    <w:rsid w:val="12EA542F"/>
    <w:rsid w:val="15901876"/>
    <w:rsid w:val="1990077F"/>
    <w:rsid w:val="19EF4231"/>
    <w:rsid w:val="1BE71C78"/>
    <w:rsid w:val="1F3C1C4F"/>
    <w:rsid w:val="1F5F6D41"/>
    <w:rsid w:val="202408C8"/>
    <w:rsid w:val="205F522A"/>
    <w:rsid w:val="210C0BC6"/>
    <w:rsid w:val="229B3C09"/>
    <w:rsid w:val="22E24F49"/>
    <w:rsid w:val="24392B0D"/>
    <w:rsid w:val="24A75DD1"/>
    <w:rsid w:val="24AB1841"/>
    <w:rsid w:val="24F414B1"/>
    <w:rsid w:val="25D77D3F"/>
    <w:rsid w:val="26B26BA7"/>
    <w:rsid w:val="27372964"/>
    <w:rsid w:val="27BD3A55"/>
    <w:rsid w:val="2BE26EA2"/>
    <w:rsid w:val="2C5F3B91"/>
    <w:rsid w:val="2D056703"/>
    <w:rsid w:val="2DA44891"/>
    <w:rsid w:val="2F6E5F01"/>
    <w:rsid w:val="2FF57743"/>
    <w:rsid w:val="30286D46"/>
    <w:rsid w:val="31321010"/>
    <w:rsid w:val="313F5CD8"/>
    <w:rsid w:val="3225199F"/>
    <w:rsid w:val="335911B0"/>
    <w:rsid w:val="347B53E1"/>
    <w:rsid w:val="34813790"/>
    <w:rsid w:val="3543266F"/>
    <w:rsid w:val="35A3178F"/>
    <w:rsid w:val="35BA5B31"/>
    <w:rsid w:val="35C02C5D"/>
    <w:rsid w:val="374D3D49"/>
    <w:rsid w:val="377C3B60"/>
    <w:rsid w:val="381A7AE8"/>
    <w:rsid w:val="386E2923"/>
    <w:rsid w:val="39577622"/>
    <w:rsid w:val="397720D5"/>
    <w:rsid w:val="399036C4"/>
    <w:rsid w:val="3AA1560E"/>
    <w:rsid w:val="3D3FEA48"/>
    <w:rsid w:val="3DAB702F"/>
    <w:rsid w:val="3DBFD295"/>
    <w:rsid w:val="3DF35805"/>
    <w:rsid w:val="3E543B04"/>
    <w:rsid w:val="3E9B6EC4"/>
    <w:rsid w:val="3EBA3A53"/>
    <w:rsid w:val="40E40ADC"/>
    <w:rsid w:val="411538B7"/>
    <w:rsid w:val="41536D26"/>
    <w:rsid w:val="41BE02EE"/>
    <w:rsid w:val="41F027BE"/>
    <w:rsid w:val="43F67691"/>
    <w:rsid w:val="44DB5B25"/>
    <w:rsid w:val="455507B5"/>
    <w:rsid w:val="45A307A5"/>
    <w:rsid w:val="45A40BA1"/>
    <w:rsid w:val="45A73923"/>
    <w:rsid w:val="469F2EE7"/>
    <w:rsid w:val="47091014"/>
    <w:rsid w:val="4709160B"/>
    <w:rsid w:val="472B3D0B"/>
    <w:rsid w:val="476165B4"/>
    <w:rsid w:val="48153C8D"/>
    <w:rsid w:val="48482E26"/>
    <w:rsid w:val="4875046F"/>
    <w:rsid w:val="48D90193"/>
    <w:rsid w:val="491E21A3"/>
    <w:rsid w:val="49B06B72"/>
    <w:rsid w:val="49F927E9"/>
    <w:rsid w:val="4AEF402B"/>
    <w:rsid w:val="4C0D4686"/>
    <w:rsid w:val="4D5C393A"/>
    <w:rsid w:val="4E737776"/>
    <w:rsid w:val="4F884709"/>
    <w:rsid w:val="4FC375E6"/>
    <w:rsid w:val="502A0955"/>
    <w:rsid w:val="5257047F"/>
    <w:rsid w:val="529C7846"/>
    <w:rsid w:val="537D6985"/>
    <w:rsid w:val="53ED7FA3"/>
    <w:rsid w:val="548B5756"/>
    <w:rsid w:val="5656504D"/>
    <w:rsid w:val="56A9ACE5"/>
    <w:rsid w:val="574D52F6"/>
    <w:rsid w:val="57F124B8"/>
    <w:rsid w:val="5E4C798F"/>
    <w:rsid w:val="5F165949"/>
    <w:rsid w:val="5FEFBD42"/>
    <w:rsid w:val="62BB227D"/>
    <w:rsid w:val="63A6046B"/>
    <w:rsid w:val="64690EAB"/>
    <w:rsid w:val="678C0E2E"/>
    <w:rsid w:val="68860CA5"/>
    <w:rsid w:val="69281BE2"/>
    <w:rsid w:val="6A5C38C9"/>
    <w:rsid w:val="6BBC5FCE"/>
    <w:rsid w:val="6BD25936"/>
    <w:rsid w:val="6FBD2579"/>
    <w:rsid w:val="6FED3F9B"/>
    <w:rsid w:val="701139EA"/>
    <w:rsid w:val="703B2526"/>
    <w:rsid w:val="70712FCD"/>
    <w:rsid w:val="720472B3"/>
    <w:rsid w:val="72E4478C"/>
    <w:rsid w:val="755F72B5"/>
    <w:rsid w:val="75C51121"/>
    <w:rsid w:val="75DF8964"/>
    <w:rsid w:val="75F106A5"/>
    <w:rsid w:val="761942CF"/>
    <w:rsid w:val="773A2CDF"/>
    <w:rsid w:val="787B4E47"/>
    <w:rsid w:val="78EF290F"/>
    <w:rsid w:val="79EFCB93"/>
    <w:rsid w:val="7B1D2D88"/>
    <w:rsid w:val="7B4D01D8"/>
    <w:rsid w:val="7BBE4424"/>
    <w:rsid w:val="7C945BD0"/>
    <w:rsid w:val="7CE1176F"/>
    <w:rsid w:val="7DFB6C40"/>
    <w:rsid w:val="7E8A62A7"/>
    <w:rsid w:val="7EDEDA8C"/>
    <w:rsid w:val="7EE782B8"/>
    <w:rsid w:val="7F1BE675"/>
    <w:rsid w:val="7F7794D2"/>
    <w:rsid w:val="7F791B22"/>
    <w:rsid w:val="7F830290"/>
    <w:rsid w:val="7FB72751"/>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2"/>
      <w:szCs w:val="22"/>
      <w:lang w:val="en-US" w:eastAsia="en-US" w:bidi="ar-SA"/>
    </w:rPr>
  </w:style>
  <w:style w:type="paragraph" w:styleId="5">
    <w:name w:val="heading 1"/>
    <w:basedOn w:val="1"/>
    <w:next w:val="1"/>
    <w:link w:val="14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6">
    <w:name w:val="heading 2"/>
    <w:basedOn w:val="1"/>
    <w:next w:val="1"/>
    <w:link w:val="14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7">
    <w:name w:val="heading 3"/>
    <w:basedOn w:val="1"/>
    <w:next w:val="1"/>
    <w:link w:val="143"/>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8">
    <w:name w:val="heading 4"/>
    <w:basedOn w:val="1"/>
    <w:next w:val="1"/>
    <w:link w:val="153"/>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9">
    <w:name w:val="heading 5"/>
    <w:basedOn w:val="1"/>
    <w:next w:val="1"/>
    <w:link w:val="154"/>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10">
    <w:name w:val="heading 6"/>
    <w:basedOn w:val="1"/>
    <w:next w:val="1"/>
    <w:link w:val="155"/>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1">
    <w:name w:val="heading 7"/>
    <w:basedOn w:val="1"/>
    <w:next w:val="1"/>
    <w:link w:val="156"/>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157"/>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3">
    <w:name w:val="heading 9"/>
    <w:basedOn w:val="1"/>
    <w:next w:val="1"/>
    <w:link w:val="158"/>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5">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47"/>
    <w:unhideWhenUsed/>
    <w:qFormat/>
    <w:uiPriority w:val="99"/>
    <w:pPr>
      <w:spacing w:after="120"/>
    </w:pPr>
  </w:style>
  <w:style w:type="paragraph" w:styleId="3">
    <w:name w:val="Body Text 2"/>
    <w:basedOn w:val="1"/>
    <w:link w:val="148"/>
    <w:unhideWhenUsed/>
    <w:qFormat/>
    <w:uiPriority w:val="99"/>
    <w:pPr>
      <w:spacing w:after="120" w:line="480" w:lineRule="auto"/>
    </w:pPr>
  </w:style>
  <w:style w:type="paragraph" w:styleId="4">
    <w:name w:val="macro"/>
    <w:link w:val="150"/>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3"/>
    <w:basedOn w:val="1"/>
    <w:unhideWhenUsed/>
    <w:qFormat/>
    <w:uiPriority w:val="99"/>
    <w:pPr>
      <w:ind w:left="1080" w:hanging="360"/>
      <w:contextualSpacing/>
    </w:pPr>
  </w:style>
  <w:style w:type="paragraph" w:styleId="15">
    <w:name w:val="List Number 2"/>
    <w:basedOn w:val="1"/>
    <w:unhideWhenUsed/>
    <w:qFormat/>
    <w:uiPriority w:val="99"/>
    <w:pPr>
      <w:numPr>
        <w:ilvl w:val="0"/>
        <w:numId w:val="1"/>
      </w:numPr>
      <w:contextualSpacing/>
    </w:pPr>
  </w:style>
  <w:style w:type="paragraph" w:styleId="16">
    <w:name w:val="List Number"/>
    <w:basedOn w:val="1"/>
    <w:unhideWhenUsed/>
    <w:qFormat/>
    <w:uiPriority w:val="99"/>
    <w:pPr>
      <w:numPr>
        <w:ilvl w:val="0"/>
        <w:numId w:val="2"/>
      </w:numPr>
      <w:contextualSpacing/>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Bullet"/>
    <w:basedOn w:val="1"/>
    <w:unhideWhenUsed/>
    <w:qFormat/>
    <w:uiPriority w:val="99"/>
    <w:pPr>
      <w:numPr>
        <w:ilvl w:val="0"/>
        <w:numId w:val="3"/>
      </w:numPr>
      <w:contextualSpacing/>
    </w:pPr>
  </w:style>
  <w:style w:type="paragraph" w:styleId="19">
    <w:name w:val="annotation text"/>
    <w:basedOn w:val="1"/>
    <w:semiHidden/>
    <w:unhideWhenUsed/>
    <w:qFormat/>
    <w:uiPriority w:val="99"/>
    <w:pPr>
      <w:jc w:val="left"/>
    </w:pPr>
  </w:style>
  <w:style w:type="paragraph" w:styleId="20">
    <w:name w:val="Body Text 3"/>
    <w:basedOn w:val="1"/>
    <w:link w:val="149"/>
    <w:unhideWhenUsed/>
    <w:qFormat/>
    <w:uiPriority w:val="99"/>
    <w:pPr>
      <w:spacing w:after="120"/>
    </w:pPr>
    <w:rPr>
      <w:sz w:val="16"/>
      <w:szCs w:val="16"/>
    </w:rPr>
  </w:style>
  <w:style w:type="paragraph" w:styleId="21">
    <w:name w:val="List Bullet 3"/>
    <w:basedOn w:val="1"/>
    <w:unhideWhenUsed/>
    <w:qFormat/>
    <w:uiPriority w:val="99"/>
    <w:pPr>
      <w:numPr>
        <w:ilvl w:val="0"/>
        <w:numId w:val="4"/>
      </w:numPr>
      <w:contextualSpacing/>
    </w:pPr>
  </w:style>
  <w:style w:type="paragraph" w:styleId="22">
    <w:name w:val="Body Text Indent"/>
    <w:basedOn w:val="1"/>
    <w:unhideWhenUsed/>
    <w:qFormat/>
    <w:uiPriority w:val="99"/>
    <w:pPr>
      <w:spacing w:after="120"/>
      <w:ind w:left="420" w:leftChars="200"/>
    </w:pPr>
  </w:style>
  <w:style w:type="paragraph" w:styleId="23">
    <w:name w:val="List Number 3"/>
    <w:basedOn w:val="1"/>
    <w:unhideWhenUsed/>
    <w:qFormat/>
    <w:uiPriority w:val="99"/>
    <w:pPr>
      <w:numPr>
        <w:ilvl w:val="0"/>
        <w:numId w:val="5"/>
      </w:numPr>
      <w:contextualSpacing/>
    </w:pPr>
  </w:style>
  <w:style w:type="paragraph" w:styleId="24">
    <w:name w:val="List 2"/>
    <w:basedOn w:val="1"/>
    <w:unhideWhenUsed/>
    <w:qFormat/>
    <w:uiPriority w:val="99"/>
    <w:pPr>
      <w:ind w:left="720" w:hanging="360"/>
      <w:contextualSpacing/>
    </w:pPr>
  </w:style>
  <w:style w:type="paragraph" w:styleId="25">
    <w:name w:val="List Continue"/>
    <w:basedOn w:val="1"/>
    <w:unhideWhenUsed/>
    <w:qFormat/>
    <w:uiPriority w:val="99"/>
    <w:pPr>
      <w:spacing w:after="120"/>
      <w:ind w:left="360"/>
      <w:contextualSpacing/>
    </w:pPr>
  </w:style>
  <w:style w:type="paragraph" w:styleId="26">
    <w:name w:val="List Bullet 2"/>
    <w:basedOn w:val="1"/>
    <w:unhideWhenUsed/>
    <w:qFormat/>
    <w:uiPriority w:val="99"/>
    <w:pPr>
      <w:numPr>
        <w:ilvl w:val="0"/>
        <w:numId w:val="6"/>
      </w:numPr>
      <w:contextualSpacing/>
    </w:pPr>
  </w:style>
  <w:style w:type="paragraph" w:styleId="27">
    <w:name w:val="footer"/>
    <w:basedOn w:val="1"/>
    <w:link w:val="139"/>
    <w:unhideWhenUsed/>
    <w:qFormat/>
    <w:uiPriority w:val="99"/>
    <w:pPr>
      <w:tabs>
        <w:tab w:val="center" w:pos="4680"/>
        <w:tab w:val="right" w:pos="9360"/>
      </w:tabs>
      <w:spacing w:after="0" w:line="240" w:lineRule="auto"/>
    </w:pPr>
  </w:style>
  <w:style w:type="paragraph" w:styleId="28">
    <w:name w:val="header"/>
    <w:basedOn w:val="1"/>
    <w:link w:val="138"/>
    <w:unhideWhenUsed/>
    <w:qFormat/>
    <w:uiPriority w:val="99"/>
    <w:pPr>
      <w:tabs>
        <w:tab w:val="center" w:pos="4680"/>
        <w:tab w:val="right" w:pos="9360"/>
      </w:tabs>
      <w:spacing w:after="0" w:line="240" w:lineRule="auto"/>
    </w:pPr>
  </w:style>
  <w:style w:type="paragraph" w:styleId="29">
    <w:name w:val="Subtitle"/>
    <w:basedOn w:val="1"/>
    <w:next w:val="1"/>
    <w:link w:val="14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List"/>
    <w:basedOn w:val="1"/>
    <w:unhideWhenUsed/>
    <w:qFormat/>
    <w:uiPriority w:val="99"/>
    <w:pPr>
      <w:ind w:left="360" w:hanging="360"/>
      <w:contextualSpacing/>
    </w:pPr>
  </w:style>
  <w:style w:type="paragraph" w:styleId="31">
    <w:name w:val="List Continue 2"/>
    <w:basedOn w:val="1"/>
    <w:unhideWhenUsed/>
    <w:qFormat/>
    <w:uiPriority w:val="99"/>
    <w:pPr>
      <w:spacing w:after="120"/>
      <w:ind w:left="720"/>
      <w:contextualSpacing/>
    </w:pPr>
  </w:style>
  <w:style w:type="paragraph" w:styleId="32">
    <w:name w:val="List Continue 3"/>
    <w:basedOn w:val="1"/>
    <w:unhideWhenUsed/>
    <w:qFormat/>
    <w:uiPriority w:val="99"/>
    <w:pPr>
      <w:spacing w:after="120"/>
      <w:ind w:left="1080"/>
      <w:contextualSpacing/>
    </w:pPr>
  </w:style>
  <w:style w:type="paragraph" w:styleId="33">
    <w:name w:val="Title"/>
    <w:basedOn w:val="1"/>
    <w:next w:val="1"/>
    <w:link w:val="144"/>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34">
    <w:name w:val="Body Text First Indent 2"/>
    <w:basedOn w:val="22"/>
    <w:unhideWhenUsed/>
    <w:qFormat/>
    <w:uiPriority w:val="99"/>
    <w:pPr>
      <w:spacing w:line="360" w:lineRule="auto"/>
      <w:ind w:firstLine="200" w:firstLineChars="200"/>
    </w:p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6">
    <w:name w:val="Strong"/>
    <w:basedOn w:val="135"/>
    <w:qFormat/>
    <w:uiPriority w:val="22"/>
    <w:rPr>
      <w:b/>
      <w:bCs/>
    </w:rPr>
  </w:style>
  <w:style w:type="character" w:styleId="137">
    <w:name w:val="Emphasis"/>
    <w:basedOn w:val="135"/>
    <w:qFormat/>
    <w:uiPriority w:val="20"/>
    <w:rPr>
      <w:i/>
      <w:iCs/>
    </w:rPr>
  </w:style>
  <w:style w:type="character" w:customStyle="1" w:styleId="138">
    <w:name w:val="Header Char"/>
    <w:basedOn w:val="135"/>
    <w:link w:val="28"/>
    <w:qFormat/>
    <w:uiPriority w:val="99"/>
  </w:style>
  <w:style w:type="character" w:customStyle="1" w:styleId="139">
    <w:name w:val="Footer Char"/>
    <w:basedOn w:val="135"/>
    <w:link w:val="27"/>
    <w:qFormat/>
    <w:uiPriority w:val="99"/>
  </w:style>
  <w:style w:type="paragraph" w:styleId="140">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41">
    <w:name w:val="Heading 1 Char"/>
    <w:basedOn w:val="135"/>
    <w:link w:val="5"/>
    <w:qFormat/>
    <w:uiPriority w:val="9"/>
    <w:rPr>
      <w:rFonts w:asciiTheme="majorHAnsi" w:hAnsiTheme="majorHAnsi" w:eastAsiaTheme="majorEastAsia" w:cstheme="majorBidi"/>
      <w:b/>
      <w:bCs/>
      <w:color w:val="376092" w:themeColor="accent1" w:themeShade="BF"/>
      <w:sz w:val="28"/>
      <w:szCs w:val="28"/>
    </w:rPr>
  </w:style>
  <w:style w:type="character" w:customStyle="1" w:styleId="142">
    <w:name w:val="Heading 2 Char"/>
    <w:basedOn w:val="135"/>
    <w:link w:val="6"/>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3">
    <w:name w:val="Heading 3 Char"/>
    <w:basedOn w:val="135"/>
    <w:link w:val="7"/>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4">
    <w:name w:val="Title Char"/>
    <w:basedOn w:val="135"/>
    <w:link w:val="3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5">
    <w:name w:val="Subtitle Char"/>
    <w:basedOn w:val="135"/>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6">
    <w:name w:val="List Paragraph"/>
    <w:basedOn w:val="1"/>
    <w:qFormat/>
    <w:uiPriority w:val="34"/>
    <w:pPr>
      <w:ind w:left="720"/>
      <w:contextualSpacing/>
    </w:pPr>
  </w:style>
  <w:style w:type="character" w:customStyle="1" w:styleId="147">
    <w:name w:val="Body Text Char"/>
    <w:basedOn w:val="135"/>
    <w:link w:val="2"/>
    <w:qFormat/>
    <w:uiPriority w:val="99"/>
  </w:style>
  <w:style w:type="character" w:customStyle="1" w:styleId="148">
    <w:name w:val="Body Text 2 Char"/>
    <w:basedOn w:val="135"/>
    <w:link w:val="3"/>
    <w:qFormat/>
    <w:uiPriority w:val="99"/>
  </w:style>
  <w:style w:type="character" w:customStyle="1" w:styleId="149">
    <w:name w:val="Body Text 3 Char"/>
    <w:basedOn w:val="135"/>
    <w:link w:val="20"/>
    <w:qFormat/>
    <w:uiPriority w:val="99"/>
    <w:rPr>
      <w:sz w:val="16"/>
      <w:szCs w:val="16"/>
    </w:rPr>
  </w:style>
  <w:style w:type="character" w:customStyle="1" w:styleId="150">
    <w:name w:val="Macro Text Char"/>
    <w:basedOn w:val="135"/>
    <w:link w:val="4"/>
    <w:qFormat/>
    <w:uiPriority w:val="99"/>
    <w:rPr>
      <w:rFonts w:ascii="Courier" w:hAnsi="Courier"/>
      <w:sz w:val="20"/>
      <w:szCs w:val="20"/>
    </w:rPr>
  </w:style>
  <w:style w:type="paragraph" w:styleId="151">
    <w:name w:val="Quote"/>
    <w:basedOn w:val="1"/>
    <w:next w:val="1"/>
    <w:link w:val="152"/>
    <w:qFormat/>
    <w:uiPriority w:val="29"/>
    <w:rPr>
      <w:i/>
      <w:iCs/>
      <w:color w:val="000000" w:themeColor="text1"/>
      <w14:textFill>
        <w14:solidFill>
          <w14:schemeClr w14:val="tx1"/>
        </w14:solidFill>
      </w14:textFill>
    </w:rPr>
  </w:style>
  <w:style w:type="character" w:customStyle="1" w:styleId="152">
    <w:name w:val="Quote Char"/>
    <w:basedOn w:val="135"/>
    <w:link w:val="151"/>
    <w:qFormat/>
    <w:uiPriority w:val="29"/>
    <w:rPr>
      <w:i/>
      <w:iCs/>
      <w:color w:val="000000" w:themeColor="text1"/>
      <w14:textFill>
        <w14:solidFill>
          <w14:schemeClr w14:val="tx1"/>
        </w14:solidFill>
      </w14:textFill>
    </w:rPr>
  </w:style>
  <w:style w:type="character" w:customStyle="1" w:styleId="153">
    <w:name w:val="Heading 4 Char"/>
    <w:basedOn w:val="135"/>
    <w:link w:val="8"/>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4">
    <w:name w:val="Heading 5 Char"/>
    <w:basedOn w:val="135"/>
    <w:link w:val="9"/>
    <w:semiHidden/>
    <w:qFormat/>
    <w:uiPriority w:val="9"/>
    <w:rPr>
      <w:rFonts w:asciiTheme="majorHAnsi" w:hAnsiTheme="majorHAnsi" w:eastAsiaTheme="majorEastAsia" w:cstheme="majorBidi"/>
      <w:color w:val="254061" w:themeColor="accent1" w:themeShade="80"/>
    </w:rPr>
  </w:style>
  <w:style w:type="character" w:customStyle="1" w:styleId="155">
    <w:name w:val="Heading 6 Char"/>
    <w:basedOn w:val="135"/>
    <w:link w:val="10"/>
    <w:semiHidden/>
    <w:qFormat/>
    <w:uiPriority w:val="9"/>
    <w:rPr>
      <w:rFonts w:asciiTheme="majorHAnsi" w:hAnsiTheme="majorHAnsi" w:eastAsiaTheme="majorEastAsia" w:cstheme="majorBidi"/>
      <w:i/>
      <w:iCs/>
      <w:color w:val="254061" w:themeColor="accent1" w:themeShade="80"/>
    </w:rPr>
  </w:style>
  <w:style w:type="character" w:customStyle="1" w:styleId="156">
    <w:name w:val="Heading 7 Char"/>
    <w:basedOn w:val="135"/>
    <w:link w:val="11"/>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7">
    <w:name w:val="Heading 8 Char"/>
    <w:basedOn w:val="135"/>
    <w:link w:val="12"/>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8">
    <w:name w:val="Heading 9 Char"/>
    <w:basedOn w:val="135"/>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Intense Quote Char"/>
    <w:basedOn w:val="135"/>
    <w:link w:val="159"/>
    <w:qFormat/>
    <w:uiPriority w:val="30"/>
    <w:rPr>
      <w:b/>
      <w:bCs/>
      <w:i/>
      <w:iCs/>
      <w:color w:val="4F81BD" w:themeColor="accent1"/>
      <w14:textFill>
        <w14:solidFill>
          <w14:schemeClr w14:val="accent1"/>
        </w14:solidFill>
      </w14:textFill>
    </w:rPr>
  </w:style>
  <w:style w:type="character" w:customStyle="1" w:styleId="161">
    <w:name w:val="Subtle Emphasis"/>
    <w:basedOn w:val="135"/>
    <w:qFormat/>
    <w:uiPriority w:val="19"/>
    <w:rPr>
      <w:i/>
      <w:iCs/>
      <w:color w:val="808080" w:themeColor="text1" w:themeTint="80"/>
      <w14:textFill>
        <w14:solidFill>
          <w14:schemeClr w14:val="tx1">
            <w14:lumMod w14:val="50000"/>
            <w14:lumOff w14:val="50000"/>
          </w14:schemeClr>
        </w14:solidFill>
      </w14:textFill>
    </w:rPr>
  </w:style>
  <w:style w:type="character" w:customStyle="1" w:styleId="162">
    <w:name w:val="Intense Emphasis"/>
    <w:basedOn w:val="135"/>
    <w:qFormat/>
    <w:uiPriority w:val="21"/>
    <w:rPr>
      <w:b/>
      <w:bCs/>
      <w:i/>
      <w:iCs/>
      <w:color w:val="4F81BD" w:themeColor="accent1"/>
      <w14:textFill>
        <w14:solidFill>
          <w14:schemeClr w14:val="accent1"/>
        </w14:solidFill>
      </w14:textFill>
    </w:rPr>
  </w:style>
  <w:style w:type="character" w:customStyle="1" w:styleId="163">
    <w:name w:val="Subtle Reference"/>
    <w:basedOn w:val="135"/>
    <w:qFormat/>
    <w:uiPriority w:val="31"/>
    <w:rPr>
      <w:smallCaps/>
      <w:color w:val="C0504D" w:themeColor="accent2"/>
      <w:u w:val="single"/>
      <w14:textFill>
        <w14:solidFill>
          <w14:schemeClr w14:val="accent2"/>
        </w14:solidFill>
      </w14:textFill>
    </w:rPr>
  </w:style>
  <w:style w:type="character" w:customStyle="1" w:styleId="164">
    <w:name w:val="Intense Reference"/>
    <w:basedOn w:val="135"/>
    <w:qFormat/>
    <w:uiPriority w:val="32"/>
    <w:rPr>
      <w:b/>
      <w:bCs/>
      <w:smallCaps/>
      <w:color w:val="C0504D" w:themeColor="accent2"/>
      <w:spacing w:val="5"/>
      <w:u w:val="single"/>
      <w14:textFill>
        <w14:solidFill>
          <w14:schemeClr w14:val="accent2"/>
        </w14:solidFill>
      </w14:textFill>
    </w:rPr>
  </w:style>
  <w:style w:type="character" w:customStyle="1" w:styleId="165">
    <w:name w:val="Book Title"/>
    <w:basedOn w:val="135"/>
    <w:qFormat/>
    <w:uiPriority w:val="33"/>
    <w:rPr>
      <w:b/>
      <w:bCs/>
      <w:smallCaps/>
      <w:spacing w:val="5"/>
    </w:rPr>
  </w:style>
  <w:style w:type="paragraph" w:customStyle="1" w:styleId="166">
    <w:name w:val="TOC Heading"/>
    <w:basedOn w:val="5"/>
    <w:next w:val="1"/>
    <w:semiHidden/>
    <w:unhideWhenUsed/>
    <w:qFormat/>
    <w:uiPriority w:val="39"/>
    <w:pPr>
      <w:outlineLvl w:val="9"/>
    </w:pPr>
  </w:style>
  <w:style w:type="paragraph" w:customStyle="1" w:styleId="167">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8">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9">
    <w:name w:val="王越的表头"/>
    <w:basedOn w:val="170"/>
    <w:qFormat/>
    <w:uiPriority w:val="0"/>
    <w:pPr>
      <w:spacing w:line="240" w:lineRule="auto"/>
      <w:ind w:firstLine="0" w:firstLineChars="0"/>
      <w:jc w:val="center"/>
    </w:pPr>
    <w:rPr>
      <w:b/>
    </w:rPr>
  </w:style>
  <w:style w:type="paragraph" w:customStyle="1" w:styleId="170">
    <w:name w:val="王越的正文"/>
    <w:basedOn w:val="1"/>
    <w:qFormat/>
    <w:uiPriority w:val="0"/>
    <w:pPr>
      <w:ind w:firstLine="480"/>
      <w:jc w:val="left"/>
    </w:pPr>
    <w:rPr>
      <w:rFonts w:ascii="宋体" w:hAnsi="宋体"/>
    </w:rPr>
  </w:style>
  <w:style w:type="paragraph" w:customStyle="1" w:styleId="171">
    <w:name w:val="王越的表格"/>
    <w:basedOn w:val="170"/>
    <w:qFormat/>
    <w:uiPriority w:val="0"/>
    <w:pPr>
      <w:spacing w:line="240" w:lineRule="auto"/>
      <w:ind w:firstLine="0" w:firstLineChars="0"/>
    </w:pPr>
  </w:style>
  <w:style w:type="paragraph" w:customStyle="1" w:styleId="172">
    <w:name w:val="正文-（1）"/>
    <w:qFormat/>
    <w:uiPriority w:val="0"/>
    <w:pPr>
      <w:widowControl w:val="0"/>
      <w:numPr>
        <w:ilvl w:val="0"/>
        <w:numId w:val="7"/>
      </w:numPr>
      <w:spacing w:line="360" w:lineRule="auto"/>
      <w:ind w:left="0" w:firstLine="200" w:firstLineChars="200"/>
      <w:jc w:val="both"/>
    </w:pPr>
    <w:rPr>
      <w:rFonts w:ascii="Times New Roman" w:hAnsi="Times New Roman" w:eastAsia="宋体" w:cs="Times New Roman"/>
      <w:kern w:val="2"/>
      <w:sz w:val="24"/>
      <w:szCs w:val="22"/>
      <w:lang w:val="en-US" w:eastAsia="zh-CN" w:bidi="ar-SA"/>
    </w:rPr>
  </w:style>
  <w:style w:type="paragraph" w:customStyle="1" w:styleId="173">
    <w:name w:val="首行缩进"/>
    <w:basedOn w:val="1"/>
    <w:qFormat/>
    <w:uiPriority w:val="0"/>
    <w:pPr>
      <w:spacing w:line="360" w:lineRule="auto"/>
      <w:ind w:firstLine="480" w:firstLineChars="200"/>
    </w:pPr>
    <w:rPr>
      <w:rFonts w:ascii="Calibri" w:hAnsi="Calibri"/>
      <w:sz w:val="24"/>
      <w:szCs w:val="22"/>
      <w:lang w:val="zh-CN"/>
    </w:rPr>
  </w:style>
  <w:style w:type="paragraph" w:customStyle="1" w:styleId="174">
    <w:name w:val="列出段落11"/>
    <w:basedOn w:val="1"/>
    <w:qFormat/>
    <w:uiPriority w:val="99"/>
    <w:pPr>
      <w:widowControl/>
      <w:adjustRightInd/>
      <w:spacing w:before="40" w:after="160" w:line="240" w:lineRule="auto"/>
      <w:ind w:firstLine="420" w:firstLineChars="200"/>
      <w:textAlignment w:val="auto"/>
    </w:pPr>
    <w:rPr>
      <w:rFonts w:ascii="Cambria" w:hAnsi="Cambria" w:eastAsia="微软雅黑" w:cs="Cambria"/>
      <w:color w:val="565656"/>
      <w:kern w:val="20"/>
      <w:sz w:val="21"/>
      <w:szCs w:val="21"/>
      <w:lang w:val="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2</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cp:lastPrinted>2025-12-31T00:47:00Z</cp:lastPrinted>
  <dcterms:modified xsi:type="dcterms:W3CDTF">2026-02-06T08:38:01Z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