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wordWrap/>
        <w:topLinePunct w:val="0"/>
        <w:bidi w:val="0"/>
        <w:spacing w:line="24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keepNext w:val="0"/>
        <w:keepLines w:val="0"/>
        <w:pageBreakBefore w:val="0"/>
        <w:widowControl/>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一、项目概况</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lang w:eastAsia="zh-CN"/>
        </w:rPr>
      </w:pPr>
      <w:r>
        <w:rPr>
          <w:rFonts w:hint="eastAsia" w:ascii="幼圆" w:hAnsi="幼圆" w:eastAsia="幼圆" w:cs="幼圆"/>
          <w:sz w:val="21"/>
          <w:szCs w:val="20"/>
          <w:lang w:eastAsia="zh-CN"/>
        </w:rPr>
        <w:t>项目</w:t>
      </w:r>
      <w:r>
        <w:rPr>
          <w:rFonts w:hint="eastAsia" w:ascii="幼圆" w:hAnsi="幼圆" w:eastAsia="幼圆" w:cs="幼圆"/>
          <w:sz w:val="21"/>
          <w:szCs w:val="20"/>
        </w:rPr>
        <w:t>名称：全院真空泵设备维保服务采购项目</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rPr>
      </w:pPr>
      <w:r>
        <w:rPr>
          <w:rFonts w:hint="eastAsia" w:ascii="幼圆" w:hAnsi="幼圆" w:eastAsia="幼圆" w:cs="幼圆"/>
          <w:sz w:val="21"/>
          <w:szCs w:val="20"/>
        </w:rPr>
        <w:t>建设单位：北京清华长庚医院</w:t>
      </w:r>
    </w:p>
    <w:p>
      <w:pPr>
        <w:keepNext w:val="0"/>
        <w:keepLines w:val="0"/>
        <w:pageBreakBefore w:val="0"/>
        <w:widowControl/>
        <w:kinsoku w:val="0"/>
        <w:wordWrap/>
        <w:overflowPunct w:val="0"/>
        <w:topLinePunct w:val="0"/>
        <w:autoSpaceDE w:val="0"/>
        <w:autoSpaceDN w:val="0"/>
        <w:bidi w:val="0"/>
        <w:adjustRightInd w:val="0"/>
        <w:snapToGrid/>
        <w:spacing w:after="0" w:line="240" w:lineRule="auto"/>
        <w:jc w:val="both"/>
        <w:textAlignment w:val="auto"/>
        <w:rPr>
          <w:rFonts w:hint="eastAsia" w:ascii="幼圆" w:hAnsi="幼圆" w:eastAsia="幼圆" w:cs="幼圆"/>
          <w:sz w:val="21"/>
          <w:szCs w:val="20"/>
        </w:rPr>
      </w:pPr>
      <w:r>
        <w:rPr>
          <w:rFonts w:hint="eastAsia" w:ascii="幼圆" w:hAnsi="幼圆" w:eastAsia="幼圆" w:cs="幼圆"/>
          <w:sz w:val="21"/>
          <w:szCs w:val="20"/>
        </w:rPr>
        <w:t>建设地点：北京市昌平区立汤路168号</w:t>
      </w:r>
    </w:p>
    <w:p>
      <w:pPr>
        <w:keepNext w:val="0"/>
        <w:keepLines w:val="0"/>
        <w:pageBreakBefore w:val="0"/>
        <w:widowControl/>
        <w:numPr>
          <w:ilvl w:val="0"/>
          <w:numId w:val="8"/>
        </w:numPr>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项目类型</w:t>
      </w:r>
    </w:p>
    <w:p>
      <w:pPr>
        <w:keepNext w:val="0"/>
        <w:keepLines w:val="0"/>
        <w:pageBreakBefore w:val="0"/>
        <w:widowControl/>
        <w:numPr>
          <w:ilvl w:val="0"/>
          <w:numId w:val="0"/>
        </w:numPr>
        <w:wordWrap/>
        <w:topLinePunct w:val="0"/>
        <w:bidi w:val="0"/>
        <w:snapToGrid/>
        <w:spacing w:line="240" w:lineRule="auto"/>
        <w:textAlignment w:val="auto"/>
        <w:rPr>
          <w:rFonts w:hint="eastAsia" w:ascii="幼圆" w:hAnsi="幼圆" w:eastAsia="幼圆" w:cs="幼圆"/>
          <w:b w:val="0"/>
          <w:bCs w:val="0"/>
          <w:sz w:val="21"/>
          <w:szCs w:val="20"/>
          <w:lang w:val="en-US" w:eastAsia="zh-CN"/>
        </w:rPr>
      </w:pPr>
      <w:r>
        <w:rPr>
          <w:rFonts w:hint="eastAsia" w:ascii="幼圆" w:hAnsi="幼圆" w:eastAsia="幼圆" w:cs="幼圆"/>
          <w:b w:val="0"/>
          <w:bCs w:val="0"/>
          <w:sz w:val="21"/>
          <w:szCs w:val="20"/>
          <w:lang w:val="en-US" w:eastAsia="zh-CN"/>
        </w:rPr>
        <w:t>维保服务类</w:t>
      </w:r>
    </w:p>
    <w:p>
      <w:pPr>
        <w:keepNext w:val="0"/>
        <w:keepLines w:val="0"/>
        <w:pageBreakBefore w:val="0"/>
        <w:widowControl/>
        <w:wordWrap/>
        <w:topLinePunct w:val="0"/>
        <w:bidi w:val="0"/>
        <w:snapToGrid/>
        <w:spacing w:line="240" w:lineRule="auto"/>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color w:val="FF0000"/>
          <w:sz w:val="21"/>
          <w:szCs w:val="20"/>
          <w:lang w:val="en-US" w:eastAsia="zh-CN"/>
        </w:rPr>
      </w:pPr>
      <w:r>
        <w:rPr>
          <w:rFonts w:hint="eastAsia" w:ascii="幼圆" w:hAnsi="幼圆" w:eastAsia="幼圆" w:cs="幼圆"/>
          <w:sz w:val="21"/>
          <w:szCs w:val="20"/>
          <w:lang w:val="en-US" w:eastAsia="zh-CN"/>
        </w:rPr>
        <w:t>1、具有有效的企业营业执照；</w:t>
      </w:r>
      <w:r>
        <w:rPr>
          <w:rFonts w:hint="eastAsia" w:ascii="幼圆" w:hAnsi="幼圆" w:eastAsia="幼圆" w:cs="幼圆"/>
          <w:b/>
          <w:bCs/>
          <w:color w:val="FF0000"/>
          <w:sz w:val="21"/>
          <w:szCs w:val="20"/>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2、在中华人民共和国境内注册登记，有生产或供应能力的本国供应商，包括法人、其他组织和个人；</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3、投标人在近三年内（2023年2月-至今） 没有骗取中标和严重违约及重大项目质量问题；参加本采购活动前三年内，在经营活动中没有重大违法记录；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4、具有良好的商业信誉和健全的财务会计制度；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5、具有依法缴纳税收和社会保障资金的良好记录；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sz w:val="21"/>
          <w:szCs w:val="20"/>
          <w:lang w:val="en-US" w:eastAsia="zh-CN"/>
        </w:rPr>
      </w:pPr>
      <w:r>
        <w:rPr>
          <w:rFonts w:hint="eastAsia" w:ascii="幼圆" w:hAnsi="幼圆" w:eastAsia="幼圆" w:cs="幼圆"/>
          <w:sz w:val="21"/>
          <w:szCs w:val="20"/>
          <w:lang w:val="en-US" w:eastAsia="zh-CN"/>
        </w:rPr>
        <w:t xml:space="preserve">6、本项目不接受联合体投标。 </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lang w:val="en-US" w:eastAsia="zh-CN"/>
        </w:rPr>
      </w:pPr>
      <w:r>
        <w:rPr>
          <w:rFonts w:hint="eastAsia" w:ascii="幼圆" w:hAnsi="幼圆" w:eastAsia="幼圆" w:cs="幼圆"/>
          <w:sz w:val="21"/>
          <w:szCs w:val="20"/>
          <w:lang w:val="en-US" w:eastAsia="zh-CN"/>
        </w:rPr>
        <w:t>7、本项目为专门面向中小企业采购。投标人必须提供中小企业声明函（见附件）。</w:t>
      </w:r>
      <w:r>
        <w:rPr>
          <w:rFonts w:hint="eastAsia" w:ascii="幼圆" w:hAnsi="幼圆" w:eastAsia="幼圆" w:cs="幼圆"/>
          <w:b/>
          <w:bCs/>
          <w:color w:val="FF0000"/>
          <w:sz w:val="21"/>
          <w:szCs w:val="20"/>
          <w:lang w:val="en-US" w:eastAsia="zh-CN"/>
        </w:rPr>
        <w:t>（*必须响应，废标项）</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四、服务期要求</w:t>
      </w:r>
    </w:p>
    <w:p>
      <w:pPr>
        <w:keepNext w:val="0"/>
        <w:keepLines w:val="0"/>
        <w:pageBreakBefore w:val="0"/>
        <w:widowControl/>
        <w:kinsoku/>
        <w:wordWrap/>
        <w:overflowPunct/>
        <w:topLinePunct w:val="0"/>
        <w:autoSpaceDE/>
        <w:autoSpaceDN/>
        <w:bidi w:val="0"/>
        <w:adjustRightInd/>
        <w:snapToGrid/>
        <w:spacing w:line="24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1"/>
          <w:szCs w:val="20"/>
          <w:lang w:val="en-US" w:eastAsia="zh-CN"/>
        </w:rPr>
        <w:t>合同履行期限：一年</w:t>
      </w:r>
      <w:r>
        <w:rPr>
          <w:rFonts w:hint="eastAsia" w:ascii="幼圆" w:hAnsi="幼圆" w:eastAsia="幼圆" w:cs="幼圆"/>
          <w:b/>
          <w:bCs/>
          <w:color w:val="FF0000"/>
          <w:sz w:val="21"/>
          <w:szCs w:val="20"/>
          <w:lang w:val="en-US" w:eastAsia="zh-CN"/>
        </w:rPr>
        <w:t>（*必须响应，废标项）</w:t>
      </w:r>
      <w:bookmarkStart w:id="0" w:name="_Toc195775598"/>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五、维保内容</w:t>
      </w:r>
    </w:p>
    <w:p>
      <w:pPr>
        <w:numPr>
          <w:ilvl w:val="0"/>
          <w:numId w:val="9"/>
        </w:numPr>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维保厂商责任</w:t>
      </w:r>
    </w:p>
    <w:p>
      <w:pPr>
        <w:numPr>
          <w:ilvl w:val="0"/>
          <w:numId w:val="0"/>
        </w:numPr>
        <w:spacing w:line="240" w:lineRule="auto"/>
        <w:ind w:leftChars="0"/>
        <w:rPr>
          <w:rFonts w:hint="eastAsia" w:ascii="幼圆" w:hAnsi="幼圆" w:eastAsia="幼圆" w:cs="幼圆"/>
          <w:b w:val="0"/>
          <w:bCs w:val="0"/>
          <w:color w:val="000000"/>
          <w:kern w:val="0"/>
          <w:sz w:val="21"/>
          <w:szCs w:val="21"/>
          <w:lang w:val="en-US" w:eastAsia="zh-CN"/>
        </w:rPr>
      </w:pPr>
      <w:r>
        <w:rPr>
          <w:rFonts w:hint="eastAsia" w:ascii="幼圆" w:hAnsi="幼圆" w:eastAsia="幼圆" w:cs="幼圆"/>
          <w:lang w:val="en-US" w:eastAsia="zh-CN"/>
        </w:rPr>
        <w:t>（1）</w:t>
      </w:r>
      <w:r>
        <w:rPr>
          <w:rFonts w:hint="eastAsia" w:ascii="幼圆" w:hAnsi="幼圆" w:eastAsia="幼圆" w:cs="幼圆"/>
          <w:b w:val="0"/>
          <w:bCs w:val="0"/>
          <w:color w:val="000000"/>
          <w:kern w:val="0"/>
          <w:sz w:val="21"/>
          <w:szCs w:val="21"/>
          <w:lang w:val="en-US" w:eastAsia="zh-CN"/>
        </w:rPr>
        <w:t>投标人承担材料及维修费：设备设施的小型维修单批次2000元（不含）以下的零配件费用。</w:t>
      </w:r>
    </w:p>
    <w:p>
      <w:pPr>
        <w:numPr>
          <w:ilvl w:val="0"/>
          <w:numId w:val="0"/>
        </w:numPr>
        <w:spacing w:line="240" w:lineRule="auto"/>
        <w:ind w:leftChars="0"/>
        <w:rPr>
          <w:rFonts w:hint="eastAsia" w:ascii="幼圆" w:hAnsi="幼圆" w:eastAsia="幼圆" w:cs="幼圆"/>
          <w:bCs/>
          <w:snapToGrid w:val="0"/>
          <w:kern w:val="21"/>
          <w:sz w:val="21"/>
          <w:szCs w:val="21"/>
          <w:lang w:val="en-US" w:eastAsia="zh-CN"/>
        </w:rPr>
      </w:pPr>
      <w:r>
        <w:rPr>
          <w:rFonts w:hint="eastAsia" w:ascii="幼圆" w:hAnsi="幼圆" w:eastAsia="幼圆" w:cs="幼圆"/>
          <w:b w:val="0"/>
          <w:bCs w:val="0"/>
          <w:color w:val="000000"/>
          <w:kern w:val="0"/>
          <w:sz w:val="21"/>
          <w:szCs w:val="21"/>
          <w:lang w:val="en-US" w:eastAsia="zh-CN"/>
        </w:rPr>
        <w:t>（2）对清单内所有</w:t>
      </w:r>
      <w:r>
        <w:rPr>
          <w:rFonts w:hint="eastAsia" w:ascii="幼圆" w:hAnsi="幼圆" w:eastAsia="幼圆" w:cs="幼圆"/>
          <w:bCs/>
          <w:snapToGrid w:val="0"/>
          <w:kern w:val="21"/>
          <w:sz w:val="21"/>
          <w:szCs w:val="21"/>
          <w:lang w:val="en-US" w:eastAsia="zh-CN"/>
        </w:rPr>
        <w:t>设备及其配套设备进行定期维护保养，频次为半个月。</w:t>
      </w:r>
    </w:p>
    <w:p>
      <w:pPr>
        <w:numPr>
          <w:ilvl w:val="0"/>
          <w:numId w:val="0"/>
        </w:numPr>
        <w:spacing w:line="240" w:lineRule="auto"/>
        <w:ind w:leftChars="0"/>
        <w:rPr>
          <w:rFonts w:hint="eastAsia" w:ascii="幼圆" w:hAnsi="幼圆" w:eastAsia="幼圆" w:cs="幼圆"/>
          <w:color w:val="000000"/>
          <w:kern w:val="0"/>
          <w:sz w:val="21"/>
          <w:szCs w:val="21"/>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3</w:t>
      </w:r>
      <w:r>
        <w:rPr>
          <w:rFonts w:hint="eastAsia" w:ascii="幼圆" w:hAnsi="幼圆" w:eastAsia="幼圆" w:cs="幼圆"/>
          <w:color w:val="000000"/>
          <w:kern w:val="0"/>
          <w:sz w:val="21"/>
          <w:szCs w:val="21"/>
          <w:lang w:eastAsia="zh-CN"/>
        </w:rPr>
        <w:t>）</w:t>
      </w:r>
      <w:r>
        <w:rPr>
          <w:rFonts w:hint="eastAsia" w:ascii="幼圆" w:hAnsi="幼圆" w:eastAsia="幼圆" w:cs="幼圆"/>
          <w:b w:val="0"/>
          <w:bCs w:val="0"/>
          <w:color w:val="000000"/>
          <w:kern w:val="0"/>
          <w:sz w:val="21"/>
          <w:szCs w:val="21"/>
          <w:lang w:val="en-US" w:eastAsia="zh-CN"/>
        </w:rPr>
        <w:t>真空泵密封及轴承免费更换、维修。</w:t>
      </w:r>
    </w:p>
    <w:p>
      <w:pPr>
        <w:numPr>
          <w:ilvl w:val="0"/>
          <w:numId w:val="0"/>
        </w:numPr>
        <w:spacing w:line="240" w:lineRule="auto"/>
        <w:ind w:leftChars="0"/>
        <w:rPr>
          <w:rFonts w:hint="eastAsia" w:ascii="幼圆" w:hAnsi="幼圆" w:eastAsia="幼圆" w:cs="幼圆"/>
          <w:color w:val="000000"/>
          <w:kern w:val="0"/>
          <w:sz w:val="21"/>
          <w:szCs w:val="21"/>
          <w:lang w:eastAsia="zh-CN"/>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4</w:t>
      </w: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乙方</w:t>
      </w:r>
      <w:r>
        <w:rPr>
          <w:rFonts w:hint="eastAsia" w:ascii="幼圆" w:hAnsi="幼圆" w:eastAsia="幼圆" w:cs="幼圆"/>
          <w:color w:val="000000"/>
          <w:kern w:val="0"/>
          <w:sz w:val="21"/>
          <w:szCs w:val="21"/>
        </w:rPr>
        <w:t>负责设备机房</w:t>
      </w:r>
      <w:r>
        <w:rPr>
          <w:rFonts w:hint="eastAsia" w:ascii="幼圆" w:hAnsi="幼圆" w:eastAsia="幼圆" w:cs="幼圆"/>
          <w:color w:val="000000"/>
          <w:kern w:val="0"/>
          <w:sz w:val="21"/>
          <w:szCs w:val="21"/>
          <w:lang w:val="en-US" w:eastAsia="zh-CN"/>
        </w:rPr>
        <w:t>6</w:t>
      </w:r>
      <w:r>
        <w:rPr>
          <w:rFonts w:hint="eastAsia" w:ascii="幼圆" w:hAnsi="幼圆" w:eastAsia="幼圆" w:cs="幼圆"/>
          <w:color w:val="000000"/>
          <w:kern w:val="0"/>
          <w:sz w:val="21"/>
          <w:szCs w:val="21"/>
        </w:rPr>
        <w:t>S卫生清理</w:t>
      </w:r>
      <w:r>
        <w:rPr>
          <w:rFonts w:hint="eastAsia" w:ascii="幼圆" w:hAnsi="幼圆" w:eastAsia="幼圆" w:cs="幼圆"/>
          <w:color w:val="000000"/>
          <w:kern w:val="0"/>
          <w:sz w:val="21"/>
          <w:szCs w:val="21"/>
          <w:lang w:eastAsia="zh-CN"/>
        </w:rPr>
        <w:t>，机房门窗、墙面、地面、照明插座维修。</w:t>
      </w:r>
    </w:p>
    <w:p>
      <w:pPr>
        <w:numPr>
          <w:ilvl w:val="0"/>
          <w:numId w:val="0"/>
        </w:numPr>
        <w:spacing w:line="240" w:lineRule="auto"/>
        <w:jc w:val="left"/>
        <w:rPr>
          <w:rFonts w:hint="eastAsia" w:ascii="幼圆" w:hAnsi="幼圆" w:eastAsia="幼圆" w:cs="幼圆"/>
          <w:sz w:val="21"/>
          <w:szCs w:val="21"/>
          <w:lang w:val="en-US" w:eastAsia="zh-CN"/>
        </w:rPr>
      </w:pPr>
      <w:r>
        <w:rPr>
          <w:rFonts w:hint="eastAsia" w:ascii="幼圆" w:hAnsi="幼圆" w:eastAsia="幼圆" w:cs="幼圆"/>
          <w:color w:val="000000"/>
          <w:kern w:val="0"/>
          <w:sz w:val="21"/>
          <w:szCs w:val="21"/>
          <w:lang w:eastAsia="zh-CN"/>
        </w:rPr>
        <w:t>（</w:t>
      </w:r>
      <w:r>
        <w:rPr>
          <w:rFonts w:hint="eastAsia" w:ascii="幼圆" w:hAnsi="幼圆" w:eastAsia="幼圆" w:cs="幼圆"/>
          <w:color w:val="000000"/>
          <w:kern w:val="0"/>
          <w:sz w:val="21"/>
          <w:szCs w:val="21"/>
          <w:lang w:val="en-US" w:eastAsia="zh-CN"/>
        </w:rPr>
        <w:t>5</w:t>
      </w:r>
      <w:r>
        <w:rPr>
          <w:rFonts w:hint="eastAsia" w:ascii="幼圆" w:hAnsi="幼圆" w:eastAsia="幼圆" w:cs="幼圆"/>
          <w:color w:val="000000"/>
          <w:kern w:val="0"/>
          <w:sz w:val="21"/>
          <w:szCs w:val="21"/>
          <w:lang w:eastAsia="zh-CN"/>
        </w:rPr>
        <w:t>）</w:t>
      </w:r>
      <w:r>
        <w:rPr>
          <w:rFonts w:hint="eastAsia" w:ascii="幼圆" w:hAnsi="幼圆" w:eastAsia="幼圆" w:cs="幼圆"/>
          <w:sz w:val="21"/>
          <w:szCs w:val="21"/>
          <w:lang w:val="en-US" w:eastAsia="zh-CN"/>
        </w:rPr>
        <w:t>维保细则未完成或缺少项目、不能达到甲方标准，按照不低于1000元罚扣。</w:t>
      </w:r>
    </w:p>
    <w:p>
      <w:pPr>
        <w:spacing w:line="240" w:lineRule="auto"/>
        <w:rPr>
          <w:rFonts w:hint="eastAsia" w:ascii="幼圆" w:hAnsi="幼圆" w:eastAsia="幼圆" w:cs="幼圆"/>
          <w:color w:val="000000"/>
          <w:kern w:val="0"/>
          <w:sz w:val="21"/>
          <w:szCs w:val="21"/>
          <w:lang w:val="en-US" w:eastAsia="zh-CN"/>
        </w:rPr>
      </w:pPr>
      <w:r>
        <w:rPr>
          <w:rFonts w:hint="eastAsia" w:ascii="幼圆" w:hAnsi="幼圆" w:eastAsia="幼圆" w:cs="幼圆"/>
          <w:sz w:val="21"/>
          <w:szCs w:val="21"/>
          <w:lang w:val="en-US" w:eastAsia="zh-CN"/>
        </w:rPr>
        <w:t>（6）保证甲方设备安全运行，因设备异常或乙方操作不当引起的安全、停空调事故，所造成的损失，乙方负全责。</w:t>
      </w:r>
    </w:p>
    <w:p>
      <w:pPr>
        <w:numPr>
          <w:ilvl w:val="0"/>
          <w:numId w:val="0"/>
        </w:numPr>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2、日常巡检与监测</w:t>
      </w:r>
    </w:p>
    <w:p>
      <w:pPr>
        <w:spacing w:line="240" w:lineRule="auto"/>
        <w:rPr>
          <w:rFonts w:hint="eastAsia" w:ascii="幼圆" w:hAnsi="幼圆" w:eastAsia="幼圆" w:cs="幼圆"/>
          <w:bCs/>
          <w:snapToGrid w:val="0"/>
          <w:kern w:val="21"/>
          <w:szCs w:val="21"/>
        </w:rPr>
      </w:pPr>
      <w:r>
        <w:rPr>
          <w:rFonts w:hint="eastAsia" w:ascii="幼圆" w:hAnsi="幼圆" w:eastAsia="幼圆" w:cs="幼圆"/>
          <w:bCs/>
          <w:snapToGrid w:val="0"/>
          <w:kern w:val="21"/>
          <w:szCs w:val="21"/>
        </w:rPr>
        <w:t>此项为预防性维护的基础，要求定期、定点、定标准执行。</w:t>
      </w:r>
    </w:p>
    <w:p>
      <w:pPr>
        <w:numPr>
          <w:ilvl w:val="0"/>
          <w:numId w:val="10"/>
        </w:numPr>
        <w:spacing w:line="240" w:lineRule="auto"/>
        <w:rPr>
          <w:rFonts w:hint="eastAsia" w:ascii="幼圆" w:hAnsi="幼圆" w:eastAsia="幼圆" w:cs="幼圆"/>
          <w:color w:val="000000"/>
          <w:kern w:val="0"/>
          <w:sz w:val="22"/>
          <w:szCs w:val="22"/>
        </w:rPr>
      </w:pPr>
      <w:r>
        <w:rPr>
          <w:rFonts w:hint="eastAsia" w:ascii="幼圆" w:hAnsi="幼圆" w:eastAsia="幼圆" w:cs="幼圆"/>
          <w:color w:val="000000"/>
          <w:kern w:val="0"/>
          <w:sz w:val="22"/>
          <w:szCs w:val="22"/>
        </w:rPr>
        <w:t>设备检修包括（真空泵管路、阀门、扇热器、电机、）。</w:t>
      </w:r>
    </w:p>
    <w:p>
      <w:pPr>
        <w:numPr>
          <w:ilvl w:val="0"/>
          <w:numId w:val="10"/>
        </w:numPr>
        <w:spacing w:line="240" w:lineRule="auto"/>
        <w:rPr>
          <w:rFonts w:hint="eastAsia" w:ascii="幼圆" w:hAnsi="幼圆" w:eastAsia="幼圆" w:cs="幼圆"/>
          <w:bCs/>
          <w:snapToGrid w:val="0"/>
          <w:kern w:val="21"/>
          <w:szCs w:val="21"/>
        </w:rPr>
      </w:pPr>
      <w:r>
        <w:rPr>
          <w:rFonts w:hint="eastAsia" w:ascii="幼圆" w:hAnsi="幼圆" w:eastAsia="幼圆" w:cs="幼圆"/>
          <w:color w:val="000000"/>
          <w:kern w:val="0"/>
          <w:sz w:val="22"/>
          <w:szCs w:val="22"/>
        </w:rPr>
        <w:t>真空泵常规保养耗材（空气过滤器、细菌过滤器、油雾过滤器、真空泵油）。</w:t>
      </w:r>
    </w:p>
    <w:p>
      <w:pPr>
        <w:numPr>
          <w:ilvl w:val="0"/>
          <w:numId w:val="10"/>
        </w:numPr>
        <w:spacing w:line="240" w:lineRule="auto"/>
        <w:rPr>
          <w:rFonts w:hint="eastAsia" w:ascii="幼圆" w:hAnsi="幼圆" w:eastAsia="幼圆" w:cs="幼圆"/>
          <w:bCs/>
          <w:snapToGrid w:val="0"/>
          <w:kern w:val="21"/>
          <w:szCs w:val="21"/>
        </w:rPr>
      </w:pPr>
      <w:r>
        <w:rPr>
          <w:rFonts w:hint="eastAsia" w:ascii="幼圆" w:hAnsi="幼圆" w:eastAsia="幼圆" w:cs="幼圆"/>
          <w:bCs/>
          <w:snapToGrid w:val="0"/>
          <w:kern w:val="21"/>
          <w:szCs w:val="21"/>
          <w:lang w:eastAsia="zh-CN"/>
        </w:rPr>
        <w:t>真空泵油每年至少更换两次，其配套耗材，依照保养手册进行定期更换。</w:t>
      </w:r>
    </w:p>
    <w:p>
      <w:pPr>
        <w:numPr>
          <w:ilvl w:val="0"/>
          <w:numId w:val="10"/>
        </w:numPr>
        <w:spacing w:line="240" w:lineRule="auto"/>
        <w:rPr>
          <w:rFonts w:hint="eastAsia" w:ascii="幼圆" w:hAnsi="幼圆" w:eastAsia="幼圆" w:cs="幼圆"/>
          <w:bCs/>
          <w:snapToGrid w:val="0"/>
          <w:kern w:val="21"/>
          <w:szCs w:val="21"/>
        </w:rPr>
      </w:pPr>
      <w:r>
        <w:rPr>
          <w:rFonts w:hint="eastAsia" w:ascii="幼圆" w:hAnsi="幼圆" w:eastAsia="幼圆" w:cs="幼圆"/>
          <w:color w:val="000000"/>
          <w:kern w:val="0"/>
          <w:sz w:val="22"/>
          <w:szCs w:val="22"/>
        </w:rPr>
        <w:t>保养检修，对甲方人员进行培训，告知设备注意事项以及安全操作。检查设备运行扇热器、油路系统、气路系统。测试运行电流、电压、最高噪音是否正常。做好维修、保养、巡检记录形成书面报告并签字确认。</w:t>
      </w:r>
    </w:p>
    <w:p>
      <w:pPr>
        <w:numPr>
          <w:ilvl w:val="0"/>
          <w:numId w:val="0"/>
        </w:numPr>
        <w:spacing w:line="240" w:lineRule="auto"/>
        <w:ind w:leftChars="0"/>
        <w:rPr>
          <w:rFonts w:hint="eastAsia" w:ascii="幼圆" w:hAnsi="幼圆" w:eastAsia="幼圆" w:cs="幼圆"/>
          <w:b/>
          <w:bCs w:val="0"/>
          <w:snapToGrid w:val="0"/>
          <w:kern w:val="21"/>
          <w:sz w:val="21"/>
          <w:szCs w:val="21"/>
          <w:lang w:val="en-US" w:eastAsia="zh-CN"/>
        </w:rPr>
      </w:pPr>
      <w:r>
        <w:rPr>
          <w:rFonts w:hint="eastAsia" w:ascii="幼圆" w:hAnsi="幼圆" w:eastAsia="幼圆" w:cs="幼圆"/>
          <w:b/>
          <w:bCs w:val="0"/>
          <w:snapToGrid w:val="0"/>
          <w:kern w:val="21"/>
          <w:sz w:val="21"/>
          <w:szCs w:val="21"/>
          <w:lang w:val="en-US" w:eastAsia="zh-CN"/>
        </w:rPr>
        <w:t>3、定期维护与检修</w:t>
      </w:r>
    </w:p>
    <w:p>
      <w:pPr>
        <w:spacing w:line="240" w:lineRule="auto"/>
        <w:rPr>
          <w:rFonts w:hint="eastAsia" w:ascii="幼圆" w:hAnsi="幼圆" w:eastAsia="幼圆" w:cs="幼圆"/>
          <w:color w:val="000000"/>
          <w:kern w:val="0"/>
          <w:sz w:val="22"/>
          <w:szCs w:val="22"/>
        </w:rPr>
      </w:pPr>
      <w:r>
        <w:rPr>
          <w:rFonts w:hint="eastAsia" w:ascii="幼圆" w:hAnsi="幼圆" w:eastAsia="幼圆" w:cs="幼圆"/>
          <w:spacing w:val="14"/>
          <w:szCs w:val="21"/>
          <w:lang w:eastAsia="zh-CN"/>
        </w:rPr>
        <w:t>（</w:t>
      </w:r>
      <w:r>
        <w:rPr>
          <w:rFonts w:hint="eastAsia" w:ascii="幼圆" w:hAnsi="幼圆" w:eastAsia="幼圆" w:cs="幼圆"/>
          <w:spacing w:val="14"/>
          <w:szCs w:val="21"/>
          <w:lang w:val="en-US" w:eastAsia="zh-CN"/>
        </w:rPr>
        <w:t>1</w:t>
      </w:r>
      <w:r>
        <w:rPr>
          <w:rFonts w:hint="eastAsia" w:ascii="幼圆" w:hAnsi="幼圆" w:eastAsia="幼圆" w:cs="幼圆"/>
          <w:spacing w:val="14"/>
          <w:szCs w:val="21"/>
          <w:lang w:eastAsia="zh-CN"/>
        </w:rPr>
        <w:t>）</w:t>
      </w:r>
      <w:r>
        <w:rPr>
          <w:rFonts w:hint="eastAsia" w:ascii="幼圆" w:hAnsi="幼圆" w:eastAsia="幼圆" w:cs="幼圆"/>
          <w:color w:val="000000"/>
          <w:kern w:val="0"/>
          <w:sz w:val="22"/>
          <w:szCs w:val="22"/>
        </w:rPr>
        <w:t>每月检测电机电流、电控柜、电压、真空度、噪音使用正常。</w:t>
      </w:r>
    </w:p>
    <w:p>
      <w:pPr>
        <w:spacing w:line="240" w:lineRule="auto"/>
        <w:rPr>
          <w:rFonts w:hint="eastAsia" w:ascii="幼圆" w:hAnsi="幼圆" w:eastAsia="幼圆" w:cs="幼圆"/>
          <w:color w:val="000000"/>
          <w:kern w:val="0"/>
          <w:sz w:val="22"/>
          <w:szCs w:val="22"/>
        </w:rPr>
      </w:pPr>
      <w:r>
        <w:rPr>
          <w:rFonts w:hint="eastAsia" w:ascii="幼圆" w:hAnsi="幼圆" w:eastAsia="幼圆" w:cs="幼圆"/>
          <w:color w:val="000000"/>
          <w:kern w:val="0"/>
          <w:sz w:val="22"/>
          <w:szCs w:val="22"/>
          <w:lang w:eastAsia="zh-CN"/>
        </w:rPr>
        <w:t>（</w:t>
      </w:r>
      <w:r>
        <w:rPr>
          <w:rFonts w:hint="eastAsia" w:ascii="幼圆" w:hAnsi="幼圆" w:eastAsia="幼圆" w:cs="幼圆"/>
          <w:color w:val="000000"/>
          <w:kern w:val="0"/>
          <w:sz w:val="22"/>
          <w:szCs w:val="22"/>
          <w:lang w:val="en-US" w:eastAsia="zh-CN"/>
        </w:rPr>
        <w:t>2</w:t>
      </w:r>
      <w:r>
        <w:rPr>
          <w:rFonts w:hint="eastAsia" w:ascii="幼圆" w:hAnsi="幼圆" w:eastAsia="幼圆" w:cs="幼圆"/>
          <w:color w:val="000000"/>
          <w:kern w:val="0"/>
          <w:sz w:val="22"/>
          <w:szCs w:val="22"/>
          <w:lang w:eastAsia="zh-CN"/>
        </w:rPr>
        <w:t>）</w:t>
      </w:r>
      <w:r>
        <w:rPr>
          <w:rFonts w:hint="eastAsia" w:ascii="幼圆" w:hAnsi="幼圆" w:eastAsia="幼圆" w:cs="幼圆"/>
          <w:color w:val="000000"/>
          <w:kern w:val="0"/>
          <w:sz w:val="22"/>
          <w:szCs w:val="22"/>
          <w:lang w:val="en-US" w:eastAsia="zh-CN"/>
        </w:rPr>
        <w:t xml:space="preserve"> </w:t>
      </w:r>
      <w:r>
        <w:rPr>
          <w:rFonts w:hint="eastAsia" w:ascii="幼圆" w:hAnsi="幼圆" w:eastAsia="幼圆" w:cs="幼圆"/>
          <w:spacing w:val="14"/>
          <w:szCs w:val="21"/>
        </w:rPr>
        <w:t>每月</w:t>
      </w:r>
      <w:r>
        <w:rPr>
          <w:rFonts w:hint="eastAsia" w:ascii="幼圆" w:hAnsi="幼圆" w:eastAsia="幼圆" w:cs="幼圆"/>
          <w:color w:val="000000"/>
          <w:kern w:val="0"/>
          <w:sz w:val="22"/>
          <w:szCs w:val="22"/>
        </w:rPr>
        <w:t>检测设备运行油位，是否有漏油现象。</w:t>
      </w:r>
    </w:p>
    <w:p>
      <w:pPr>
        <w:spacing w:line="240" w:lineRule="auto"/>
        <w:rPr>
          <w:rFonts w:hint="eastAsia" w:ascii="幼圆" w:hAnsi="幼圆" w:eastAsia="幼圆" w:cs="幼圆"/>
          <w:color w:val="000000"/>
          <w:kern w:val="0"/>
          <w:sz w:val="22"/>
          <w:szCs w:val="22"/>
        </w:rPr>
      </w:pPr>
      <w:r>
        <w:rPr>
          <w:rFonts w:hint="eastAsia" w:ascii="幼圆" w:hAnsi="幼圆" w:eastAsia="幼圆" w:cs="幼圆"/>
          <w:spacing w:val="14"/>
          <w:szCs w:val="21"/>
          <w:lang w:eastAsia="zh-CN"/>
        </w:rPr>
        <w:t>（</w:t>
      </w:r>
      <w:r>
        <w:rPr>
          <w:rFonts w:hint="eastAsia" w:ascii="幼圆" w:hAnsi="幼圆" w:eastAsia="幼圆" w:cs="幼圆"/>
          <w:spacing w:val="14"/>
          <w:szCs w:val="21"/>
          <w:lang w:val="en-US" w:eastAsia="zh-CN"/>
        </w:rPr>
        <w:t>3</w:t>
      </w:r>
      <w:r>
        <w:rPr>
          <w:rFonts w:hint="eastAsia" w:ascii="幼圆" w:hAnsi="幼圆" w:eastAsia="幼圆" w:cs="幼圆"/>
          <w:spacing w:val="14"/>
          <w:szCs w:val="21"/>
          <w:lang w:eastAsia="zh-CN"/>
        </w:rPr>
        <w:t>）</w:t>
      </w:r>
      <w:r>
        <w:rPr>
          <w:rFonts w:hint="eastAsia" w:ascii="幼圆" w:hAnsi="幼圆" w:eastAsia="幼圆" w:cs="幼圆"/>
          <w:spacing w:val="14"/>
          <w:szCs w:val="21"/>
        </w:rPr>
        <w:t>每月</w:t>
      </w:r>
      <w:r>
        <w:rPr>
          <w:rFonts w:hint="eastAsia" w:ascii="幼圆" w:hAnsi="幼圆" w:eastAsia="幼圆" w:cs="幼圆"/>
          <w:color w:val="000000"/>
          <w:kern w:val="0"/>
          <w:sz w:val="22"/>
          <w:szCs w:val="22"/>
        </w:rPr>
        <w:t>检测真空管道及排气管道，检查是否出现背压。</w:t>
      </w:r>
    </w:p>
    <w:p>
      <w:pPr>
        <w:spacing w:line="240" w:lineRule="auto"/>
        <w:rPr>
          <w:rFonts w:hint="eastAsia" w:ascii="幼圆" w:hAnsi="幼圆" w:eastAsia="幼圆" w:cs="幼圆"/>
          <w:color w:val="000000"/>
          <w:kern w:val="0"/>
          <w:sz w:val="22"/>
          <w:szCs w:val="22"/>
        </w:rPr>
      </w:pPr>
      <w:r>
        <w:rPr>
          <w:rFonts w:hint="eastAsia" w:ascii="幼圆" w:hAnsi="幼圆" w:eastAsia="幼圆" w:cs="幼圆"/>
          <w:spacing w:val="14"/>
          <w:szCs w:val="21"/>
          <w:lang w:eastAsia="zh-CN"/>
        </w:rPr>
        <w:t>（</w:t>
      </w:r>
      <w:r>
        <w:rPr>
          <w:rFonts w:hint="eastAsia" w:ascii="幼圆" w:hAnsi="幼圆" w:eastAsia="幼圆" w:cs="幼圆"/>
          <w:spacing w:val="14"/>
          <w:szCs w:val="21"/>
          <w:lang w:val="en-US" w:eastAsia="zh-CN"/>
        </w:rPr>
        <w:t>4</w:t>
      </w:r>
      <w:r>
        <w:rPr>
          <w:rFonts w:hint="eastAsia" w:ascii="幼圆" w:hAnsi="幼圆" w:eastAsia="幼圆" w:cs="幼圆"/>
          <w:spacing w:val="14"/>
          <w:szCs w:val="21"/>
          <w:lang w:eastAsia="zh-CN"/>
        </w:rPr>
        <w:t>）</w:t>
      </w:r>
      <w:r>
        <w:rPr>
          <w:rFonts w:hint="eastAsia" w:ascii="幼圆" w:hAnsi="幼圆" w:eastAsia="幼圆" w:cs="幼圆"/>
          <w:spacing w:val="14"/>
          <w:szCs w:val="21"/>
        </w:rPr>
        <w:t>每月</w:t>
      </w:r>
      <w:r>
        <w:rPr>
          <w:rFonts w:hint="eastAsia" w:ascii="幼圆" w:hAnsi="幼圆" w:eastAsia="幼圆" w:cs="幼圆"/>
          <w:color w:val="000000"/>
          <w:kern w:val="0"/>
          <w:sz w:val="22"/>
          <w:szCs w:val="22"/>
        </w:rPr>
        <w:t>检查真空泵储气罐，管道阀门是否正常。</w:t>
      </w:r>
    </w:p>
    <w:p>
      <w:pPr>
        <w:spacing w:line="240" w:lineRule="auto"/>
        <w:rPr>
          <w:rFonts w:hint="eastAsia" w:ascii="幼圆" w:hAnsi="幼圆" w:eastAsia="幼圆" w:cs="幼圆"/>
          <w:color w:val="000000"/>
          <w:kern w:val="0"/>
          <w:sz w:val="22"/>
          <w:szCs w:val="22"/>
          <w:lang w:eastAsia="zh-CN"/>
        </w:rPr>
      </w:pPr>
      <w:r>
        <w:rPr>
          <w:rFonts w:hint="eastAsia" w:ascii="幼圆" w:hAnsi="幼圆" w:eastAsia="幼圆" w:cs="幼圆"/>
          <w:color w:val="000000"/>
          <w:kern w:val="0"/>
          <w:sz w:val="22"/>
          <w:szCs w:val="22"/>
          <w:lang w:eastAsia="zh-CN"/>
        </w:rPr>
        <w:t>（</w:t>
      </w:r>
      <w:r>
        <w:rPr>
          <w:rFonts w:hint="eastAsia" w:ascii="幼圆" w:hAnsi="幼圆" w:eastAsia="幼圆" w:cs="幼圆"/>
          <w:color w:val="000000"/>
          <w:kern w:val="0"/>
          <w:sz w:val="22"/>
          <w:szCs w:val="22"/>
          <w:lang w:val="en-US" w:eastAsia="zh-CN"/>
        </w:rPr>
        <w:t>5</w:t>
      </w:r>
      <w:r>
        <w:rPr>
          <w:rFonts w:hint="eastAsia" w:ascii="幼圆" w:hAnsi="幼圆" w:eastAsia="幼圆" w:cs="幼圆"/>
          <w:color w:val="000000"/>
          <w:kern w:val="0"/>
          <w:sz w:val="22"/>
          <w:szCs w:val="22"/>
          <w:lang w:eastAsia="zh-CN"/>
        </w:rPr>
        <w:t>）每月检查电控柜、压力表等是否正常，对设备进行维护清扫紧固。</w:t>
      </w:r>
    </w:p>
    <w:p>
      <w:pPr>
        <w:spacing w:line="240" w:lineRule="auto"/>
        <w:rPr>
          <w:rFonts w:hint="eastAsia" w:ascii="幼圆" w:hAnsi="幼圆" w:eastAsia="幼圆" w:cs="幼圆"/>
          <w:color w:val="000000"/>
          <w:kern w:val="0"/>
          <w:sz w:val="22"/>
          <w:szCs w:val="22"/>
          <w:lang w:eastAsia="zh-CN"/>
        </w:rPr>
      </w:pPr>
      <w:r>
        <w:rPr>
          <w:rFonts w:hint="eastAsia" w:ascii="幼圆" w:hAnsi="幼圆" w:eastAsia="幼圆" w:cs="幼圆"/>
          <w:color w:val="000000"/>
          <w:kern w:val="0"/>
          <w:sz w:val="22"/>
          <w:szCs w:val="22"/>
          <w:lang w:eastAsia="zh-CN"/>
        </w:rPr>
        <w:t>（</w:t>
      </w:r>
      <w:r>
        <w:rPr>
          <w:rFonts w:hint="eastAsia" w:ascii="幼圆" w:hAnsi="幼圆" w:eastAsia="幼圆" w:cs="幼圆"/>
          <w:color w:val="000000"/>
          <w:kern w:val="0"/>
          <w:sz w:val="22"/>
          <w:szCs w:val="22"/>
          <w:lang w:val="en-US" w:eastAsia="zh-CN"/>
        </w:rPr>
        <w:t>6</w:t>
      </w:r>
      <w:r>
        <w:rPr>
          <w:rFonts w:hint="eastAsia" w:ascii="幼圆" w:hAnsi="幼圆" w:eastAsia="幼圆" w:cs="幼圆"/>
          <w:color w:val="000000"/>
          <w:kern w:val="0"/>
          <w:sz w:val="22"/>
          <w:szCs w:val="22"/>
          <w:lang w:eastAsia="zh-CN"/>
        </w:rPr>
        <w:t>）每月清理除菌过滤器。</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六、安全与应急管理</w:t>
      </w:r>
    </w:p>
    <w:p>
      <w:pPr>
        <w:spacing w:line="240" w:lineRule="auto"/>
        <w:rPr>
          <w:rFonts w:hint="eastAsia" w:ascii="幼圆" w:hAnsi="幼圆" w:eastAsia="幼圆" w:cs="幼圆"/>
          <w:bCs/>
          <w:snapToGrid w:val="0"/>
          <w:kern w:val="21"/>
          <w:szCs w:val="21"/>
        </w:rPr>
      </w:pPr>
      <w:r>
        <w:rPr>
          <w:rFonts w:hint="eastAsia" w:ascii="幼圆" w:hAnsi="幼圆" w:eastAsia="幼圆" w:cs="幼圆"/>
          <w:bCs/>
          <w:snapToGrid w:val="0"/>
          <w:kern w:val="21"/>
          <w:szCs w:val="21"/>
        </w:rPr>
        <w:t>1、工作许可：任何维保作业必须执行严格的动火作业、有限空间作业、高空作业、临时用电许可证制度。</w:t>
      </w:r>
    </w:p>
    <w:p>
      <w:pPr>
        <w:spacing w:line="240" w:lineRule="auto"/>
        <w:rPr>
          <w:rFonts w:hint="eastAsia" w:ascii="幼圆" w:hAnsi="幼圆" w:eastAsia="幼圆" w:cs="幼圆"/>
          <w:bCs/>
          <w:snapToGrid w:val="0"/>
          <w:kern w:val="21"/>
          <w:szCs w:val="21"/>
        </w:rPr>
      </w:pPr>
      <w:r>
        <w:rPr>
          <w:rFonts w:hint="eastAsia" w:ascii="幼圆" w:hAnsi="幼圆" w:eastAsia="幼圆" w:cs="幼圆"/>
          <w:bCs/>
          <w:snapToGrid w:val="0"/>
          <w:kern w:val="21"/>
          <w:szCs w:val="21"/>
        </w:rPr>
        <w:t>2、应急预案： 制定针对停</w:t>
      </w:r>
      <w:r>
        <w:rPr>
          <w:rFonts w:hint="eastAsia" w:ascii="幼圆" w:hAnsi="幼圆" w:eastAsia="幼圆" w:cs="幼圆"/>
          <w:bCs/>
          <w:snapToGrid w:val="0"/>
          <w:kern w:val="21"/>
          <w:szCs w:val="21"/>
          <w:lang w:eastAsia="zh-CN"/>
        </w:rPr>
        <w:t>负压气体</w:t>
      </w:r>
      <w:r>
        <w:rPr>
          <w:rFonts w:hint="eastAsia" w:ascii="幼圆" w:hAnsi="幼圆" w:eastAsia="幼圆" w:cs="幼圆"/>
          <w:bCs/>
          <w:snapToGrid w:val="0"/>
          <w:kern w:val="21"/>
          <w:szCs w:val="21"/>
        </w:rPr>
        <w:t>等突发事件的应急预案，包括紧急停机、</w:t>
      </w:r>
      <w:r>
        <w:rPr>
          <w:rFonts w:hint="eastAsia" w:ascii="幼圆" w:hAnsi="幼圆" w:eastAsia="幼圆" w:cs="幼圆"/>
          <w:bCs/>
          <w:snapToGrid w:val="0"/>
          <w:kern w:val="21"/>
          <w:szCs w:val="21"/>
          <w:lang w:eastAsia="zh-CN"/>
        </w:rPr>
        <w:t>备用设备投入</w:t>
      </w:r>
      <w:r>
        <w:rPr>
          <w:rFonts w:hint="eastAsia" w:ascii="幼圆" w:hAnsi="幼圆" w:eastAsia="幼圆" w:cs="幼圆"/>
          <w:bCs/>
          <w:snapToGrid w:val="0"/>
          <w:kern w:val="21"/>
          <w:szCs w:val="21"/>
        </w:rPr>
        <w:t>、现场处置流程等，并定期组织演练。</w:t>
      </w:r>
    </w:p>
    <w:p>
      <w:pPr>
        <w:spacing w:line="240" w:lineRule="auto"/>
        <w:rPr>
          <w:rFonts w:hint="eastAsia" w:ascii="幼圆" w:hAnsi="幼圆" w:eastAsia="幼圆" w:cs="幼圆"/>
          <w:bCs/>
          <w:snapToGrid w:val="0"/>
          <w:kern w:val="21"/>
          <w:szCs w:val="21"/>
        </w:rPr>
      </w:pPr>
      <w:r>
        <w:rPr>
          <w:rFonts w:hint="eastAsia" w:ascii="幼圆" w:hAnsi="幼圆" w:eastAsia="幼圆" w:cs="幼圆"/>
          <w:bCs/>
          <w:snapToGrid w:val="0"/>
          <w:kern w:val="21"/>
          <w:szCs w:val="21"/>
        </w:rPr>
        <w:t>3、个人防护： 作业人员必须配备合格的工服、手套、安全鞋等个人防护装备。</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七、验收及考核</w:t>
      </w:r>
    </w:p>
    <w:p>
      <w:pPr>
        <w:spacing w:line="240" w:lineRule="auto"/>
        <w:rPr>
          <w:rFonts w:hint="eastAsia" w:ascii="幼圆" w:hAnsi="幼圆" w:eastAsia="幼圆" w:cs="幼圆"/>
          <w:szCs w:val="21"/>
        </w:rPr>
      </w:pPr>
      <w:r>
        <w:rPr>
          <w:rFonts w:hint="eastAsia" w:ascii="幼圆" w:hAnsi="幼圆" w:eastAsia="幼圆" w:cs="幼圆"/>
          <w:bCs/>
          <w:snapToGrid w:val="0"/>
          <w:kern w:val="21"/>
          <w:szCs w:val="21"/>
        </w:rPr>
        <w:t xml:space="preserve">1、运行参数正常： </w:t>
      </w:r>
      <w:r>
        <w:rPr>
          <w:rFonts w:hint="eastAsia" w:ascii="幼圆" w:hAnsi="幼圆" w:eastAsia="幼圆" w:cs="幼圆"/>
          <w:szCs w:val="21"/>
        </w:rPr>
        <w:t>保证甲方设备安全运行，保障24小时不间断安全运行，因设备异常或乙方操作不当引起的事故，所造成的损失，乙方负全责。</w:t>
      </w:r>
    </w:p>
    <w:p>
      <w:pPr>
        <w:spacing w:line="240" w:lineRule="auto"/>
        <w:rPr>
          <w:rFonts w:hint="eastAsia" w:ascii="幼圆" w:hAnsi="幼圆" w:eastAsia="幼圆" w:cs="幼圆"/>
          <w:spacing w:val="14"/>
          <w:szCs w:val="21"/>
        </w:rPr>
      </w:pPr>
      <w:r>
        <w:rPr>
          <w:rFonts w:hint="eastAsia" w:ascii="幼圆" w:hAnsi="幼圆" w:eastAsia="幼圆" w:cs="幼圆"/>
          <w:szCs w:val="21"/>
        </w:rPr>
        <w:t>2、</w:t>
      </w:r>
      <w:r>
        <w:rPr>
          <w:rFonts w:hint="eastAsia" w:ascii="幼圆" w:hAnsi="幼圆" w:eastAsia="幼圆" w:cs="幼圆"/>
          <w:spacing w:val="14"/>
          <w:szCs w:val="21"/>
        </w:rPr>
        <w:t>（1）服务时间安排：</w:t>
      </w:r>
    </w:p>
    <w:p>
      <w:pPr>
        <w:spacing w:line="240" w:lineRule="auto"/>
        <w:ind w:left="420"/>
        <w:rPr>
          <w:rFonts w:hint="eastAsia" w:ascii="幼圆" w:hAnsi="幼圆" w:eastAsia="幼圆" w:cs="幼圆"/>
          <w:spacing w:val="14"/>
          <w:szCs w:val="21"/>
        </w:rPr>
      </w:pPr>
      <w:r>
        <w:rPr>
          <w:rFonts w:hint="eastAsia" w:ascii="幼圆" w:hAnsi="幼圆" w:eastAsia="幼圆" w:cs="幼圆"/>
          <w:spacing w:val="14"/>
          <w:szCs w:val="21"/>
        </w:rPr>
        <w:t>A</w:t>
      </w:r>
      <w:r>
        <w:rPr>
          <w:rFonts w:hint="eastAsia" w:ascii="幼圆" w:hAnsi="幼圆" w:eastAsia="幼圆" w:cs="幼圆"/>
          <w:color w:val="000000"/>
          <w:kern w:val="0"/>
          <w:sz w:val="22"/>
          <w:szCs w:val="22"/>
        </w:rPr>
        <w:t>每月检测电机电流、电控柜、电压、真空度、噪音使用正常。</w:t>
      </w:r>
    </w:p>
    <w:p>
      <w:pPr>
        <w:spacing w:line="240" w:lineRule="auto"/>
        <w:ind w:left="420"/>
        <w:rPr>
          <w:rFonts w:hint="eastAsia" w:ascii="幼圆" w:hAnsi="幼圆" w:eastAsia="幼圆" w:cs="幼圆"/>
          <w:color w:val="000000"/>
          <w:kern w:val="0"/>
          <w:sz w:val="22"/>
          <w:szCs w:val="22"/>
        </w:rPr>
      </w:pPr>
      <w:r>
        <w:rPr>
          <w:rFonts w:hint="eastAsia" w:ascii="幼圆" w:hAnsi="幼圆" w:eastAsia="幼圆" w:cs="幼圆"/>
          <w:spacing w:val="14"/>
          <w:szCs w:val="21"/>
        </w:rPr>
        <w:t>B每月</w:t>
      </w:r>
      <w:r>
        <w:rPr>
          <w:rFonts w:hint="eastAsia" w:ascii="幼圆" w:hAnsi="幼圆" w:eastAsia="幼圆" w:cs="幼圆"/>
          <w:color w:val="000000"/>
          <w:kern w:val="0"/>
          <w:sz w:val="22"/>
          <w:szCs w:val="22"/>
        </w:rPr>
        <w:t>检测设备运行油位，是否有漏油现象。</w:t>
      </w:r>
    </w:p>
    <w:p>
      <w:pPr>
        <w:spacing w:line="240" w:lineRule="auto"/>
        <w:ind w:left="420"/>
        <w:rPr>
          <w:rFonts w:hint="eastAsia" w:ascii="幼圆" w:hAnsi="幼圆" w:eastAsia="幼圆" w:cs="幼圆"/>
          <w:color w:val="000000"/>
          <w:kern w:val="0"/>
          <w:sz w:val="22"/>
          <w:szCs w:val="22"/>
        </w:rPr>
      </w:pPr>
      <w:r>
        <w:rPr>
          <w:rFonts w:hint="eastAsia" w:ascii="幼圆" w:hAnsi="幼圆" w:eastAsia="幼圆" w:cs="幼圆"/>
          <w:spacing w:val="14"/>
          <w:szCs w:val="21"/>
        </w:rPr>
        <w:t>C每月</w:t>
      </w:r>
      <w:r>
        <w:rPr>
          <w:rFonts w:hint="eastAsia" w:ascii="幼圆" w:hAnsi="幼圆" w:eastAsia="幼圆" w:cs="幼圆"/>
          <w:color w:val="000000"/>
          <w:kern w:val="0"/>
          <w:sz w:val="22"/>
          <w:szCs w:val="22"/>
        </w:rPr>
        <w:t>检测真空管道及排气管道，检查是否出现背压。</w:t>
      </w:r>
    </w:p>
    <w:p>
      <w:pPr>
        <w:spacing w:line="240" w:lineRule="auto"/>
        <w:ind w:left="420"/>
        <w:rPr>
          <w:rFonts w:hint="eastAsia" w:ascii="幼圆" w:hAnsi="幼圆" w:eastAsia="幼圆" w:cs="幼圆"/>
          <w:spacing w:val="14"/>
          <w:szCs w:val="21"/>
        </w:rPr>
      </w:pPr>
      <w:r>
        <w:rPr>
          <w:rFonts w:hint="eastAsia" w:ascii="幼圆" w:hAnsi="幼圆" w:eastAsia="幼圆" w:cs="幼圆"/>
          <w:spacing w:val="14"/>
          <w:szCs w:val="21"/>
        </w:rPr>
        <w:t>D每月</w:t>
      </w:r>
      <w:r>
        <w:rPr>
          <w:rFonts w:hint="eastAsia" w:ascii="幼圆" w:hAnsi="幼圆" w:eastAsia="幼圆" w:cs="幼圆"/>
          <w:color w:val="000000"/>
          <w:kern w:val="0"/>
          <w:sz w:val="22"/>
          <w:szCs w:val="22"/>
        </w:rPr>
        <w:t>检查真空泵储气罐，管道阀门是否正常。</w:t>
      </w:r>
    </w:p>
    <w:p>
      <w:pPr>
        <w:spacing w:line="240" w:lineRule="auto"/>
        <w:rPr>
          <w:rFonts w:hint="eastAsia" w:ascii="幼圆" w:hAnsi="幼圆" w:eastAsia="幼圆" w:cs="幼圆"/>
          <w:spacing w:val="14"/>
          <w:szCs w:val="21"/>
        </w:rPr>
      </w:pPr>
      <w:r>
        <w:rPr>
          <w:rFonts w:hint="eastAsia" w:ascii="幼圆" w:hAnsi="幼圆" w:eastAsia="幼圆" w:cs="幼圆"/>
          <w:spacing w:val="14"/>
          <w:szCs w:val="21"/>
        </w:rPr>
        <w:t>响应时间：</w:t>
      </w:r>
    </w:p>
    <w:p>
      <w:pPr>
        <w:spacing w:line="240" w:lineRule="auto"/>
        <w:ind w:left="420"/>
        <w:rPr>
          <w:rFonts w:hint="eastAsia" w:ascii="幼圆" w:hAnsi="幼圆" w:eastAsia="幼圆" w:cs="幼圆"/>
          <w:spacing w:val="14"/>
          <w:szCs w:val="21"/>
        </w:rPr>
      </w:pPr>
      <w:r>
        <w:rPr>
          <w:rFonts w:hint="eastAsia" w:ascii="幼圆" w:hAnsi="幼圆" w:eastAsia="幼圆" w:cs="幼圆"/>
          <w:spacing w:val="14"/>
          <w:szCs w:val="21"/>
        </w:rPr>
        <w:t>E电话响应时间 2 小时内；</w:t>
      </w:r>
    </w:p>
    <w:p>
      <w:pPr>
        <w:spacing w:line="240" w:lineRule="auto"/>
        <w:ind w:left="420"/>
        <w:rPr>
          <w:rFonts w:hint="eastAsia" w:ascii="幼圆" w:hAnsi="幼圆" w:eastAsia="幼圆" w:cs="幼圆"/>
          <w:szCs w:val="21"/>
        </w:rPr>
      </w:pPr>
      <w:r>
        <w:rPr>
          <w:rFonts w:hint="eastAsia" w:ascii="幼圆" w:hAnsi="幼圆" w:eastAsia="幼圆" w:cs="幼圆"/>
          <w:spacing w:val="14"/>
          <w:szCs w:val="21"/>
        </w:rPr>
        <w:t>F到达现场时间 4 小时内</w:t>
      </w:r>
    </w:p>
    <w:p>
      <w:pPr>
        <w:spacing w:line="240" w:lineRule="auto"/>
        <w:ind w:left="420"/>
        <w:rPr>
          <w:rFonts w:hint="eastAsia" w:ascii="幼圆" w:hAnsi="幼圆" w:eastAsia="幼圆" w:cs="幼圆"/>
          <w:szCs w:val="21"/>
        </w:rPr>
      </w:pPr>
      <w:r>
        <w:rPr>
          <w:rFonts w:hint="eastAsia" w:ascii="幼圆" w:hAnsi="幼圆" w:eastAsia="幼圆" w:cs="幼圆"/>
          <w:szCs w:val="21"/>
        </w:rPr>
        <w:t>G乙方维保配件应充足，紧急故障</w:t>
      </w:r>
      <w:r>
        <w:rPr>
          <w:rFonts w:hint="eastAsia" w:ascii="幼圆" w:hAnsi="幼圆" w:eastAsia="幼圆" w:cs="幼圆"/>
          <w:szCs w:val="21"/>
          <w:u w:val="single"/>
        </w:rPr>
        <w:t xml:space="preserve">   </w:t>
      </w:r>
      <w:r>
        <w:rPr>
          <w:rFonts w:hint="eastAsia" w:ascii="幼圆" w:hAnsi="幼圆" w:eastAsia="幼圆" w:cs="幼圆"/>
          <w:szCs w:val="21"/>
          <w:u w:val="single"/>
          <w:lang w:val="en-US" w:eastAsia="zh-CN"/>
        </w:rPr>
        <w:t>0.5</w:t>
      </w:r>
      <w:r>
        <w:rPr>
          <w:rFonts w:hint="eastAsia" w:ascii="幼圆" w:hAnsi="幼圆" w:eastAsia="幼圆" w:cs="幼圆"/>
          <w:szCs w:val="21"/>
          <w:u w:val="single"/>
        </w:rPr>
        <w:t xml:space="preserve">   </w:t>
      </w:r>
      <w:r>
        <w:rPr>
          <w:rFonts w:hint="eastAsia" w:ascii="幼圆" w:hAnsi="幼圆" w:eastAsia="幼圆" w:cs="幼圆"/>
          <w:szCs w:val="21"/>
        </w:rPr>
        <w:t>小时内维修完成；</w:t>
      </w:r>
    </w:p>
    <w:p>
      <w:pPr>
        <w:spacing w:line="240" w:lineRule="auto"/>
        <w:ind w:left="420"/>
        <w:rPr>
          <w:rFonts w:hint="eastAsia" w:ascii="幼圆" w:hAnsi="幼圆" w:eastAsia="幼圆" w:cs="幼圆"/>
          <w:spacing w:val="14"/>
          <w:szCs w:val="21"/>
        </w:rPr>
      </w:pPr>
      <w:r>
        <w:rPr>
          <w:rFonts w:hint="eastAsia" w:ascii="幼圆" w:hAnsi="幼圆" w:eastAsia="幼圆" w:cs="幼圆"/>
          <w:szCs w:val="21"/>
        </w:rPr>
        <w:t>H一般故障自报修起</w:t>
      </w:r>
      <w:r>
        <w:rPr>
          <w:rFonts w:hint="eastAsia" w:ascii="幼圆" w:hAnsi="幼圆" w:eastAsia="幼圆" w:cs="幼圆"/>
          <w:szCs w:val="21"/>
          <w:u w:val="single"/>
        </w:rPr>
        <w:t xml:space="preserve">   </w:t>
      </w:r>
      <w:r>
        <w:rPr>
          <w:rFonts w:hint="eastAsia" w:ascii="幼圆" w:hAnsi="幼圆" w:eastAsia="幼圆" w:cs="幼圆"/>
          <w:szCs w:val="21"/>
          <w:u w:val="single"/>
          <w:lang w:val="en-US" w:eastAsia="zh-CN"/>
        </w:rPr>
        <w:t>2</w:t>
      </w:r>
      <w:r>
        <w:rPr>
          <w:rFonts w:hint="eastAsia" w:ascii="幼圆" w:hAnsi="幼圆" w:eastAsia="幼圆" w:cs="幼圆"/>
          <w:szCs w:val="21"/>
          <w:u w:val="single"/>
        </w:rPr>
        <w:t xml:space="preserve">   </w:t>
      </w:r>
      <w:r>
        <w:rPr>
          <w:rFonts w:hint="eastAsia" w:ascii="幼圆" w:hAnsi="幼圆" w:eastAsia="幼圆" w:cs="幼圆"/>
          <w:szCs w:val="21"/>
          <w:lang w:eastAsia="zh-CN"/>
        </w:rPr>
        <w:t>小时</w:t>
      </w:r>
      <w:r>
        <w:rPr>
          <w:rFonts w:hint="eastAsia" w:ascii="幼圆" w:hAnsi="幼圆" w:eastAsia="幼圆" w:cs="幼圆"/>
          <w:szCs w:val="21"/>
        </w:rPr>
        <w:t>内维修完成。</w:t>
      </w:r>
    </w:p>
    <w:p>
      <w:pPr>
        <w:spacing w:line="240" w:lineRule="auto"/>
        <w:rPr>
          <w:rFonts w:hint="eastAsia" w:ascii="幼圆" w:hAnsi="幼圆" w:eastAsia="幼圆" w:cs="幼圆"/>
          <w:spacing w:val="14"/>
          <w:szCs w:val="21"/>
        </w:rPr>
      </w:pPr>
      <w:r>
        <w:rPr>
          <w:rFonts w:hint="eastAsia" w:ascii="幼圆" w:hAnsi="幼圆" w:eastAsia="幼圆" w:cs="幼圆"/>
          <w:spacing w:val="14"/>
          <w:szCs w:val="21"/>
        </w:rPr>
        <w:t>（2）乙方负责对院区所包括的所有真空设施的维修保养。合同签订一个月内，对院区内所含设备实施检查，各个系统正常工作，与甲方代表共同签字确认备案。</w:t>
      </w:r>
    </w:p>
    <w:p>
      <w:pPr>
        <w:spacing w:line="240" w:lineRule="auto"/>
        <w:rPr>
          <w:rFonts w:hint="eastAsia" w:ascii="幼圆" w:hAnsi="幼圆" w:eastAsia="幼圆" w:cs="幼圆"/>
          <w:spacing w:val="14"/>
          <w:szCs w:val="21"/>
        </w:rPr>
      </w:pPr>
      <w:r>
        <w:rPr>
          <w:rFonts w:hint="eastAsia" w:ascii="幼圆" w:hAnsi="幼圆" w:eastAsia="幼圆" w:cs="幼圆"/>
          <w:spacing w:val="14"/>
          <w:szCs w:val="21"/>
        </w:rPr>
        <w:t>（3）维保工作一般故障要做到小修不过夜，大修不超周。小修范围：根据故障情况，甲方管理值班人员及时通知乙方，乙方维护人员应积极配合及时完成维护，甲方要对每次通知落实情况进行考核，乙方如有延误，小修考核每次罚扣500元，大修考核每次罚扣1000元，以便对维保工作的促进。</w:t>
      </w:r>
    </w:p>
    <w:p>
      <w:pPr>
        <w:spacing w:line="240" w:lineRule="auto"/>
        <w:rPr>
          <w:rFonts w:hint="eastAsia" w:ascii="幼圆" w:hAnsi="幼圆" w:eastAsia="幼圆" w:cs="幼圆"/>
          <w:spacing w:val="14"/>
          <w:szCs w:val="21"/>
        </w:rPr>
      </w:pPr>
      <w:r>
        <w:rPr>
          <w:rFonts w:hint="eastAsia" w:ascii="幼圆" w:hAnsi="幼圆" w:eastAsia="幼圆" w:cs="幼圆"/>
          <w:spacing w:val="14"/>
          <w:szCs w:val="21"/>
        </w:rPr>
        <w:t>（4）维保期间由乙方工作延误导致人身、财产损失，由乙方承担全部责任。</w:t>
      </w:r>
    </w:p>
    <w:p>
      <w:pPr>
        <w:spacing w:line="240" w:lineRule="auto"/>
        <w:rPr>
          <w:rFonts w:hint="eastAsia" w:ascii="幼圆" w:hAnsi="幼圆" w:eastAsia="幼圆" w:cs="幼圆"/>
          <w:spacing w:val="14"/>
          <w:szCs w:val="21"/>
        </w:rPr>
      </w:pPr>
      <w:r>
        <w:rPr>
          <w:rFonts w:hint="eastAsia" w:ascii="幼圆" w:hAnsi="幼圆" w:eastAsia="幼圆" w:cs="幼圆"/>
          <w:spacing w:val="14"/>
          <w:szCs w:val="21"/>
        </w:rPr>
        <w:t>（5）乙方维保人员工作期间应穿统一服装、佩戴工作证件等，维保期间乙方的安全责任和由乙方引起的安全责任由乙方负责。</w:t>
      </w:r>
    </w:p>
    <w:p>
      <w:pPr>
        <w:spacing w:line="240" w:lineRule="auto"/>
        <w:rPr>
          <w:rFonts w:hint="eastAsia" w:ascii="幼圆" w:hAnsi="幼圆" w:eastAsia="幼圆" w:cs="幼圆"/>
          <w:spacing w:val="14"/>
          <w:szCs w:val="21"/>
        </w:rPr>
      </w:pPr>
      <w:r>
        <w:rPr>
          <w:rFonts w:hint="eastAsia" w:ascii="幼圆" w:hAnsi="幼圆" w:eastAsia="幼圆" w:cs="幼圆"/>
          <w:spacing w:val="14"/>
          <w:szCs w:val="21"/>
        </w:rPr>
        <w:t>（6）每月维保工作结束时应在次月5号前出具月度工作报告及相关维修保养记录交付甲方，每次延迟交付罚500元。</w:t>
      </w:r>
    </w:p>
    <w:p>
      <w:pPr>
        <w:spacing w:line="240" w:lineRule="auto"/>
        <w:rPr>
          <w:rFonts w:hint="eastAsia" w:ascii="幼圆" w:hAnsi="幼圆" w:eastAsia="幼圆" w:cs="幼圆"/>
          <w:spacing w:val="14"/>
          <w:szCs w:val="21"/>
        </w:rPr>
      </w:pPr>
      <w:r>
        <w:rPr>
          <w:rFonts w:hint="eastAsia" w:ascii="幼圆" w:hAnsi="幼圆" w:eastAsia="幼圆" w:cs="幼圆"/>
          <w:spacing w:val="14"/>
          <w:szCs w:val="21"/>
        </w:rPr>
        <w:t>（7）乙方应该为甲方建立真空泵运行使用档案，派从事真空泵设备维护、运行的专业技术人员提供服务，定期回访，每年乙方与甲方共同进行一次系统的全面检查。现场故障在维修后，乙方将故障原因、维修内容、完成时间形成报告单交付给甲方，报告一式两份。</w:t>
      </w:r>
    </w:p>
    <w:p>
      <w:pPr>
        <w:spacing w:line="240" w:lineRule="auto"/>
        <w:rPr>
          <w:rFonts w:hint="eastAsia" w:ascii="幼圆" w:hAnsi="幼圆" w:eastAsia="幼圆" w:cs="幼圆"/>
          <w:bCs/>
          <w:snapToGrid w:val="0"/>
          <w:kern w:val="21"/>
          <w:szCs w:val="21"/>
        </w:rPr>
      </w:pPr>
      <w:r>
        <w:rPr>
          <w:rFonts w:hint="eastAsia" w:ascii="幼圆" w:hAnsi="幼圆" w:eastAsia="幼圆" w:cs="幼圆"/>
          <w:spacing w:val="14"/>
          <w:szCs w:val="21"/>
        </w:rPr>
        <w:t>（8）</w:t>
      </w:r>
      <w:r>
        <w:rPr>
          <w:rFonts w:hint="eastAsia" w:ascii="幼圆" w:hAnsi="幼圆" w:eastAsia="幼圆" w:cs="幼圆"/>
          <w:bCs/>
          <w:snapToGrid w:val="0"/>
          <w:kern w:val="21"/>
          <w:szCs w:val="21"/>
        </w:rPr>
        <w:t>施工厂商按照我院工程师要求进行施工作业。</w:t>
      </w:r>
    </w:p>
    <w:p>
      <w:pPr>
        <w:spacing w:line="240" w:lineRule="auto"/>
        <w:rPr>
          <w:rFonts w:hint="eastAsia" w:ascii="幼圆" w:hAnsi="幼圆" w:eastAsia="幼圆" w:cs="幼圆"/>
          <w:bCs/>
          <w:snapToGrid w:val="0"/>
          <w:kern w:val="21"/>
          <w:szCs w:val="21"/>
        </w:rPr>
      </w:pPr>
      <w:r>
        <w:rPr>
          <w:rFonts w:hint="eastAsia" w:ascii="幼圆" w:hAnsi="幼圆" w:eastAsia="幼圆" w:cs="幼圆"/>
          <w:spacing w:val="14"/>
          <w:szCs w:val="21"/>
        </w:rPr>
        <w:t>（9）</w:t>
      </w:r>
      <w:r>
        <w:rPr>
          <w:rFonts w:hint="eastAsia" w:ascii="幼圆" w:hAnsi="幼圆" w:eastAsia="幼圆" w:cs="幼圆"/>
          <w:bCs/>
          <w:snapToGrid w:val="0"/>
          <w:kern w:val="21"/>
          <w:szCs w:val="21"/>
        </w:rPr>
        <w:t>施工作业中依照规程及操作方法进行，不可违章作业。</w:t>
      </w:r>
    </w:p>
    <w:p>
      <w:pPr>
        <w:spacing w:line="240" w:lineRule="auto"/>
        <w:rPr>
          <w:rFonts w:hint="eastAsia" w:ascii="幼圆" w:hAnsi="幼圆" w:eastAsia="幼圆" w:cs="幼圆"/>
          <w:bCs/>
          <w:snapToGrid w:val="0"/>
          <w:kern w:val="21"/>
          <w:szCs w:val="21"/>
        </w:rPr>
      </w:pPr>
      <w:r>
        <w:rPr>
          <w:rFonts w:hint="eastAsia" w:ascii="幼圆" w:hAnsi="幼圆" w:eastAsia="幼圆" w:cs="幼圆"/>
          <w:spacing w:val="14"/>
          <w:szCs w:val="21"/>
        </w:rPr>
        <w:t>（10）</w:t>
      </w:r>
      <w:r>
        <w:rPr>
          <w:rFonts w:hint="eastAsia" w:ascii="幼圆" w:hAnsi="幼圆" w:eastAsia="幼圆" w:cs="幼圆"/>
          <w:bCs/>
          <w:snapToGrid w:val="0"/>
          <w:kern w:val="21"/>
          <w:szCs w:val="21"/>
        </w:rPr>
        <w:t>施工作业人员持有相关的证照，并配合我院工程师检查。</w:t>
      </w:r>
    </w:p>
    <w:p>
      <w:pPr>
        <w:spacing w:line="240" w:lineRule="auto"/>
        <w:rPr>
          <w:rFonts w:hint="eastAsia" w:ascii="幼圆" w:hAnsi="幼圆" w:eastAsia="幼圆" w:cs="幼圆"/>
          <w:sz w:val="21"/>
          <w:szCs w:val="21"/>
          <w:lang w:val="en-US" w:eastAsia="zh-CN"/>
        </w:rPr>
      </w:pPr>
      <w:r>
        <w:rPr>
          <w:rFonts w:hint="eastAsia" w:ascii="幼圆" w:hAnsi="幼圆" w:eastAsia="幼圆" w:cs="幼圆"/>
          <w:spacing w:val="14"/>
          <w:szCs w:val="21"/>
        </w:rPr>
        <w:t>（11）</w:t>
      </w:r>
      <w:r>
        <w:rPr>
          <w:rFonts w:hint="eastAsia" w:ascii="幼圆" w:hAnsi="幼圆" w:eastAsia="幼圆" w:cs="幼圆"/>
          <w:bCs/>
          <w:snapToGrid w:val="0"/>
          <w:kern w:val="21"/>
          <w:szCs w:val="21"/>
        </w:rPr>
        <w:t>施工作业中，如有因操作不当引起设备损坏，由施工方进行免费更换。</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八、人员要求</w:t>
      </w:r>
    </w:p>
    <w:p>
      <w:pPr>
        <w:numPr>
          <w:ilvl w:val="0"/>
          <w:numId w:val="0"/>
        </w:numPr>
        <w:spacing w:line="240" w:lineRule="auto"/>
        <w:rPr>
          <w:rFonts w:hint="eastAsia" w:ascii="幼圆" w:hAnsi="幼圆" w:eastAsia="幼圆" w:cs="幼圆"/>
          <w:spacing w:val="14"/>
          <w:sz w:val="21"/>
          <w:szCs w:val="21"/>
          <w:lang w:val="en-US" w:eastAsia="zh-CN"/>
        </w:rPr>
      </w:pPr>
      <w:r>
        <w:rPr>
          <w:rFonts w:hint="eastAsia" w:ascii="幼圆" w:hAnsi="幼圆" w:eastAsia="幼圆" w:cs="幼圆"/>
          <w:spacing w:val="14"/>
          <w:sz w:val="21"/>
          <w:szCs w:val="21"/>
          <w:lang w:val="en-US" w:eastAsia="zh-CN"/>
        </w:rPr>
        <w:t>1、</w:t>
      </w:r>
      <w:r>
        <w:rPr>
          <w:rFonts w:hint="eastAsia" w:ascii="幼圆" w:hAnsi="幼圆" w:eastAsia="幼圆" w:cs="幼圆"/>
          <w:spacing w:val="14"/>
          <w:sz w:val="21"/>
          <w:szCs w:val="21"/>
        </w:rPr>
        <w:t>应建立人员行为规范（包括统一着装、佩戴标识、仪表仪容整洁等）、职业素质与技能培训机制、从业人员保密制度、人员激励及处罚机制等。</w:t>
      </w:r>
    </w:p>
    <w:p>
      <w:pPr>
        <w:numPr>
          <w:ilvl w:val="0"/>
          <w:numId w:val="0"/>
        </w:numPr>
        <w:spacing w:line="240" w:lineRule="auto"/>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2、</w:t>
      </w:r>
      <w:r>
        <w:rPr>
          <w:rFonts w:hint="eastAsia" w:ascii="幼圆" w:hAnsi="幼圆" w:eastAsia="幼圆" w:cs="幼圆"/>
          <w:spacing w:val="14"/>
          <w:sz w:val="21"/>
          <w:szCs w:val="21"/>
          <w:lang w:eastAsia="zh-CN"/>
        </w:rPr>
        <w:t>乙方</w:t>
      </w:r>
      <w:r>
        <w:rPr>
          <w:rFonts w:hint="eastAsia" w:ascii="幼圆" w:hAnsi="幼圆" w:eastAsia="幼圆" w:cs="幼圆"/>
          <w:spacing w:val="14"/>
          <w:sz w:val="21"/>
          <w:szCs w:val="21"/>
        </w:rPr>
        <w:t>人员应经过专业技术培训且考核合格，具有相应的工作实践经验的操作人员。应熟悉并掌握设备结构、性能、工作原理、操作方法及使用维修保养知识。</w:t>
      </w:r>
    </w:p>
    <w:p>
      <w:pPr>
        <w:numPr>
          <w:ilvl w:val="0"/>
          <w:numId w:val="0"/>
        </w:numPr>
        <w:spacing w:line="240" w:lineRule="auto"/>
        <w:rPr>
          <w:rFonts w:hint="eastAsia" w:ascii="幼圆" w:hAnsi="幼圆" w:eastAsia="幼圆" w:cs="幼圆"/>
          <w:spacing w:val="14"/>
          <w:sz w:val="21"/>
          <w:szCs w:val="21"/>
        </w:rPr>
      </w:pPr>
      <w:r>
        <w:rPr>
          <w:rFonts w:hint="eastAsia" w:ascii="幼圆" w:hAnsi="幼圆" w:eastAsia="幼圆" w:cs="幼圆"/>
          <w:spacing w:val="14"/>
          <w:sz w:val="21"/>
          <w:szCs w:val="21"/>
          <w:lang w:val="en-US" w:eastAsia="zh-CN"/>
        </w:rPr>
        <w:t>3、</w:t>
      </w:r>
      <w:r>
        <w:rPr>
          <w:rFonts w:hint="eastAsia" w:ascii="幼圆" w:hAnsi="幼圆" w:eastAsia="幼圆" w:cs="幼圆"/>
          <w:spacing w:val="14"/>
          <w:sz w:val="21"/>
          <w:szCs w:val="21"/>
        </w:rPr>
        <w:t>工程经理</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年龄不足55周岁</w:t>
      </w:r>
      <w:r>
        <w:rPr>
          <w:rFonts w:hint="eastAsia" w:ascii="幼圆" w:hAnsi="幼圆" w:eastAsia="幼圆" w:cs="幼圆"/>
          <w:spacing w:val="14"/>
          <w:sz w:val="21"/>
          <w:szCs w:val="21"/>
          <w:lang w:eastAsia="zh-CN"/>
        </w:rPr>
        <w:t>，</w:t>
      </w:r>
      <w:r>
        <w:rPr>
          <w:rFonts w:hint="eastAsia" w:ascii="幼圆" w:hAnsi="幼圆" w:eastAsia="幼圆" w:cs="幼圆"/>
          <w:spacing w:val="14"/>
          <w:sz w:val="21"/>
          <w:szCs w:val="21"/>
        </w:rPr>
        <w:t>具有大专及以上学历</w:t>
      </w:r>
    </w:p>
    <w:p>
      <w:pPr>
        <w:numPr>
          <w:ilvl w:val="0"/>
          <w:numId w:val="0"/>
        </w:numPr>
        <w:spacing w:line="240" w:lineRule="auto"/>
        <w:rPr>
          <w:rFonts w:hint="eastAsia" w:ascii="幼圆" w:hAnsi="幼圆" w:eastAsia="幼圆" w:cs="幼圆"/>
          <w:spacing w:val="14"/>
          <w:sz w:val="21"/>
          <w:szCs w:val="21"/>
          <w:lang w:eastAsia="zh-CN"/>
        </w:rPr>
      </w:pPr>
      <w:r>
        <w:rPr>
          <w:rFonts w:hint="eastAsia" w:ascii="幼圆" w:hAnsi="幼圆" w:eastAsia="幼圆" w:cs="幼圆"/>
          <w:spacing w:val="14"/>
          <w:sz w:val="21"/>
          <w:szCs w:val="21"/>
          <w:lang w:val="en-US" w:eastAsia="zh-CN"/>
        </w:rPr>
        <w:t>4、</w:t>
      </w:r>
      <w:r>
        <w:rPr>
          <w:rFonts w:hint="eastAsia" w:ascii="幼圆" w:hAnsi="幼圆" w:eastAsia="幼圆" w:cs="幼圆"/>
          <w:spacing w:val="14"/>
          <w:sz w:val="21"/>
          <w:szCs w:val="21"/>
          <w:lang w:eastAsia="zh-CN"/>
        </w:rPr>
        <w:t>操作人员需具有下述证照：</w:t>
      </w:r>
    </w:p>
    <w:p>
      <w:pPr>
        <w:numPr>
          <w:ilvl w:val="0"/>
          <w:numId w:val="0"/>
        </w:numPr>
        <w:spacing w:line="240" w:lineRule="auto"/>
        <w:ind w:left="420" w:leftChars="0"/>
        <w:rPr>
          <w:rFonts w:hint="eastAsia" w:ascii="幼圆" w:hAnsi="幼圆" w:eastAsia="幼圆" w:cs="幼圆"/>
          <w:spacing w:val="14"/>
          <w:sz w:val="21"/>
          <w:szCs w:val="21"/>
          <w:lang w:eastAsia="zh-CN"/>
        </w:rPr>
      </w:pPr>
      <w:r>
        <w:rPr>
          <w:rFonts w:hint="eastAsia" w:ascii="幼圆" w:hAnsi="幼圆" w:eastAsia="幼圆" w:cs="幼圆"/>
          <w:spacing w:val="14"/>
          <w:sz w:val="21"/>
          <w:szCs w:val="21"/>
        </w:rPr>
        <w:t>《中华人民共和国特种作业操作证（</w:t>
      </w:r>
      <w:r>
        <w:rPr>
          <w:rFonts w:hint="eastAsia" w:ascii="幼圆" w:hAnsi="幼圆" w:eastAsia="幼圆" w:cs="幼圆"/>
          <w:spacing w:val="14"/>
          <w:sz w:val="21"/>
          <w:szCs w:val="21"/>
          <w:lang w:val="en-US" w:eastAsia="zh-CN"/>
        </w:rPr>
        <w:t>低压电工作业</w:t>
      </w:r>
      <w:r>
        <w:rPr>
          <w:rFonts w:hint="eastAsia" w:ascii="幼圆" w:hAnsi="幼圆" w:eastAsia="幼圆" w:cs="幼圆"/>
          <w:spacing w:val="14"/>
          <w:sz w:val="21"/>
          <w:szCs w:val="21"/>
        </w:rPr>
        <w:t>）》</w:t>
      </w:r>
      <w:r>
        <w:rPr>
          <w:rFonts w:hint="eastAsia" w:ascii="幼圆" w:hAnsi="幼圆" w:eastAsia="幼圆" w:cs="幼圆"/>
          <w:spacing w:val="14"/>
          <w:sz w:val="21"/>
          <w:szCs w:val="21"/>
          <w:lang w:eastAsia="zh-CN"/>
        </w:rPr>
        <w:t>；</w:t>
      </w:r>
    </w:p>
    <w:p>
      <w:pPr>
        <w:numPr>
          <w:ilvl w:val="0"/>
          <w:numId w:val="0"/>
        </w:numPr>
        <w:spacing w:line="240" w:lineRule="auto"/>
        <w:ind w:leftChars="0"/>
        <w:rPr>
          <w:rFonts w:hint="eastAsia" w:ascii="幼圆" w:hAnsi="幼圆" w:eastAsia="幼圆" w:cs="幼圆"/>
          <w:b/>
          <w:bCs w:val="0"/>
          <w:snapToGrid w:val="0"/>
          <w:kern w:val="21"/>
          <w:sz w:val="28"/>
          <w:szCs w:val="28"/>
          <w:lang w:val="en-US" w:eastAsia="zh-CN"/>
        </w:rPr>
      </w:pPr>
      <w:r>
        <w:rPr>
          <w:rFonts w:hint="eastAsia" w:ascii="幼圆" w:hAnsi="幼圆" w:eastAsia="幼圆" w:cs="幼圆"/>
          <w:b/>
          <w:bCs w:val="0"/>
          <w:snapToGrid w:val="0"/>
          <w:kern w:val="21"/>
          <w:sz w:val="28"/>
          <w:szCs w:val="28"/>
          <w:lang w:val="en-US" w:eastAsia="zh-CN"/>
        </w:rPr>
        <w:t>九、维保设备清单</w:t>
      </w:r>
    </w:p>
    <w:tbl>
      <w:tblPr>
        <w:tblStyle w:val="35"/>
        <w:tblW w:w="8432" w:type="dxa"/>
        <w:jc w:val="center"/>
        <w:tblLayout w:type="fixed"/>
        <w:tblCellMar>
          <w:top w:w="0" w:type="dxa"/>
          <w:left w:w="108" w:type="dxa"/>
          <w:bottom w:w="0" w:type="dxa"/>
          <w:right w:w="108" w:type="dxa"/>
        </w:tblCellMar>
      </w:tblPr>
      <w:tblGrid>
        <w:gridCol w:w="733"/>
        <w:gridCol w:w="1267"/>
        <w:gridCol w:w="3118"/>
        <w:gridCol w:w="1788"/>
        <w:gridCol w:w="480"/>
        <w:gridCol w:w="1046"/>
      </w:tblGrid>
      <w:tr>
        <w:tblPrEx>
          <w:tblCellMar>
            <w:top w:w="0" w:type="dxa"/>
            <w:left w:w="108" w:type="dxa"/>
            <w:bottom w:w="0" w:type="dxa"/>
            <w:right w:w="108" w:type="dxa"/>
          </w:tblCellMar>
        </w:tblPrEx>
        <w:trPr>
          <w:trHeight w:val="270" w:hRule="atLeast"/>
          <w:jc w:val="center"/>
        </w:trPr>
        <w:tc>
          <w:tcPr>
            <w:tcW w:w="8432" w:type="dxa"/>
            <w:gridSpan w:val="6"/>
            <w:tcBorders>
              <w:top w:val="nil"/>
              <w:left w:val="nil"/>
              <w:bottom w:val="single" w:color="000000" w:sz="4" w:space="0"/>
              <w:right w:val="nil"/>
            </w:tcBorders>
            <w:noWrap/>
            <w:vAlign w:val="center"/>
          </w:tcPr>
          <w:p>
            <w:pPr>
              <w:widowControl/>
              <w:spacing w:line="240" w:lineRule="auto"/>
              <w:jc w:val="center"/>
              <w:textAlignment w:val="center"/>
              <w:rPr>
                <w:rFonts w:hint="eastAsia" w:ascii="幼圆" w:hAnsi="幼圆" w:eastAsia="幼圆" w:cs="幼圆"/>
                <w:b/>
                <w:bCs/>
                <w:color w:val="000000"/>
                <w:szCs w:val="21"/>
              </w:rPr>
            </w:pPr>
          </w:p>
        </w:tc>
      </w:tr>
      <w:tr>
        <w:tblPrEx>
          <w:tblCellMar>
            <w:top w:w="0" w:type="dxa"/>
            <w:left w:w="108" w:type="dxa"/>
            <w:bottom w:w="0" w:type="dxa"/>
            <w:right w:w="108" w:type="dxa"/>
          </w:tblCellMar>
        </w:tblPrEx>
        <w:trPr>
          <w:trHeight w:val="270" w:hRule="atLeast"/>
          <w:jc w:val="center"/>
        </w:trPr>
        <w:tc>
          <w:tcPr>
            <w:tcW w:w="73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b/>
                <w:bCs/>
                <w:color w:val="000000"/>
                <w:szCs w:val="21"/>
              </w:rPr>
            </w:pPr>
            <w:r>
              <w:rPr>
                <w:rFonts w:hint="eastAsia" w:ascii="幼圆" w:hAnsi="幼圆" w:eastAsia="幼圆" w:cs="幼圆"/>
                <w:b/>
                <w:bCs/>
                <w:color w:val="000000"/>
                <w:kern w:val="0"/>
                <w:szCs w:val="21"/>
                <w:lang w:bidi="ar"/>
              </w:rPr>
              <w:t>序号</w:t>
            </w: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b/>
                <w:bCs/>
                <w:color w:val="000000"/>
                <w:szCs w:val="21"/>
              </w:rPr>
            </w:pPr>
            <w:r>
              <w:rPr>
                <w:rFonts w:hint="eastAsia" w:ascii="幼圆" w:hAnsi="幼圆" w:eastAsia="幼圆" w:cs="幼圆"/>
                <w:b/>
                <w:bCs/>
                <w:color w:val="000000"/>
                <w:kern w:val="0"/>
                <w:szCs w:val="21"/>
                <w:lang w:bidi="ar"/>
              </w:rPr>
              <w:t>设备型号</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center"/>
              <w:textAlignment w:val="center"/>
              <w:rPr>
                <w:rFonts w:hint="eastAsia" w:ascii="幼圆" w:hAnsi="幼圆" w:eastAsia="幼圆" w:cs="幼圆"/>
                <w:b/>
                <w:bCs/>
                <w:color w:val="000000"/>
                <w:szCs w:val="21"/>
              </w:rPr>
            </w:pPr>
            <w:r>
              <w:rPr>
                <w:rFonts w:hint="eastAsia" w:ascii="幼圆" w:hAnsi="幼圆" w:eastAsia="幼圆" w:cs="幼圆"/>
                <w:b/>
                <w:bCs/>
                <w:color w:val="000000"/>
                <w:kern w:val="0"/>
                <w:szCs w:val="21"/>
                <w:lang w:bidi="ar"/>
              </w:rPr>
              <w:t>参数</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center"/>
              <w:textAlignment w:val="center"/>
              <w:rPr>
                <w:rFonts w:hint="eastAsia" w:ascii="幼圆" w:hAnsi="幼圆" w:eastAsia="幼圆" w:cs="幼圆"/>
                <w:b/>
                <w:bCs/>
                <w:color w:val="000000"/>
                <w:szCs w:val="21"/>
              </w:rPr>
            </w:pPr>
            <w:r>
              <w:rPr>
                <w:rFonts w:hint="eastAsia" w:ascii="幼圆" w:hAnsi="幼圆" w:eastAsia="幼圆" w:cs="幼圆"/>
                <w:b/>
                <w:bCs/>
                <w:color w:val="000000"/>
                <w:szCs w:val="21"/>
              </w:rPr>
              <w:t>位置</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b/>
                <w:bCs/>
                <w:color w:val="000000"/>
                <w:szCs w:val="21"/>
              </w:rPr>
            </w:pPr>
            <w:r>
              <w:rPr>
                <w:rFonts w:hint="eastAsia" w:ascii="幼圆" w:hAnsi="幼圆" w:eastAsia="幼圆" w:cs="幼圆"/>
                <w:b/>
                <w:bCs/>
                <w:color w:val="000000"/>
                <w:kern w:val="0"/>
                <w:szCs w:val="21"/>
                <w:lang w:bidi="ar"/>
              </w:rPr>
              <w:t>单位</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b/>
                <w:bCs/>
                <w:color w:val="000000"/>
                <w:szCs w:val="21"/>
              </w:rPr>
            </w:pPr>
            <w:r>
              <w:rPr>
                <w:rFonts w:hint="eastAsia" w:ascii="幼圆" w:hAnsi="幼圆" w:eastAsia="幼圆" w:cs="幼圆"/>
                <w:b/>
                <w:bCs/>
                <w:color w:val="000000"/>
                <w:kern w:val="0"/>
                <w:szCs w:val="21"/>
                <w:lang w:bidi="ar"/>
              </w:rPr>
              <w:t>数量</w:t>
            </w:r>
          </w:p>
        </w:tc>
      </w:tr>
      <w:tr>
        <w:tblPrEx>
          <w:tblCellMar>
            <w:top w:w="0" w:type="dxa"/>
            <w:left w:w="108" w:type="dxa"/>
            <w:bottom w:w="0" w:type="dxa"/>
            <w:right w:w="108" w:type="dxa"/>
          </w:tblCellMar>
        </w:tblPrEx>
        <w:trPr>
          <w:trHeight w:val="450" w:hRule="atLeast"/>
          <w:jc w:val="center"/>
        </w:trPr>
        <w:tc>
          <w:tcPr>
            <w:tcW w:w="733" w:type="dxa"/>
            <w:vMerge w:val="restart"/>
            <w:tcBorders>
              <w:top w:val="single" w:color="000000" w:sz="4" w:space="0"/>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1</w:t>
            </w: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里其乐VC50</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型号：VC50</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抽速：50m³/h</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功率：1.25Kw 380V 50Hz</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压力：0.5mbar</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油量：3L</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噪音：64dB</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left"/>
              <w:textAlignment w:val="center"/>
              <w:rPr>
                <w:rFonts w:hint="eastAsia" w:ascii="幼圆" w:hAnsi="幼圆" w:eastAsia="幼圆" w:cs="幼圆"/>
                <w:color w:val="000000"/>
                <w:szCs w:val="21"/>
                <w:lang w:eastAsia="zh-CN"/>
              </w:rPr>
            </w:pPr>
            <w:r>
              <w:rPr>
                <w:rFonts w:hint="eastAsia" w:ascii="幼圆" w:hAnsi="幼圆" w:eastAsia="幼圆" w:cs="幼圆"/>
                <w:color w:val="000000"/>
                <w:szCs w:val="21"/>
                <w:lang w:val="en-US" w:eastAsia="zh-CN"/>
              </w:rPr>
              <w:t>6号楼</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2</w:t>
            </w:r>
          </w:p>
        </w:tc>
      </w:tr>
      <w:tr>
        <w:tblPrEx>
          <w:tblCellMar>
            <w:top w:w="0" w:type="dxa"/>
            <w:left w:w="108" w:type="dxa"/>
            <w:bottom w:w="0" w:type="dxa"/>
            <w:right w:w="108" w:type="dxa"/>
          </w:tblCellMar>
        </w:tblPrEx>
        <w:trPr>
          <w:trHeight w:val="450" w:hRule="atLeast"/>
          <w:jc w:val="center"/>
        </w:trPr>
        <w:tc>
          <w:tcPr>
            <w:tcW w:w="733" w:type="dxa"/>
            <w:vMerge w:val="continue"/>
            <w:tcBorders>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除菌过滤器</w:t>
            </w:r>
          </w:p>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80FS</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型号：80FS</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备注：不锈钢304</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left"/>
              <w:textAlignment w:val="center"/>
              <w:rPr>
                <w:rFonts w:hint="eastAsia" w:ascii="幼圆" w:hAnsi="幼圆" w:eastAsia="幼圆" w:cs="幼圆"/>
                <w:color w:val="000000"/>
                <w:szCs w:val="21"/>
              </w:rPr>
            </w:pPr>
            <w:r>
              <w:rPr>
                <w:rFonts w:hint="eastAsia" w:ascii="幼圆" w:hAnsi="幼圆" w:eastAsia="幼圆" w:cs="幼圆"/>
                <w:color w:val="000000"/>
                <w:szCs w:val="21"/>
                <w:lang w:val="en-US" w:eastAsia="zh-CN"/>
              </w:rPr>
              <w:t>6号楼</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2</w:t>
            </w:r>
          </w:p>
        </w:tc>
      </w:tr>
      <w:tr>
        <w:tblPrEx>
          <w:tblCellMar>
            <w:top w:w="0" w:type="dxa"/>
            <w:left w:w="108" w:type="dxa"/>
            <w:bottom w:w="0" w:type="dxa"/>
            <w:right w:w="108" w:type="dxa"/>
          </w:tblCellMar>
        </w:tblPrEx>
        <w:trPr>
          <w:trHeight w:val="675" w:hRule="atLeast"/>
          <w:jc w:val="center"/>
        </w:trPr>
        <w:tc>
          <w:tcPr>
            <w:tcW w:w="733" w:type="dxa"/>
            <w:vMerge w:val="restart"/>
            <w:tcBorders>
              <w:top w:val="single" w:color="000000" w:sz="4" w:space="0"/>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2</w:t>
            </w: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里其乐VC303</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型号：VC303</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抽速：300m³/h</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功率：7.3Kw 380V 50Hz</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压力：0.5mbar</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油量：8L</w:t>
            </w:r>
          </w:p>
          <w:p>
            <w:pPr>
              <w:widowControl/>
              <w:spacing w:line="240" w:lineRule="auto"/>
              <w:jc w:val="left"/>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噪音：70dB</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left"/>
              <w:textAlignment w:val="center"/>
              <w:rPr>
                <w:rFonts w:hint="eastAsia" w:ascii="幼圆" w:hAnsi="幼圆" w:eastAsia="幼圆" w:cs="幼圆"/>
                <w:color w:val="000000"/>
                <w:szCs w:val="21"/>
              </w:rPr>
            </w:pPr>
            <w:r>
              <w:rPr>
                <w:rFonts w:hint="eastAsia" w:ascii="幼圆" w:hAnsi="幼圆" w:eastAsia="幼圆" w:cs="幼圆"/>
                <w:color w:val="000000"/>
                <w:szCs w:val="21"/>
                <w:lang w:val="en-US" w:eastAsia="zh-CN"/>
              </w:rPr>
              <w:t>5号</w:t>
            </w:r>
            <w:r>
              <w:rPr>
                <w:rFonts w:hint="eastAsia" w:ascii="幼圆" w:hAnsi="幼圆" w:eastAsia="幼圆" w:cs="幼圆"/>
                <w:color w:val="000000"/>
                <w:szCs w:val="21"/>
              </w:rPr>
              <w:t>楼</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4</w:t>
            </w:r>
          </w:p>
        </w:tc>
      </w:tr>
      <w:tr>
        <w:tblPrEx>
          <w:tblCellMar>
            <w:top w:w="0" w:type="dxa"/>
            <w:left w:w="108" w:type="dxa"/>
            <w:bottom w:w="0" w:type="dxa"/>
            <w:right w:w="108" w:type="dxa"/>
          </w:tblCellMar>
        </w:tblPrEx>
        <w:trPr>
          <w:trHeight w:val="675" w:hRule="atLeast"/>
          <w:jc w:val="center"/>
        </w:trPr>
        <w:tc>
          <w:tcPr>
            <w:tcW w:w="733" w:type="dxa"/>
            <w:vMerge w:val="continue"/>
            <w:tcBorders>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除菌过滤器</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型号：JPF031A</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压力：1.0Mpa</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left"/>
              <w:textAlignment w:val="center"/>
              <w:rPr>
                <w:rFonts w:hint="eastAsia" w:ascii="幼圆" w:hAnsi="幼圆" w:eastAsia="幼圆" w:cs="幼圆"/>
                <w:color w:val="000000"/>
                <w:szCs w:val="21"/>
              </w:rPr>
            </w:pPr>
            <w:r>
              <w:rPr>
                <w:rFonts w:hint="eastAsia" w:ascii="幼圆" w:hAnsi="幼圆" w:eastAsia="幼圆" w:cs="幼圆"/>
                <w:color w:val="000000"/>
                <w:szCs w:val="21"/>
                <w:lang w:val="en-US" w:eastAsia="zh-CN"/>
              </w:rPr>
              <w:t>5号</w:t>
            </w:r>
            <w:r>
              <w:rPr>
                <w:rFonts w:hint="eastAsia" w:ascii="幼圆" w:hAnsi="幼圆" w:eastAsia="幼圆" w:cs="幼圆"/>
                <w:color w:val="000000"/>
                <w:szCs w:val="21"/>
              </w:rPr>
              <w:t>楼</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4</w:t>
            </w:r>
          </w:p>
        </w:tc>
      </w:tr>
      <w:tr>
        <w:tblPrEx>
          <w:tblCellMar>
            <w:top w:w="0" w:type="dxa"/>
            <w:left w:w="108" w:type="dxa"/>
            <w:bottom w:w="0" w:type="dxa"/>
            <w:right w:w="108" w:type="dxa"/>
          </w:tblCellMar>
        </w:tblPrEx>
        <w:trPr>
          <w:trHeight w:val="270" w:hRule="atLeast"/>
          <w:jc w:val="center"/>
        </w:trPr>
        <w:tc>
          <w:tcPr>
            <w:tcW w:w="733" w:type="dxa"/>
            <w:vMerge w:val="restart"/>
            <w:tcBorders>
              <w:top w:val="single" w:color="000000" w:sz="4" w:space="0"/>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3</w:t>
            </w: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普旭RD0360A</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型号：RD0360A</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抽速：300m³/h</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功率：7.5Kw 380V 50Hz</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压力：0.5mbar</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油量：8L</w:t>
            </w:r>
          </w:p>
          <w:p>
            <w:pPr>
              <w:widowControl/>
              <w:spacing w:line="240" w:lineRule="auto"/>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噪音：72dB</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both"/>
              <w:textAlignment w:val="center"/>
              <w:rPr>
                <w:rFonts w:hint="eastAsia" w:ascii="幼圆" w:hAnsi="幼圆" w:eastAsia="幼圆" w:cs="幼圆"/>
                <w:color w:val="000000"/>
                <w:szCs w:val="21"/>
                <w:lang w:val="en-US"/>
              </w:rPr>
            </w:pPr>
            <w:r>
              <w:rPr>
                <w:rFonts w:hint="eastAsia" w:ascii="幼圆" w:hAnsi="幼圆" w:eastAsia="幼圆" w:cs="幼圆"/>
                <w:color w:val="000000"/>
                <w:szCs w:val="21"/>
                <w:lang w:val="en-US" w:eastAsia="zh-CN"/>
              </w:rPr>
              <w:t>1号楼B1</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2</w:t>
            </w:r>
          </w:p>
        </w:tc>
      </w:tr>
      <w:tr>
        <w:tblPrEx>
          <w:tblCellMar>
            <w:top w:w="0" w:type="dxa"/>
            <w:left w:w="108" w:type="dxa"/>
            <w:bottom w:w="0" w:type="dxa"/>
            <w:right w:w="108" w:type="dxa"/>
          </w:tblCellMar>
        </w:tblPrEx>
        <w:trPr>
          <w:trHeight w:val="270" w:hRule="atLeast"/>
          <w:jc w:val="center"/>
        </w:trPr>
        <w:tc>
          <w:tcPr>
            <w:tcW w:w="733" w:type="dxa"/>
            <w:vMerge w:val="continue"/>
            <w:tcBorders>
              <w:left w:val="single" w:color="000000" w:sz="4" w:space="0"/>
              <w:right w:val="single" w:color="000000" w:sz="4" w:space="0"/>
            </w:tcBorders>
            <w:noWrap/>
            <w:vAlign w:val="center"/>
          </w:tcPr>
          <w:p>
            <w:pPr>
              <w:spacing w:line="240" w:lineRule="auto"/>
              <w:jc w:val="center"/>
              <w:textAlignment w:val="center"/>
              <w:rPr>
                <w:rFonts w:hint="eastAsia" w:ascii="幼圆" w:hAnsi="幼圆" w:eastAsia="幼圆" w:cs="幼圆"/>
                <w:color w:val="000000"/>
                <w:szCs w:val="21"/>
              </w:rPr>
            </w:pP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普旭RA0305D</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型号：RA0305D</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抽速：300m³/h</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功率：7.5Kw 380V 50Hz</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压力：0.5mbar</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油量：8L</w:t>
            </w:r>
          </w:p>
          <w:p>
            <w:pPr>
              <w:widowControl/>
              <w:spacing w:line="240" w:lineRule="auto"/>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噪音：75dB</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both"/>
              <w:textAlignment w:val="center"/>
              <w:rPr>
                <w:rFonts w:hint="eastAsia" w:ascii="幼圆" w:hAnsi="幼圆" w:eastAsia="幼圆" w:cs="幼圆"/>
                <w:color w:val="000000"/>
                <w:szCs w:val="21"/>
              </w:rPr>
            </w:pPr>
            <w:r>
              <w:rPr>
                <w:rFonts w:hint="eastAsia" w:ascii="幼圆" w:hAnsi="幼圆" w:eastAsia="幼圆" w:cs="幼圆"/>
                <w:color w:val="000000"/>
                <w:szCs w:val="21"/>
                <w:lang w:val="en-US" w:eastAsia="zh-CN"/>
              </w:rPr>
              <w:t>1号楼B1</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2</w:t>
            </w:r>
          </w:p>
        </w:tc>
      </w:tr>
      <w:tr>
        <w:tblPrEx>
          <w:tblCellMar>
            <w:top w:w="0" w:type="dxa"/>
            <w:left w:w="108" w:type="dxa"/>
            <w:bottom w:w="0" w:type="dxa"/>
            <w:right w:w="108" w:type="dxa"/>
          </w:tblCellMar>
        </w:tblPrEx>
        <w:trPr>
          <w:trHeight w:val="270" w:hRule="atLeast"/>
          <w:jc w:val="center"/>
        </w:trPr>
        <w:tc>
          <w:tcPr>
            <w:tcW w:w="733" w:type="dxa"/>
            <w:vMerge w:val="continue"/>
            <w:tcBorders>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普旭RA0302D</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型号：RA0302D</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抽速：300m³/h</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功率：7.5Kw 380V 50Hz</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压力：0.5mbar</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油量：8L</w:t>
            </w:r>
          </w:p>
          <w:p>
            <w:pPr>
              <w:widowControl/>
              <w:spacing w:line="240" w:lineRule="auto"/>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噪音：73dB</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both"/>
              <w:textAlignment w:val="center"/>
              <w:rPr>
                <w:rFonts w:hint="eastAsia" w:ascii="幼圆" w:hAnsi="幼圆" w:eastAsia="幼圆" w:cs="幼圆"/>
                <w:color w:val="000000"/>
                <w:szCs w:val="21"/>
              </w:rPr>
            </w:pPr>
            <w:r>
              <w:rPr>
                <w:rFonts w:hint="eastAsia" w:ascii="幼圆" w:hAnsi="幼圆" w:eastAsia="幼圆" w:cs="幼圆"/>
                <w:color w:val="000000"/>
                <w:szCs w:val="21"/>
                <w:lang w:val="en-US" w:eastAsia="zh-CN"/>
              </w:rPr>
              <w:t>1号楼B1</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kern w:val="0"/>
                <w:szCs w:val="21"/>
                <w:lang w:bidi="ar"/>
              </w:rPr>
              <w:t>2</w:t>
            </w:r>
          </w:p>
        </w:tc>
      </w:tr>
      <w:tr>
        <w:tblPrEx>
          <w:tblCellMar>
            <w:top w:w="0" w:type="dxa"/>
            <w:left w:w="108" w:type="dxa"/>
            <w:bottom w:w="0" w:type="dxa"/>
            <w:right w:w="108" w:type="dxa"/>
          </w:tblCellMar>
        </w:tblPrEx>
        <w:trPr>
          <w:trHeight w:val="270" w:hRule="atLeast"/>
          <w:jc w:val="center"/>
        </w:trPr>
        <w:tc>
          <w:tcPr>
            <w:tcW w:w="733" w:type="dxa"/>
            <w:vMerge w:val="continue"/>
            <w:tcBorders>
              <w:left w:val="single" w:color="000000" w:sz="4" w:space="0"/>
              <w:bottom w:val="single" w:color="auto"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WALKER</w:t>
            </w:r>
          </w:p>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除菌过滤器</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型号：E1211MV</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压力：1.0Mpa</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both"/>
              <w:textAlignment w:val="center"/>
              <w:rPr>
                <w:rFonts w:hint="eastAsia" w:ascii="幼圆" w:hAnsi="幼圆" w:eastAsia="幼圆" w:cs="幼圆"/>
                <w:color w:val="000000"/>
                <w:szCs w:val="21"/>
              </w:rPr>
            </w:pPr>
            <w:r>
              <w:rPr>
                <w:rFonts w:hint="eastAsia" w:ascii="幼圆" w:hAnsi="幼圆" w:eastAsia="幼圆" w:cs="幼圆"/>
                <w:color w:val="000000"/>
                <w:szCs w:val="21"/>
                <w:lang w:val="en-US" w:eastAsia="zh-CN"/>
              </w:rPr>
              <w:t>1号楼B1</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2</w:t>
            </w:r>
          </w:p>
        </w:tc>
      </w:tr>
      <w:tr>
        <w:tblPrEx>
          <w:tblCellMar>
            <w:top w:w="0" w:type="dxa"/>
            <w:left w:w="108" w:type="dxa"/>
            <w:bottom w:w="0" w:type="dxa"/>
            <w:right w:w="108" w:type="dxa"/>
          </w:tblCellMar>
        </w:tblPrEx>
        <w:trPr>
          <w:trHeight w:val="861" w:hRule="atLeast"/>
          <w:jc w:val="center"/>
        </w:trPr>
        <w:tc>
          <w:tcPr>
            <w:tcW w:w="733" w:type="dxa"/>
            <w:tcBorders>
              <w:top w:val="single" w:color="auto" w:sz="4" w:space="0"/>
              <w:left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4</w:t>
            </w: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Sutorbilt</w:t>
            </w:r>
          </w:p>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罗茨负压风机</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型号：GABMBRA S416229 3MR</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压力：3600RMT</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both"/>
              <w:textAlignment w:val="center"/>
              <w:rPr>
                <w:rFonts w:hint="eastAsia" w:ascii="幼圆" w:hAnsi="幼圆" w:eastAsia="幼圆" w:cs="幼圆"/>
                <w:color w:val="000000"/>
                <w:szCs w:val="21"/>
              </w:rPr>
            </w:pPr>
            <w:r>
              <w:rPr>
                <w:rFonts w:hint="eastAsia" w:ascii="幼圆" w:hAnsi="幼圆" w:eastAsia="幼圆" w:cs="幼圆"/>
                <w:color w:val="000000"/>
                <w:szCs w:val="21"/>
              </w:rPr>
              <w:t>门诊二楼牙科</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2</w:t>
            </w:r>
          </w:p>
        </w:tc>
      </w:tr>
      <w:tr>
        <w:tblPrEx>
          <w:tblCellMar>
            <w:top w:w="0" w:type="dxa"/>
            <w:left w:w="108" w:type="dxa"/>
            <w:bottom w:w="0" w:type="dxa"/>
            <w:right w:w="108" w:type="dxa"/>
          </w:tblCellMar>
        </w:tblPrEx>
        <w:trPr>
          <w:trHeight w:val="270" w:hRule="atLeast"/>
          <w:jc w:val="center"/>
        </w:trPr>
        <w:tc>
          <w:tcPr>
            <w:tcW w:w="733" w:type="dxa"/>
            <w:tcBorders>
              <w:top w:val="single" w:color="auto" w:sz="4" w:space="0"/>
              <w:left w:val="single" w:color="000000" w:sz="4" w:space="0"/>
              <w:bottom w:val="single" w:color="auto"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5</w:t>
            </w: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侧流式风机</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型号：2BH1600-7AH26</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功率：3Kw 380V 50Hz</w:t>
            </w:r>
          </w:p>
          <w:p>
            <w:pPr>
              <w:widowControl/>
              <w:spacing w:line="240" w:lineRule="auto"/>
              <w:jc w:val="left"/>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压力：-250mbar</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center"/>
              <w:textAlignment w:val="center"/>
              <w:rPr>
                <w:rFonts w:hint="eastAsia" w:ascii="幼圆" w:hAnsi="幼圆" w:eastAsia="幼圆" w:cs="幼圆"/>
                <w:color w:val="000000"/>
                <w:szCs w:val="21"/>
              </w:rPr>
            </w:pPr>
            <w:r>
              <w:rPr>
                <w:rFonts w:hint="eastAsia" w:ascii="幼圆" w:hAnsi="幼圆" w:eastAsia="幼圆" w:cs="幼圆"/>
                <w:color w:val="000000"/>
                <w:szCs w:val="21"/>
                <w:lang w:val="en-US" w:eastAsia="zh-CN"/>
              </w:rPr>
              <w:t>1号楼5层</w:t>
            </w:r>
            <w:r>
              <w:rPr>
                <w:rFonts w:hint="eastAsia" w:ascii="幼圆" w:hAnsi="幼圆" w:eastAsia="幼圆" w:cs="幼圆"/>
                <w:color w:val="000000"/>
                <w:szCs w:val="21"/>
              </w:rPr>
              <w:t>麻醉废气</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bidi="ar"/>
              </w:rPr>
            </w:pPr>
            <w:r>
              <w:rPr>
                <w:rFonts w:hint="eastAsia" w:ascii="幼圆" w:hAnsi="幼圆" w:eastAsia="幼圆" w:cs="幼圆"/>
                <w:color w:val="000000"/>
                <w:kern w:val="0"/>
                <w:szCs w:val="21"/>
                <w:lang w:bidi="ar"/>
              </w:rPr>
              <w:t>2</w:t>
            </w:r>
          </w:p>
        </w:tc>
      </w:tr>
      <w:tr>
        <w:tblPrEx>
          <w:tblCellMar>
            <w:top w:w="0" w:type="dxa"/>
            <w:left w:w="108" w:type="dxa"/>
            <w:bottom w:w="0" w:type="dxa"/>
            <w:right w:w="108" w:type="dxa"/>
          </w:tblCellMar>
        </w:tblPrEx>
        <w:trPr>
          <w:trHeight w:val="270" w:hRule="atLeast"/>
          <w:jc w:val="center"/>
        </w:trPr>
        <w:tc>
          <w:tcPr>
            <w:tcW w:w="733" w:type="dxa"/>
            <w:tcBorders>
              <w:top w:val="single" w:color="auto" w:sz="4" w:space="0"/>
              <w:left w:val="single" w:color="000000" w:sz="4" w:space="0"/>
              <w:bottom w:val="single" w:color="auto"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6</w:t>
            </w: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eastAsia="zh-CN" w:bidi="ar"/>
              </w:rPr>
            </w:pPr>
            <w:r>
              <w:rPr>
                <w:rFonts w:hint="eastAsia" w:ascii="幼圆" w:hAnsi="幼圆" w:eastAsia="幼圆" w:cs="幼圆"/>
                <w:color w:val="000000"/>
                <w:kern w:val="0"/>
                <w:szCs w:val="21"/>
                <w:lang w:eastAsia="zh-CN" w:bidi="ar"/>
              </w:rPr>
              <w:t>电控柜</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380V，真空泵控制柜、控制系统</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both"/>
              <w:textAlignment w:val="center"/>
              <w:rPr>
                <w:rFonts w:hint="eastAsia" w:ascii="幼圆" w:hAnsi="幼圆" w:eastAsia="幼圆" w:cs="幼圆"/>
                <w:color w:val="000000"/>
                <w:szCs w:val="21"/>
                <w:lang w:val="en-US" w:eastAsia="zh-CN"/>
              </w:rPr>
            </w:pPr>
            <w:r>
              <w:rPr>
                <w:rFonts w:hint="eastAsia" w:ascii="幼圆" w:hAnsi="幼圆" w:eastAsia="幼圆" w:cs="幼圆"/>
                <w:color w:val="000000"/>
                <w:szCs w:val="21"/>
                <w:lang w:val="en-US" w:eastAsia="zh-CN"/>
              </w:rPr>
              <w:t>全院</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eastAsia="zh-CN" w:bidi="ar"/>
              </w:rPr>
            </w:pPr>
            <w:r>
              <w:rPr>
                <w:rFonts w:hint="eastAsia" w:ascii="幼圆" w:hAnsi="幼圆" w:eastAsia="幼圆" w:cs="幼圆"/>
                <w:color w:val="000000"/>
                <w:kern w:val="0"/>
                <w:szCs w:val="21"/>
                <w:lang w:eastAsia="zh-CN" w:bidi="ar"/>
              </w:rPr>
              <w:t>台</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6</w:t>
            </w:r>
          </w:p>
        </w:tc>
      </w:tr>
      <w:tr>
        <w:tblPrEx>
          <w:tblCellMar>
            <w:top w:w="0" w:type="dxa"/>
            <w:left w:w="108" w:type="dxa"/>
            <w:bottom w:w="0" w:type="dxa"/>
            <w:right w:w="108" w:type="dxa"/>
          </w:tblCellMar>
        </w:tblPrEx>
        <w:trPr>
          <w:trHeight w:val="270" w:hRule="atLeast"/>
          <w:jc w:val="center"/>
        </w:trPr>
        <w:tc>
          <w:tcPr>
            <w:tcW w:w="733" w:type="dxa"/>
            <w:tcBorders>
              <w:top w:val="single" w:color="auto" w:sz="4" w:space="0"/>
              <w:left w:val="single" w:color="000000" w:sz="4" w:space="0"/>
              <w:bottom w:val="single" w:color="auto"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7</w:t>
            </w: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eastAsia="zh-CN" w:bidi="ar"/>
              </w:rPr>
            </w:pPr>
            <w:r>
              <w:rPr>
                <w:rFonts w:hint="eastAsia" w:ascii="幼圆" w:hAnsi="幼圆" w:eastAsia="幼圆" w:cs="幼圆"/>
                <w:color w:val="000000"/>
                <w:kern w:val="0"/>
                <w:szCs w:val="21"/>
                <w:lang w:eastAsia="zh-CN" w:bidi="ar"/>
              </w:rPr>
              <w:t>电控压力表</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both"/>
              <w:textAlignment w:val="center"/>
              <w:rPr>
                <w:rFonts w:hint="eastAsia" w:ascii="幼圆" w:hAnsi="幼圆" w:eastAsia="幼圆" w:cs="幼圆"/>
                <w:color w:val="000000"/>
                <w:szCs w:val="21"/>
                <w:lang w:val="en-US" w:eastAsia="zh-CN"/>
              </w:rPr>
            </w:pPr>
            <w:r>
              <w:rPr>
                <w:rFonts w:hint="eastAsia" w:ascii="幼圆" w:hAnsi="幼圆" w:eastAsia="幼圆" w:cs="幼圆"/>
                <w:color w:val="000000"/>
                <w:szCs w:val="21"/>
                <w:lang w:val="en-US" w:eastAsia="zh-CN"/>
              </w:rPr>
              <w:t>全院</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eastAsia="zh-CN" w:bidi="ar"/>
              </w:rPr>
            </w:pPr>
            <w:r>
              <w:rPr>
                <w:rFonts w:hint="eastAsia" w:ascii="幼圆" w:hAnsi="幼圆" w:eastAsia="幼圆" w:cs="幼圆"/>
                <w:color w:val="000000"/>
                <w:kern w:val="0"/>
                <w:szCs w:val="21"/>
                <w:lang w:eastAsia="zh-CN" w:bidi="ar"/>
              </w:rPr>
              <w:t>套</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6</w:t>
            </w:r>
          </w:p>
        </w:tc>
      </w:tr>
      <w:tr>
        <w:tblPrEx>
          <w:tblCellMar>
            <w:top w:w="0" w:type="dxa"/>
            <w:left w:w="108" w:type="dxa"/>
            <w:bottom w:w="0" w:type="dxa"/>
            <w:right w:w="108" w:type="dxa"/>
          </w:tblCellMar>
        </w:tblPrEx>
        <w:trPr>
          <w:trHeight w:val="270" w:hRule="atLeast"/>
          <w:jc w:val="center"/>
        </w:trPr>
        <w:tc>
          <w:tcPr>
            <w:tcW w:w="733" w:type="dxa"/>
            <w:tcBorders>
              <w:top w:val="single" w:color="auto"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8</w:t>
            </w:r>
          </w:p>
        </w:tc>
        <w:tc>
          <w:tcPr>
            <w:tcW w:w="1267"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eastAsia="zh-CN" w:bidi="ar"/>
              </w:rPr>
            </w:pPr>
            <w:r>
              <w:rPr>
                <w:rFonts w:hint="eastAsia" w:ascii="幼圆" w:hAnsi="幼圆" w:eastAsia="幼圆" w:cs="幼圆"/>
                <w:color w:val="000000"/>
                <w:kern w:val="0"/>
                <w:szCs w:val="21"/>
                <w:lang w:eastAsia="zh-CN" w:bidi="ar"/>
              </w:rPr>
              <w:t>单向阀</w:t>
            </w:r>
          </w:p>
        </w:tc>
        <w:tc>
          <w:tcPr>
            <w:tcW w:w="3118" w:type="dxa"/>
            <w:tcBorders>
              <w:top w:val="single" w:color="000000" w:sz="4" w:space="0"/>
              <w:left w:val="single" w:color="000000" w:sz="4" w:space="0"/>
              <w:bottom w:val="single" w:color="000000" w:sz="4" w:space="0"/>
              <w:right w:val="single" w:color="auto" w:sz="4" w:space="0"/>
            </w:tcBorders>
            <w:vAlign w:val="center"/>
          </w:tcPr>
          <w:p>
            <w:pPr>
              <w:widowControl/>
              <w:spacing w:line="240" w:lineRule="auto"/>
              <w:jc w:val="left"/>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DN100/80/50/25</w:t>
            </w:r>
          </w:p>
        </w:tc>
        <w:tc>
          <w:tcPr>
            <w:tcW w:w="1788" w:type="dxa"/>
            <w:tcBorders>
              <w:top w:val="single" w:color="000000" w:sz="4" w:space="0"/>
              <w:left w:val="single" w:color="auto" w:sz="4" w:space="0"/>
              <w:bottom w:val="single" w:color="000000" w:sz="4" w:space="0"/>
              <w:right w:val="single" w:color="000000" w:sz="4" w:space="0"/>
            </w:tcBorders>
            <w:vAlign w:val="center"/>
          </w:tcPr>
          <w:p>
            <w:pPr>
              <w:widowControl/>
              <w:spacing w:line="240" w:lineRule="auto"/>
              <w:jc w:val="both"/>
              <w:textAlignment w:val="center"/>
              <w:rPr>
                <w:rFonts w:hint="eastAsia" w:ascii="幼圆" w:hAnsi="幼圆" w:eastAsia="幼圆" w:cs="幼圆"/>
                <w:color w:val="000000"/>
                <w:szCs w:val="21"/>
                <w:lang w:val="en-US" w:eastAsia="zh-CN"/>
              </w:rPr>
            </w:pPr>
            <w:r>
              <w:rPr>
                <w:rFonts w:hint="eastAsia" w:ascii="幼圆" w:hAnsi="幼圆" w:eastAsia="幼圆" w:cs="幼圆"/>
                <w:color w:val="000000"/>
                <w:szCs w:val="21"/>
                <w:lang w:val="en-US" w:eastAsia="zh-CN"/>
              </w:rPr>
              <w:t>全院</w:t>
            </w:r>
          </w:p>
        </w:tc>
        <w:tc>
          <w:tcPr>
            <w:tcW w:w="480"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eastAsia="zh-CN" w:bidi="ar"/>
              </w:rPr>
            </w:pPr>
            <w:r>
              <w:rPr>
                <w:rFonts w:hint="eastAsia" w:ascii="幼圆" w:hAnsi="幼圆" w:eastAsia="幼圆" w:cs="幼圆"/>
                <w:color w:val="000000"/>
                <w:kern w:val="0"/>
                <w:szCs w:val="21"/>
                <w:lang w:eastAsia="zh-CN" w:bidi="ar"/>
              </w:rPr>
              <w:t>套</w:t>
            </w:r>
          </w:p>
        </w:tc>
        <w:tc>
          <w:tcPr>
            <w:tcW w:w="1046"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auto"/>
              <w:jc w:val="center"/>
              <w:textAlignment w:val="center"/>
              <w:rPr>
                <w:rFonts w:hint="eastAsia" w:ascii="幼圆" w:hAnsi="幼圆" w:eastAsia="幼圆" w:cs="幼圆"/>
                <w:color w:val="000000"/>
                <w:kern w:val="0"/>
                <w:szCs w:val="21"/>
                <w:lang w:val="en-US" w:eastAsia="zh-CN" w:bidi="ar"/>
              </w:rPr>
            </w:pPr>
            <w:r>
              <w:rPr>
                <w:rFonts w:hint="eastAsia" w:ascii="幼圆" w:hAnsi="幼圆" w:eastAsia="幼圆" w:cs="幼圆"/>
                <w:color w:val="000000"/>
                <w:kern w:val="0"/>
                <w:szCs w:val="21"/>
                <w:lang w:val="en-US" w:eastAsia="zh-CN" w:bidi="ar"/>
              </w:rPr>
              <w:t>10</w:t>
            </w:r>
          </w:p>
        </w:tc>
      </w:tr>
    </w:tbl>
    <w:p>
      <w:pPr>
        <w:keepNext w:val="0"/>
        <w:keepLines w:val="0"/>
        <w:pageBreakBefore w:val="0"/>
        <w:widowControl/>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pStyle w:val="2"/>
        <w:spacing w:line="240" w:lineRule="auto"/>
        <w:rPr>
          <w:rFonts w:hint="eastAsia" w:ascii="幼圆" w:hAnsi="幼圆" w:eastAsia="幼圆" w:cs="幼圆"/>
          <w:b/>
          <w:bCs/>
          <w:sz w:val="28"/>
          <w:szCs w:val="24"/>
          <w:lang w:val="en-US" w:eastAsia="zh-CN"/>
        </w:rPr>
      </w:pPr>
    </w:p>
    <w:p>
      <w:pPr>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br w:type="page"/>
      </w:r>
    </w:p>
    <w:p>
      <w:pPr>
        <w:keepNext w:val="0"/>
        <w:keepLines w:val="0"/>
        <w:pageBreakBefore w:val="0"/>
        <w:widowControl/>
        <w:numPr>
          <w:ilvl w:val="0"/>
          <w:numId w:val="0"/>
        </w:numPr>
        <w:kinsoku w:val="0"/>
        <w:wordWrap/>
        <w:overflowPunct w:val="0"/>
        <w:topLinePunct w:val="0"/>
        <w:autoSpaceDE w:val="0"/>
        <w:autoSpaceDN w:val="0"/>
        <w:bidi w:val="0"/>
        <w:adjustRightInd w:val="0"/>
        <w:spacing w:after="0" w:line="24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十、评标方法和评审标准</w:t>
      </w:r>
      <w:bookmarkEnd w:id="0"/>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1.评标方法</w:t>
      </w:r>
    </w:p>
    <w:p>
      <w:pPr>
        <w:pStyle w:val="22"/>
        <w:spacing w:line="240" w:lineRule="auto"/>
        <w:ind w:firstLine="440" w:firstLineChars="200"/>
        <w:rPr>
          <w:rFonts w:hint="eastAsia" w:ascii="幼圆" w:hAnsi="幼圆" w:eastAsia="幼圆" w:cs="幼圆"/>
          <w:lang w:val="en-US" w:eastAsia="zh-CN"/>
        </w:rPr>
      </w:pPr>
      <w:r>
        <w:rPr>
          <w:rFonts w:hint="eastAsia" w:ascii="幼圆" w:hAnsi="幼圆" w:eastAsia="幼圆" w:cs="幼圆"/>
          <w:lang w:val="en-US" w:eastAsia="zh-CN"/>
        </w:rPr>
        <w:t>本次评标采用</w:t>
      </w:r>
      <w:r>
        <w:rPr>
          <w:rFonts w:hint="eastAsia" w:ascii="幼圆" w:hAnsi="幼圆" w:eastAsia="幼圆" w:cs="幼圆"/>
          <w:b/>
          <w:bCs/>
          <w:lang w:val="en-US" w:eastAsia="zh-CN"/>
        </w:rPr>
        <w:t>综合评分法</w:t>
      </w:r>
      <w:r>
        <w:rPr>
          <w:rFonts w:hint="eastAsia" w:ascii="幼圆" w:hAnsi="幼圆" w:eastAsia="幼圆" w:cs="幼圆"/>
          <w:lang w:val="en-US" w:eastAsia="zh-CN"/>
        </w:rPr>
        <w:t>，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keepNext w:val="0"/>
        <w:keepLines w:val="0"/>
        <w:pageBreakBefore w:val="0"/>
        <w:widowControl/>
        <w:numPr>
          <w:ilvl w:val="0"/>
          <w:numId w:val="0"/>
        </w:numPr>
        <w:wordWrap/>
        <w:topLinePunct w:val="0"/>
        <w:bidi w:val="0"/>
        <w:spacing w:after="0" w:line="240" w:lineRule="auto"/>
        <w:ind w:leftChars="0" w:firstLine="482" w:firstLineChars="200"/>
        <w:jc w:val="both"/>
        <w:rPr>
          <w:rFonts w:hint="eastAsia" w:ascii="幼圆" w:hAnsi="幼圆" w:eastAsia="幼圆" w:cs="幼圆"/>
          <w:b/>
          <w:bCs/>
          <w:color w:val="FF0000"/>
          <w:sz w:val="24"/>
          <w:szCs w:val="20"/>
        </w:rPr>
      </w:pPr>
      <w:r>
        <w:rPr>
          <w:rFonts w:hint="eastAsia" w:ascii="幼圆" w:hAnsi="幼圆" w:eastAsia="幼圆" w:cs="幼圆"/>
          <w:b/>
          <w:bCs/>
          <w:color w:val="FF0000"/>
          <w:sz w:val="24"/>
          <w:szCs w:val="20"/>
        </w:rPr>
        <w:t>投标最低报价不作为中标的唯一理由</w:t>
      </w:r>
    </w:p>
    <w:p>
      <w:pPr>
        <w:keepNext w:val="0"/>
        <w:keepLines w:val="0"/>
        <w:pageBreakBefore w:val="0"/>
        <w:widowControl/>
        <w:numPr>
          <w:ilvl w:val="0"/>
          <w:numId w:val="0"/>
        </w:numPr>
        <w:wordWrap/>
        <w:topLinePunct w:val="0"/>
        <w:bidi w:val="0"/>
        <w:spacing w:after="0" w:line="240" w:lineRule="auto"/>
        <w:ind w:leftChars="0"/>
        <w:jc w:val="both"/>
        <w:rPr>
          <w:rFonts w:hint="eastAsia" w:ascii="幼圆" w:hAnsi="幼圆" w:eastAsia="幼圆" w:cs="幼圆"/>
          <w:b/>
          <w:bCs/>
          <w:sz w:val="24"/>
          <w:szCs w:val="20"/>
          <w:lang w:val="en-US" w:eastAsia="zh-CN"/>
        </w:rPr>
      </w:pPr>
      <w:r>
        <w:rPr>
          <w:rFonts w:hint="eastAsia" w:ascii="幼圆" w:hAnsi="幼圆" w:eastAsia="幼圆" w:cs="幼圆"/>
          <w:b/>
          <w:bCs/>
          <w:sz w:val="24"/>
          <w:szCs w:val="20"/>
          <w:lang w:val="en-US" w:eastAsia="zh-CN"/>
        </w:rPr>
        <w:t>2</w:t>
      </w:r>
      <w:r>
        <w:rPr>
          <w:rFonts w:hint="eastAsia" w:ascii="幼圆" w:hAnsi="幼圆" w:eastAsia="幼圆" w:cs="幼圆"/>
          <w:b/>
          <w:bCs/>
          <w:sz w:val="24"/>
          <w:szCs w:val="20"/>
        </w:rPr>
        <w:t>.</w:t>
      </w:r>
      <w:r>
        <w:rPr>
          <w:rFonts w:hint="eastAsia" w:ascii="幼圆" w:hAnsi="幼圆" w:eastAsia="幼圆" w:cs="幼圆"/>
          <w:b/>
          <w:bCs/>
          <w:sz w:val="24"/>
          <w:szCs w:val="20"/>
          <w:lang w:val="en-US" w:eastAsia="zh-CN"/>
        </w:rPr>
        <w:t>评分标准</w:t>
      </w:r>
    </w:p>
    <w:tbl>
      <w:tblPr>
        <w:tblStyle w:val="3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776"/>
        <w:gridCol w:w="1665"/>
        <w:gridCol w:w="574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b/>
                <w:bCs/>
                <w:highlight w:val="none"/>
              </w:rPr>
            </w:pPr>
            <w:bookmarkStart w:id="1" w:name="_Hlk536608376"/>
            <w:r>
              <w:rPr>
                <w:rFonts w:hint="eastAsia" w:ascii="幼圆" w:hAnsi="幼圆" w:eastAsia="幼圆" w:cs="幼圆"/>
                <w:b/>
                <w:bCs/>
                <w:highlight w:val="none"/>
              </w:rPr>
              <w:t>内容</w:t>
            </w:r>
          </w:p>
        </w:tc>
        <w:tc>
          <w:tcPr>
            <w:tcW w:w="776"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分值</w:t>
            </w:r>
          </w:p>
        </w:tc>
        <w:tc>
          <w:tcPr>
            <w:tcW w:w="1665"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评分因素分项</w:t>
            </w:r>
          </w:p>
        </w:tc>
        <w:tc>
          <w:tcPr>
            <w:tcW w:w="5749" w:type="dxa"/>
            <w:vAlign w:val="center"/>
          </w:tcPr>
          <w:p>
            <w:pPr>
              <w:widowControl/>
              <w:spacing w:line="240" w:lineRule="auto"/>
              <w:jc w:val="center"/>
              <w:rPr>
                <w:rFonts w:hint="eastAsia" w:ascii="幼圆" w:hAnsi="幼圆" w:eastAsia="幼圆" w:cs="幼圆"/>
                <w:b/>
                <w:bCs/>
                <w:highlight w:val="none"/>
              </w:rPr>
            </w:pPr>
            <w:r>
              <w:rPr>
                <w:rFonts w:hint="eastAsia" w:ascii="幼圆" w:hAnsi="幼圆" w:eastAsia="幼圆" w:cs="幼圆"/>
                <w:b/>
                <w:bCs/>
                <w:highlight w:val="none"/>
              </w:rPr>
              <w:t>评分标准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价格部分</w:t>
            </w:r>
          </w:p>
        </w:tc>
        <w:tc>
          <w:tcPr>
            <w:tcW w:w="776" w:type="dxa"/>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lang w:val="en-US" w:eastAsia="zh-CN"/>
              </w:rPr>
              <w:t>20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评标价格</w:t>
            </w:r>
          </w:p>
        </w:tc>
        <w:tc>
          <w:tcPr>
            <w:tcW w:w="5749" w:type="dxa"/>
            <w:vAlign w:val="center"/>
          </w:tcPr>
          <w:p>
            <w:pPr>
              <w:pStyle w:val="2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lang w:eastAsia="zh-CN"/>
              </w:rPr>
            </w:pPr>
            <w:r>
              <w:rPr>
                <w:rFonts w:hint="eastAsia" w:ascii="幼圆" w:hAnsi="幼圆" w:eastAsia="幼圆" w:cs="幼圆"/>
                <w:highlight w:val="none"/>
                <w:lang w:eastAsia="zh-CN"/>
              </w:rPr>
              <w:t>满足招标文件要求且投标价格最低的投标报价为评标基准价，其价格分为满分。其他投标人的价格分统一按照下列公式计算：</w:t>
            </w:r>
          </w:p>
          <w:p>
            <w:pPr>
              <w:pStyle w:val="22"/>
              <w:keepNext w:val="0"/>
              <w:keepLines w:val="0"/>
              <w:pageBreakBefore w:val="0"/>
              <w:tabs>
                <w:tab w:val="left" w:pos="567"/>
              </w:tabs>
              <w:kinsoku/>
              <w:wordWrap/>
              <w:overflowPunct/>
              <w:topLinePunct w:val="0"/>
              <w:autoSpaceDE/>
              <w:autoSpaceDN/>
              <w:bidi w:val="0"/>
              <w:snapToGrid/>
              <w:spacing w:before="0" w:line="240" w:lineRule="auto"/>
              <w:rPr>
                <w:rFonts w:hint="eastAsia" w:ascii="幼圆" w:hAnsi="幼圆" w:eastAsia="幼圆" w:cs="幼圆"/>
                <w:highlight w:val="none"/>
              </w:rPr>
            </w:pPr>
            <w:r>
              <w:rPr>
                <w:rFonts w:hint="eastAsia" w:ascii="幼圆" w:hAnsi="幼圆" w:eastAsia="幼圆" w:cs="幼圆"/>
                <w:highlight w:val="none"/>
                <w:lang w:eastAsia="zh-CN"/>
              </w:rPr>
              <w:t>投标报价得分=(评标基准价／投标报价)×</w:t>
            </w:r>
            <w:r>
              <w:rPr>
                <w:rFonts w:hint="eastAsia" w:ascii="幼圆" w:hAnsi="幼圆" w:eastAsia="幼圆" w:cs="幼圆"/>
                <w:highlight w:val="none"/>
                <w:lang w:val="en-US" w:eastAsia="zh-CN"/>
              </w:rPr>
              <w:t>20</w:t>
            </w:r>
            <w:r>
              <w:rPr>
                <w:rFonts w:hint="eastAsia" w:ascii="幼圆" w:hAnsi="幼圆" w:eastAsia="幼圆" w:cs="幼圆"/>
                <w:highlight w:val="none"/>
                <w:lang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3" w:hRule="atLeast"/>
          <w:jc w:val="center"/>
        </w:trPr>
        <w:tc>
          <w:tcPr>
            <w:tcW w:w="1212"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商务部分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10</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类似业绩</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自202</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年</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月1日至今（按合同签订时间计算），投标人每提供一个</w:t>
            </w:r>
            <w:r>
              <w:rPr>
                <w:rFonts w:hint="eastAsia" w:ascii="幼圆" w:hAnsi="幼圆" w:eastAsia="幼圆" w:cs="幼圆"/>
                <w:highlight w:val="none"/>
                <w:lang w:val="en-US" w:eastAsia="zh-CN"/>
              </w:rPr>
              <w:t>同类</w:t>
            </w:r>
            <w:r>
              <w:rPr>
                <w:rFonts w:hint="eastAsia" w:ascii="幼圆" w:hAnsi="幼圆" w:eastAsia="幼圆" w:cs="幼圆"/>
                <w:highlight w:val="none"/>
                <w:lang w:eastAsia="zh-CN"/>
              </w:rPr>
              <w:t>项目</w:t>
            </w:r>
            <w:r>
              <w:rPr>
                <w:rFonts w:hint="eastAsia" w:ascii="幼圆" w:hAnsi="幼圆" w:eastAsia="幼圆" w:cs="幼圆"/>
                <w:highlight w:val="none"/>
                <w:lang w:val="en-US" w:eastAsia="zh-CN"/>
              </w:rPr>
              <w:t>的</w:t>
            </w:r>
            <w:r>
              <w:rPr>
                <w:rFonts w:hint="eastAsia" w:ascii="幼圆" w:hAnsi="幼圆" w:eastAsia="幼圆" w:cs="幼圆"/>
                <w:highlight w:val="none"/>
                <w:lang w:eastAsia="zh-CN"/>
              </w:rPr>
              <w:t>业绩，得</w:t>
            </w:r>
            <w:r>
              <w:rPr>
                <w:rFonts w:hint="eastAsia" w:ascii="幼圆" w:hAnsi="幼圆" w:eastAsia="幼圆" w:cs="幼圆"/>
                <w:highlight w:val="none"/>
                <w:lang w:val="en-US" w:eastAsia="zh-CN"/>
              </w:rPr>
              <w:t>2</w:t>
            </w:r>
            <w:r>
              <w:rPr>
                <w:rFonts w:hint="eastAsia" w:ascii="幼圆" w:hAnsi="幼圆" w:eastAsia="幼圆" w:cs="幼圆"/>
                <w:highlight w:val="none"/>
                <w:lang w:eastAsia="zh-CN"/>
              </w:rPr>
              <w:t>分，最高得</w:t>
            </w:r>
            <w:r>
              <w:rPr>
                <w:rFonts w:hint="eastAsia" w:ascii="幼圆" w:hAnsi="幼圆" w:eastAsia="幼圆" w:cs="幼圆"/>
                <w:highlight w:val="none"/>
                <w:lang w:val="en-US" w:eastAsia="zh-CN"/>
              </w:rPr>
              <w:t>10</w:t>
            </w:r>
            <w:r>
              <w:rPr>
                <w:rFonts w:hint="eastAsia" w:ascii="幼圆" w:hAnsi="幼圆" w:eastAsia="幼圆" w:cs="幼圆"/>
                <w:highlight w:val="none"/>
                <w:lang w:eastAsia="zh-CN"/>
              </w:rPr>
              <w:t>分。须提供合同复印件，内容能体现合同名称、主要服务内容以及双方签字盖章页。未按上述要求提供合同复印件的不得分。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技术部分</w:t>
            </w:r>
          </w:p>
        </w:tc>
        <w:tc>
          <w:tcPr>
            <w:tcW w:w="776"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lang w:val="en-US" w:eastAsia="zh-CN"/>
              </w:rPr>
              <w:t>24</w:t>
            </w:r>
          </w:p>
        </w:tc>
        <w:tc>
          <w:tcPr>
            <w:tcW w:w="1665" w:type="dxa"/>
            <w:shd w:val="clear" w:color="auto" w:fill="auto"/>
            <w:vAlign w:val="center"/>
          </w:tcPr>
          <w:p>
            <w:pPr>
              <w:widowControl/>
              <w:spacing w:line="240" w:lineRule="auto"/>
              <w:jc w:val="center"/>
              <w:rPr>
                <w:rFonts w:hint="eastAsia" w:ascii="幼圆" w:hAnsi="幼圆" w:eastAsia="幼圆" w:cs="幼圆"/>
                <w:sz w:val="24"/>
                <w:szCs w:val="24"/>
                <w:highlight w:val="none"/>
                <w:lang w:val="en-US" w:eastAsia="zh-CN" w:bidi="ar-SA"/>
              </w:rPr>
            </w:pPr>
            <w:r>
              <w:rPr>
                <w:rFonts w:hint="eastAsia" w:ascii="幼圆" w:hAnsi="幼圆" w:eastAsia="幼圆" w:cs="幼圆"/>
                <w:highlight w:val="none"/>
              </w:rPr>
              <w:t>对文件技术要求的响应程度</w:t>
            </w:r>
          </w:p>
        </w:tc>
        <w:tc>
          <w:tcPr>
            <w:tcW w:w="5749" w:type="dxa"/>
            <w:shd w:val="clear" w:color="auto" w:fill="auto"/>
            <w:vAlign w:val="center"/>
          </w:tcPr>
          <w:p>
            <w:pPr>
              <w:widowControl/>
              <w:spacing w:line="240" w:lineRule="auto"/>
              <w:jc w:val="both"/>
              <w:rPr>
                <w:rFonts w:hint="eastAsia" w:ascii="幼圆" w:hAnsi="幼圆" w:eastAsia="幼圆" w:cs="幼圆"/>
                <w:highlight w:val="none"/>
              </w:rPr>
            </w:pPr>
            <w:r>
              <w:rPr>
                <w:rFonts w:hint="eastAsia" w:ascii="幼圆" w:hAnsi="幼圆" w:eastAsia="幼圆" w:cs="幼圆"/>
                <w:highlight w:val="none"/>
              </w:rPr>
              <w:t>投标人完全满足第三章采购需求中“</w:t>
            </w:r>
            <w:r>
              <w:rPr>
                <w:rFonts w:hint="eastAsia" w:ascii="幼圆" w:hAnsi="幼圆" w:eastAsia="幼圆" w:cs="幼圆"/>
                <w:highlight w:val="none"/>
                <w:lang w:val="en-US" w:eastAsia="zh-CN"/>
              </w:rPr>
              <w:t>五</w:t>
            </w:r>
            <w:r>
              <w:rPr>
                <w:rFonts w:hint="eastAsia" w:ascii="幼圆" w:hAnsi="幼圆" w:eastAsia="幼圆" w:cs="幼圆"/>
                <w:highlight w:val="none"/>
              </w:rPr>
              <w:t>、</w:t>
            </w:r>
            <w:r>
              <w:rPr>
                <w:rFonts w:hint="eastAsia" w:ascii="幼圆" w:hAnsi="幼圆" w:eastAsia="幼圆" w:cs="幼圆"/>
                <w:highlight w:val="none"/>
                <w:lang w:val="en-US" w:eastAsia="zh-CN"/>
              </w:rPr>
              <w:t>维保内容</w:t>
            </w:r>
            <w:r>
              <w:rPr>
                <w:rFonts w:hint="eastAsia" w:ascii="幼圆" w:hAnsi="幼圆" w:eastAsia="幼圆" w:cs="幼圆"/>
                <w:highlight w:val="none"/>
              </w:rPr>
              <w:t>”的得</w:t>
            </w:r>
            <w:r>
              <w:rPr>
                <w:rFonts w:hint="eastAsia" w:ascii="幼圆" w:hAnsi="幼圆" w:eastAsia="幼圆" w:cs="幼圆"/>
                <w:highlight w:val="none"/>
                <w:lang w:val="en-US" w:eastAsia="zh-CN"/>
              </w:rPr>
              <w:t>24</w:t>
            </w:r>
            <w:r>
              <w:rPr>
                <w:rFonts w:hint="eastAsia" w:ascii="幼圆" w:hAnsi="幼圆" w:eastAsia="幼圆" w:cs="幼圆"/>
                <w:highlight w:val="none"/>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rPr>
              <w:t>共有</w:t>
            </w:r>
            <w:r>
              <w:rPr>
                <w:rFonts w:hint="eastAsia" w:ascii="幼圆" w:hAnsi="幼圆" w:eastAsia="幼圆" w:cs="幼圆"/>
                <w:highlight w:val="none"/>
                <w:lang w:val="en-US" w:eastAsia="zh-CN"/>
              </w:rPr>
              <w:t>16</w:t>
            </w:r>
            <w:r>
              <w:rPr>
                <w:rFonts w:hint="eastAsia" w:ascii="幼圆" w:hAnsi="幼圆" w:eastAsia="幼圆" w:cs="幼圆"/>
                <w:highlight w:val="none"/>
              </w:rPr>
              <w:t>项指标，每满足一项得</w:t>
            </w:r>
            <w:r>
              <w:rPr>
                <w:rFonts w:hint="eastAsia" w:ascii="幼圆" w:hAnsi="幼圆" w:eastAsia="幼圆" w:cs="幼圆"/>
                <w:highlight w:val="none"/>
                <w:lang w:val="en-US" w:eastAsia="zh-CN"/>
              </w:rPr>
              <w:t>1.5</w:t>
            </w:r>
            <w:r>
              <w:rPr>
                <w:rFonts w:hint="eastAsia" w:ascii="幼圆" w:hAnsi="幼圆" w:eastAsia="幼圆" w:cs="幼圆"/>
                <w:highlight w:val="none"/>
              </w:rPr>
              <w:t>分，共</w:t>
            </w:r>
            <w:r>
              <w:rPr>
                <w:rFonts w:hint="eastAsia" w:ascii="幼圆" w:hAnsi="幼圆" w:eastAsia="幼圆" w:cs="幼圆"/>
                <w:highlight w:val="none"/>
                <w:lang w:val="en-US" w:eastAsia="zh-CN"/>
              </w:rPr>
              <w:t>24</w:t>
            </w:r>
            <w:r>
              <w:rPr>
                <w:rFonts w:hint="eastAsia" w:ascii="幼圆" w:hAnsi="幼圆" w:eastAsia="幼圆" w:cs="幼圆"/>
                <w:highlight w:val="none"/>
              </w:rPr>
              <w:t>分</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b/>
                <w:bCs/>
                <w:highlight w:val="none"/>
                <w:lang w:eastAsia="zh-CN"/>
              </w:rPr>
              <w:t>注：</w:t>
            </w:r>
            <w:r>
              <w:rPr>
                <w:rFonts w:hint="eastAsia" w:ascii="幼圆" w:hAnsi="幼圆" w:eastAsia="幼圆" w:cs="幼圆"/>
                <w:b/>
                <w:bCs/>
                <w:highlight w:val="none"/>
                <w:lang w:val="en-US" w:eastAsia="zh-CN"/>
              </w:rPr>
              <w:t>1</w:t>
            </w:r>
            <w:r>
              <w:rPr>
                <w:rFonts w:hint="eastAsia" w:ascii="幼圆" w:hAnsi="幼圆" w:eastAsia="幼圆" w:cs="幼圆"/>
                <w:b/>
                <w:bCs/>
                <w:highlight w:val="none"/>
                <w:lang w:eastAsia="zh-CN"/>
              </w:rPr>
              <w:t>）“</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lang w:eastAsia="zh-CN"/>
              </w:rPr>
              <w:t>”以“ 附件《技术规格偏离表》”响应为准，否则不得分。</w:t>
            </w:r>
          </w:p>
          <w:p>
            <w:pPr>
              <w:spacing w:line="240" w:lineRule="auto"/>
              <w:jc w:val="both"/>
              <w:rPr>
                <w:rFonts w:hint="eastAsia" w:ascii="幼圆" w:hAnsi="幼圆" w:eastAsia="幼圆" w:cs="幼圆"/>
                <w:b/>
                <w:bCs/>
                <w:highlight w:val="none"/>
                <w:lang w:val="en-US" w:eastAsia="zh-CN"/>
              </w:rPr>
            </w:pPr>
            <w:r>
              <w:rPr>
                <w:rFonts w:hint="eastAsia" w:ascii="幼圆" w:hAnsi="幼圆" w:eastAsia="幼圆" w:cs="幼圆"/>
                <w:b/>
                <w:bCs/>
                <w:highlight w:val="none"/>
              </w:rPr>
              <w:t>2）以“</w:t>
            </w:r>
            <w:r>
              <w:rPr>
                <w:rFonts w:hint="eastAsia" w:ascii="幼圆" w:hAnsi="幼圆" w:eastAsia="幼圆" w:cs="幼圆"/>
                <w:b/>
                <w:bCs/>
                <w:highlight w:val="none"/>
                <w:lang w:val="en-US" w:eastAsia="zh-CN"/>
              </w:rPr>
              <w:t>维保内容</w:t>
            </w:r>
            <w:r>
              <w:rPr>
                <w:rFonts w:hint="eastAsia" w:ascii="幼圆" w:hAnsi="幼圆" w:eastAsia="幼圆" w:cs="幼圆"/>
                <w:b/>
                <w:bCs/>
                <w:highlight w:val="none"/>
              </w:rPr>
              <w:t>”中的“序号”作为指标项的计算依据，无论该指标项包含几条技术参数。如该指标项中有任意一条指标不满足招标文件要求或负偏离，则该项不得分；漏报该项不得分。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rPr>
            </w:pPr>
          </w:p>
        </w:tc>
        <w:tc>
          <w:tcPr>
            <w:tcW w:w="776"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shd w:val="clear" w:color="auto" w:fill="auto"/>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内部管理制度及培训方案</w:t>
            </w:r>
          </w:p>
        </w:tc>
        <w:tc>
          <w:tcPr>
            <w:tcW w:w="5749" w:type="dxa"/>
            <w:shd w:val="clear" w:color="auto" w:fill="auto"/>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val="en-US" w:eastAsia="zh-CN"/>
              </w:rPr>
              <w:t>内部管理制度及培训方案</w:t>
            </w:r>
            <w:r>
              <w:rPr>
                <w:rFonts w:hint="eastAsia" w:ascii="幼圆" w:hAnsi="幼圆" w:eastAsia="幼圆" w:cs="幼圆"/>
                <w:highlight w:val="none"/>
                <w:lang w:eastAsia="zh-CN"/>
              </w:rPr>
              <w:t>合理、详细，</w:t>
            </w:r>
            <w:r>
              <w:rPr>
                <w:rFonts w:hint="eastAsia" w:ascii="幼圆" w:hAnsi="幼圆" w:eastAsia="幼圆" w:cs="幼圆"/>
                <w:highlight w:val="none"/>
                <w:lang w:val="en-US" w:eastAsia="zh-CN"/>
              </w:rPr>
              <w:t>培训</w:t>
            </w:r>
            <w:r>
              <w:rPr>
                <w:rFonts w:hint="eastAsia" w:ascii="幼圆" w:hAnsi="幼圆" w:eastAsia="幼圆" w:cs="幼圆"/>
                <w:highlight w:val="none"/>
                <w:lang w:eastAsia="zh-CN"/>
              </w:rPr>
              <w:t>服务承诺周到，具有完善的</w:t>
            </w:r>
            <w:r>
              <w:rPr>
                <w:rFonts w:hint="eastAsia" w:ascii="幼圆" w:hAnsi="幼圆" w:eastAsia="幼圆" w:cs="幼圆"/>
                <w:highlight w:val="none"/>
                <w:lang w:val="en-US" w:eastAsia="zh-CN"/>
              </w:rPr>
              <w:t>管理</w:t>
            </w:r>
            <w:r>
              <w:rPr>
                <w:rFonts w:hint="eastAsia" w:ascii="幼圆" w:hAnsi="幼圆" w:eastAsia="幼圆" w:cs="幼圆"/>
                <w:highlight w:val="none"/>
                <w:lang w:eastAsia="zh-CN"/>
              </w:rPr>
              <w:t>体系：</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方案合理、</w:t>
            </w:r>
            <w:r>
              <w:rPr>
                <w:rFonts w:hint="eastAsia" w:ascii="幼圆" w:hAnsi="幼圆" w:eastAsia="幼圆" w:cs="幼圆"/>
                <w:highlight w:val="none"/>
                <w:lang w:val="en-US" w:eastAsia="zh-CN"/>
              </w:rPr>
              <w:t>详细，体系完善的，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7</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较为</w:t>
            </w:r>
            <w:r>
              <w:rPr>
                <w:rFonts w:hint="eastAsia" w:ascii="幼圆" w:hAnsi="幼圆" w:eastAsia="幼圆" w:cs="幼圆"/>
                <w:highlight w:val="none"/>
                <w:lang w:eastAsia="zh-CN"/>
              </w:rPr>
              <w:t>合理、</w:t>
            </w:r>
            <w:r>
              <w:rPr>
                <w:rFonts w:hint="eastAsia" w:ascii="幼圆" w:hAnsi="幼圆" w:eastAsia="幼圆" w:cs="幼圆"/>
                <w:highlight w:val="none"/>
                <w:lang w:val="en-US" w:eastAsia="zh-CN"/>
              </w:rPr>
              <w:t>详细，体系较为完善的，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5</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w:t>
            </w:r>
            <w:r>
              <w:rPr>
                <w:rFonts w:hint="eastAsia" w:ascii="幼圆" w:hAnsi="幼圆" w:eastAsia="幼圆" w:cs="幼圆"/>
                <w:highlight w:val="none"/>
                <w:lang w:val="en-US" w:eastAsia="zh-CN"/>
              </w:rPr>
              <w:t>一般，体系基本完善的，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3</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方案有欠缺，</w:t>
            </w:r>
            <w:r>
              <w:rPr>
                <w:rFonts w:hint="eastAsia" w:ascii="幼圆" w:hAnsi="幼圆" w:eastAsia="幼圆" w:cs="幼圆"/>
                <w:highlight w:val="none"/>
                <w:lang w:val="en-US" w:eastAsia="zh-CN"/>
              </w:rPr>
              <w:t>体系不完整的，</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b/>
                <w:bCs/>
                <w:highlight w:val="none"/>
                <w:lang w:eastAsia="zh-CN"/>
              </w:rPr>
            </w:pPr>
            <w:r>
              <w:rPr>
                <w:rFonts w:hint="eastAsia" w:ascii="幼圆" w:hAnsi="幼圆" w:eastAsia="幼圆" w:cs="幼圆"/>
                <w:highlight w:val="none"/>
                <w:lang w:val="en-US" w:eastAsia="zh-CN"/>
              </w:rPr>
              <w:t>未提供，</w:t>
            </w:r>
            <w:r>
              <w:rPr>
                <w:rFonts w:hint="eastAsia" w:ascii="幼圆" w:hAnsi="幼圆" w:eastAsia="幼圆" w:cs="幼圆"/>
                <w:highlight w:val="none"/>
                <w:lang w:eastAsia="zh-CN"/>
              </w:rPr>
              <w:t>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restart"/>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服务部分</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Merge w:val="restart"/>
            <w:vAlign w:val="center"/>
          </w:tcPr>
          <w:p>
            <w:pPr>
              <w:widowControl/>
              <w:spacing w:line="240" w:lineRule="auto"/>
              <w:jc w:val="center"/>
              <w:rPr>
                <w:rFonts w:hint="eastAsia" w:ascii="幼圆" w:hAnsi="幼圆" w:eastAsia="幼圆" w:cs="幼圆"/>
                <w:highlight w:val="none"/>
                <w:lang w:eastAsia="zh-CN"/>
              </w:rPr>
            </w:pPr>
            <w:r>
              <w:rPr>
                <w:rFonts w:hint="eastAsia" w:ascii="幼圆" w:hAnsi="幼圆" w:eastAsia="幼圆" w:cs="幼圆"/>
                <w:highlight w:val="none"/>
              </w:rPr>
              <w:t>服务方案及人员配备方案</w:t>
            </w:r>
          </w:p>
        </w:tc>
        <w:tc>
          <w:tcPr>
            <w:tcW w:w="5749" w:type="dxa"/>
            <w:vAlign w:val="center"/>
          </w:tcPr>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根据投标人提供的</w:t>
            </w:r>
            <w:r>
              <w:rPr>
                <w:rFonts w:hint="eastAsia" w:ascii="幼圆" w:hAnsi="幼圆" w:eastAsia="幼圆" w:cs="幼圆"/>
                <w:highlight w:val="none"/>
                <w:lang w:val="en-US" w:eastAsia="zh-CN"/>
              </w:rPr>
              <w:t>总体设计方案进行评价</w:t>
            </w:r>
            <w:r>
              <w:rPr>
                <w:rFonts w:hint="eastAsia" w:ascii="幼圆" w:hAnsi="幼圆" w:eastAsia="幼圆" w:cs="幼圆"/>
                <w:highlight w:val="none"/>
                <w:lang w:eastAsia="zh-CN"/>
              </w:rPr>
              <w:t>：</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设计方案亮点突出、针对性强、内容全面、规划统筹考虑充分，得</w:t>
            </w:r>
            <w:r>
              <w:rPr>
                <w:rFonts w:hint="eastAsia" w:ascii="幼圆" w:hAnsi="幼圆" w:eastAsia="幼圆" w:cs="幼圆"/>
                <w:highlight w:val="none"/>
                <w:lang w:val="en-US" w:eastAsia="zh-CN"/>
              </w:rPr>
              <w:t>7</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基本全面</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一般</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中规中矩</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4</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设计方案</w:t>
            </w:r>
            <w:r>
              <w:rPr>
                <w:rFonts w:hint="eastAsia" w:ascii="幼圆" w:hAnsi="幼圆" w:eastAsia="幼圆" w:cs="幼圆"/>
                <w:highlight w:val="none"/>
                <w:lang w:val="en-US" w:eastAsia="zh-CN"/>
              </w:rPr>
              <w:t>简单</w:t>
            </w:r>
            <w:r>
              <w:rPr>
                <w:rFonts w:hint="eastAsia" w:ascii="幼圆" w:hAnsi="幼圆" w:eastAsia="幼圆" w:cs="幼圆"/>
                <w:highlight w:val="none"/>
                <w:lang w:eastAsia="zh-CN"/>
              </w:rPr>
              <w:t>、针对性</w:t>
            </w:r>
            <w:r>
              <w:rPr>
                <w:rFonts w:hint="eastAsia" w:ascii="幼圆" w:hAnsi="幼圆" w:eastAsia="幼圆" w:cs="幼圆"/>
                <w:highlight w:val="none"/>
                <w:lang w:val="en-US" w:eastAsia="zh-CN"/>
              </w:rPr>
              <w:t>欠妥</w:t>
            </w:r>
            <w:r>
              <w:rPr>
                <w:rFonts w:hint="eastAsia" w:ascii="幼圆" w:hAnsi="幼圆" w:eastAsia="幼圆" w:cs="幼圆"/>
                <w:highlight w:val="none"/>
                <w:lang w:eastAsia="zh-CN"/>
              </w:rPr>
              <w:t>、规划统筹考虑</w:t>
            </w:r>
            <w:r>
              <w:rPr>
                <w:rFonts w:hint="eastAsia" w:ascii="幼圆" w:hAnsi="幼圆" w:eastAsia="幼圆" w:cs="幼圆"/>
                <w:highlight w:val="none"/>
                <w:lang w:val="en-US" w:eastAsia="zh-CN"/>
              </w:rPr>
              <w:t>欠佳</w:t>
            </w:r>
            <w:r>
              <w:rPr>
                <w:rFonts w:hint="eastAsia" w:ascii="幼圆" w:hAnsi="幼圆" w:eastAsia="幼圆" w:cs="幼圆"/>
                <w:highlight w:val="none"/>
                <w:lang w:eastAsia="zh-CN"/>
              </w:rPr>
              <w:t>，得</w:t>
            </w:r>
            <w:r>
              <w:rPr>
                <w:rFonts w:hint="eastAsia" w:ascii="幼圆" w:hAnsi="幼圆" w:eastAsia="幼圆" w:cs="幼圆"/>
                <w:highlight w:val="none"/>
                <w:lang w:val="en-US" w:eastAsia="zh-CN"/>
              </w:rPr>
              <w:t>1</w:t>
            </w:r>
            <w:r>
              <w:rPr>
                <w:rFonts w:hint="eastAsia" w:ascii="幼圆" w:hAnsi="幼圆" w:eastAsia="幼圆" w:cs="幼圆"/>
                <w:highlight w:val="none"/>
                <w:lang w:eastAsia="zh-CN"/>
              </w:rPr>
              <w:t>分；</w:t>
            </w:r>
          </w:p>
          <w:p>
            <w:pPr>
              <w:widowControl/>
              <w:spacing w:line="240" w:lineRule="auto"/>
              <w:jc w:val="both"/>
              <w:rPr>
                <w:rFonts w:hint="eastAsia" w:ascii="幼圆" w:hAnsi="幼圆" w:eastAsia="幼圆" w:cs="幼圆"/>
                <w:highlight w:val="none"/>
                <w:lang w:eastAsia="zh-CN"/>
              </w:rPr>
            </w:pPr>
            <w:r>
              <w:rPr>
                <w:rFonts w:hint="eastAsia" w:ascii="幼圆" w:hAnsi="幼圆" w:eastAsia="幼圆" w:cs="幼圆"/>
                <w:highlight w:val="none"/>
                <w:lang w:eastAsia="zh-CN"/>
              </w:rPr>
              <w:t>未提供该方案不得分。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13</w:t>
            </w:r>
          </w:p>
        </w:tc>
        <w:tc>
          <w:tcPr>
            <w:tcW w:w="1665" w:type="dxa"/>
            <w:vMerge w:val="continue"/>
            <w:vAlign w:val="center"/>
          </w:tcPr>
          <w:p>
            <w:pPr>
              <w:widowControl/>
              <w:spacing w:line="240" w:lineRule="auto"/>
              <w:jc w:val="center"/>
              <w:rPr>
                <w:rFonts w:hint="eastAsia" w:ascii="幼圆" w:hAnsi="幼圆" w:eastAsia="幼圆" w:cs="幼圆"/>
                <w:highlight w:val="none"/>
                <w:lang w:eastAsia="zh-CN"/>
              </w:rPr>
            </w:pP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（1）根据各投标人按照采购需求提供的维保团队的规模、专业度、架构方面进行打分。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人员架构科学合理，数量充足，专业度高的，完全满足项目需求的，得7分；</w:t>
            </w:r>
          </w:p>
          <w:p>
            <w:pPr>
              <w:widowControl/>
              <w:spacing w:line="240" w:lineRule="auto"/>
              <w:rPr>
                <w:rFonts w:hint="eastAsia" w:ascii="幼圆" w:hAnsi="幼圆" w:eastAsia="幼圆" w:cs="幼圆"/>
                <w:highlight w:val="none"/>
                <w:lang w:val="en-US" w:eastAsia="zh-CN"/>
              </w:rPr>
            </w:pPr>
            <w:bookmarkStart w:id="6" w:name="_GoBack"/>
            <w:bookmarkEnd w:id="6"/>
            <w:r>
              <w:rPr>
                <w:rFonts w:hint="eastAsia" w:ascii="幼圆" w:hAnsi="幼圆" w:eastAsia="幼圆" w:cs="幼圆"/>
                <w:highlight w:val="none"/>
                <w:lang w:val="en-US" w:eastAsia="zh-CN"/>
              </w:rPr>
              <w:t>人员架构基本科学合理，数量一般，专业度普通的，得4分；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人员架构不合理，数量稀少，专业度低的，得1分；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未提供不得分。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（2）根据团队成员的专业能力进行评价：</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1）具有中华人民共和国应急管理部门颁发的特种作业操作证（低压电工作业），每提供一人得2分，最高6分；</w:t>
            </w:r>
          </w:p>
          <w:p>
            <w:pPr>
              <w:pStyle w:val="22"/>
              <w:tabs>
                <w:tab w:val="left" w:pos="567"/>
              </w:tabs>
              <w:spacing w:line="240" w:lineRule="auto"/>
              <w:rPr>
                <w:rFonts w:hint="eastAsia" w:ascii="幼圆" w:hAnsi="幼圆" w:eastAsia="幼圆" w:cs="幼圆"/>
                <w:lang w:val="en-US" w:eastAsia="zh-CN"/>
              </w:rPr>
            </w:pPr>
            <w:r>
              <w:rPr>
                <w:rFonts w:hint="eastAsia" w:ascii="幼圆" w:hAnsi="幼圆" w:eastAsia="幼圆" w:cs="幼圆"/>
                <w:b/>
                <w:bCs/>
                <w:highlight w:val="none"/>
                <w:lang w:val="en-US" w:eastAsia="zh-CN"/>
              </w:rPr>
              <w:t>注：以上证书需提供有效的证书复印件，并加盖投标单位公章，否则视为无效</w:t>
            </w:r>
            <w:r>
              <w:rPr>
                <w:rFonts w:hint="eastAsia" w:ascii="幼圆" w:hAnsi="幼圆" w:eastAsia="幼圆" w:cs="幼圆"/>
                <w:highlight w:val="none"/>
                <w:lang w:val="en-US" w:eastAsia="zh-CN"/>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服务响应时间及质量保障措施</w:t>
            </w:r>
          </w:p>
        </w:tc>
        <w:tc>
          <w:tcPr>
            <w:tcW w:w="5749" w:type="dxa"/>
            <w:vAlign w:val="center"/>
          </w:tcPr>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响应时间及时、保障措施到位、分工明确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得7分；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响应时间基本满足需求、保障措施基本到位、分工较为明确</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得4分；</w:t>
            </w:r>
          </w:p>
          <w:p>
            <w:pPr>
              <w:widowControl/>
              <w:spacing w:line="240" w:lineRule="auto"/>
              <w:rPr>
                <w:rFonts w:hint="eastAsia" w:ascii="幼圆" w:hAnsi="幼圆" w:eastAsia="幼圆" w:cs="幼圆"/>
                <w:sz w:val="24"/>
                <w:szCs w:val="24"/>
                <w:highlight w:val="none"/>
                <w:lang w:val="en-US" w:eastAsia="zh-CN"/>
              </w:rPr>
            </w:pPr>
            <w:r>
              <w:rPr>
                <w:rFonts w:hint="eastAsia" w:ascii="幼圆" w:hAnsi="幼圆" w:eastAsia="幼圆" w:cs="幼圆"/>
                <w:sz w:val="24"/>
                <w:szCs w:val="24"/>
                <w:highlight w:val="none"/>
                <w:lang w:val="en-US" w:eastAsia="zh-CN"/>
              </w:rPr>
              <w:t>响应时间滞后、保障措施欠缺、分工混乱</w:t>
            </w:r>
            <w:r>
              <w:rPr>
                <w:rFonts w:hint="eastAsia" w:ascii="幼圆" w:hAnsi="幼圆" w:eastAsia="幼圆" w:cs="幼圆"/>
                <w:sz w:val="24"/>
                <w:szCs w:val="24"/>
                <w:highlight w:val="none"/>
                <w:lang w:eastAsia="zh-CN"/>
              </w:rPr>
              <w:t>，</w:t>
            </w:r>
            <w:r>
              <w:rPr>
                <w:rFonts w:hint="eastAsia" w:ascii="幼圆" w:hAnsi="幼圆" w:eastAsia="幼圆" w:cs="幼圆"/>
                <w:sz w:val="24"/>
                <w:szCs w:val="24"/>
                <w:highlight w:val="none"/>
                <w:lang w:val="en-US" w:eastAsia="zh-CN"/>
              </w:rPr>
              <w:t>得1分；</w:t>
            </w:r>
          </w:p>
          <w:p>
            <w:pPr>
              <w:keepNext w:val="0"/>
              <w:keepLines w:val="0"/>
              <w:pageBreakBefore w:val="0"/>
              <w:widowControl/>
              <w:kinsoku/>
              <w:wordWrap/>
              <w:overflowPunct/>
              <w:topLinePunct w:val="0"/>
              <w:autoSpaceDE/>
              <w:autoSpaceDN/>
              <w:bidi w:val="0"/>
              <w:snapToGrid/>
              <w:spacing w:line="240" w:lineRule="auto"/>
              <w:rPr>
                <w:rFonts w:hint="eastAsia" w:ascii="幼圆" w:hAnsi="幼圆" w:eastAsia="幼圆" w:cs="幼圆"/>
                <w:highlight w:val="none"/>
              </w:rPr>
            </w:pPr>
            <w:r>
              <w:rPr>
                <w:rFonts w:hint="eastAsia" w:ascii="幼圆" w:hAnsi="幼圆" w:eastAsia="幼圆" w:cs="幼圆"/>
                <w:sz w:val="24"/>
                <w:szCs w:val="24"/>
                <w:highlight w:val="none"/>
                <w:lang w:val="en-US" w:eastAsia="zh-CN"/>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Merge w:val="continue"/>
            <w:vAlign w:val="center"/>
          </w:tcPr>
          <w:p>
            <w:pPr>
              <w:widowControl/>
              <w:spacing w:line="240" w:lineRule="auto"/>
              <w:jc w:val="center"/>
              <w:rPr>
                <w:rFonts w:hint="eastAsia" w:ascii="幼圆" w:hAnsi="幼圆" w:eastAsia="幼圆" w:cs="幼圆"/>
                <w:highlight w:val="none"/>
                <w:lang w:val="en-US" w:eastAsia="zh-CN"/>
              </w:rPr>
            </w:pP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7</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后续服务承诺</w:t>
            </w:r>
          </w:p>
        </w:tc>
        <w:tc>
          <w:tcPr>
            <w:tcW w:w="5749" w:type="dxa"/>
            <w:vAlign w:val="center"/>
          </w:tcPr>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根据投标人提供的服务承诺进行打分：内容应包含但不限于售后服务及其他情况介绍；</w:t>
            </w:r>
            <w:r>
              <w:rPr>
                <w:rFonts w:hint="eastAsia" w:ascii="幼圆" w:hAnsi="幼圆" w:eastAsia="幼圆" w:cs="幼圆"/>
                <w:b/>
                <w:highlight w:val="none"/>
              </w:rPr>
              <w:t>可提供的优惠条件；突发状况服务时间承诺。</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服务承诺完全满足项目需求的，得</w:t>
            </w:r>
            <w:r>
              <w:rPr>
                <w:rFonts w:hint="eastAsia" w:ascii="幼圆" w:hAnsi="幼圆" w:eastAsia="幼圆" w:cs="幼圆"/>
                <w:highlight w:val="none"/>
                <w:lang w:val="en-US" w:eastAsia="zh-CN"/>
              </w:rPr>
              <w:t>7</w:t>
            </w:r>
            <w:r>
              <w:rPr>
                <w:rFonts w:hint="eastAsia" w:ascii="幼圆" w:hAnsi="幼圆" w:eastAsia="幼圆" w:cs="幼圆"/>
                <w:highlight w:val="none"/>
              </w:rPr>
              <w:t>分；</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服务承诺基本满足项目需求的，得</w:t>
            </w:r>
            <w:r>
              <w:rPr>
                <w:rFonts w:hint="eastAsia" w:ascii="幼圆" w:hAnsi="幼圆" w:eastAsia="幼圆" w:cs="幼圆"/>
                <w:highlight w:val="none"/>
                <w:lang w:val="en-US" w:eastAsia="zh-CN"/>
              </w:rPr>
              <w:t>4</w:t>
            </w:r>
            <w:r>
              <w:rPr>
                <w:rFonts w:hint="eastAsia" w:ascii="幼圆" w:hAnsi="幼圆" w:eastAsia="幼圆" w:cs="幼圆"/>
                <w:highlight w:val="none"/>
              </w:rPr>
              <w:t>分；</w:t>
            </w:r>
          </w:p>
          <w:p>
            <w:pPr>
              <w:autoSpaceDN w:val="0"/>
              <w:spacing w:line="240" w:lineRule="auto"/>
              <w:textAlignment w:val="bottom"/>
              <w:rPr>
                <w:rFonts w:hint="eastAsia" w:ascii="幼圆" w:hAnsi="幼圆" w:eastAsia="幼圆" w:cs="幼圆"/>
                <w:highlight w:val="none"/>
              </w:rPr>
            </w:pPr>
            <w:r>
              <w:rPr>
                <w:rFonts w:hint="eastAsia" w:ascii="幼圆" w:hAnsi="幼圆" w:eastAsia="幼圆" w:cs="幼圆"/>
                <w:highlight w:val="none"/>
              </w:rPr>
              <w:t>服务承诺不满足项目需求的，得1分；</w:t>
            </w:r>
          </w:p>
          <w:p>
            <w:pPr>
              <w:widowControl/>
              <w:spacing w:line="240" w:lineRule="auto"/>
              <w:rPr>
                <w:rFonts w:hint="eastAsia" w:ascii="幼圆" w:hAnsi="幼圆" w:eastAsia="幼圆" w:cs="幼圆"/>
                <w:highlight w:val="none"/>
              </w:rPr>
            </w:pPr>
            <w:r>
              <w:rPr>
                <w:rFonts w:hint="eastAsia" w:ascii="幼圆" w:hAnsi="幼圆" w:eastAsia="幼圆" w:cs="幼圆"/>
                <w:highlight w:val="none"/>
              </w:rPr>
              <w:t>未提供，不得分。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1212"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其他</w:t>
            </w:r>
          </w:p>
        </w:tc>
        <w:tc>
          <w:tcPr>
            <w:tcW w:w="776" w:type="dxa"/>
            <w:vAlign w:val="center"/>
          </w:tcPr>
          <w:p>
            <w:pPr>
              <w:widowControl/>
              <w:spacing w:line="240" w:lineRule="auto"/>
              <w:jc w:val="center"/>
              <w:rPr>
                <w:rFonts w:hint="eastAsia" w:ascii="幼圆" w:hAnsi="幼圆" w:eastAsia="幼圆" w:cs="幼圆"/>
                <w:highlight w:val="none"/>
                <w:lang w:val="en-US" w:eastAsia="zh-CN"/>
              </w:rPr>
            </w:pPr>
            <w:r>
              <w:rPr>
                <w:rFonts w:hint="eastAsia" w:ascii="幼圆" w:hAnsi="幼圆" w:eastAsia="幼圆" w:cs="幼圆"/>
                <w:highlight w:val="none"/>
                <w:lang w:val="en-US" w:eastAsia="zh-CN"/>
              </w:rPr>
              <w:t>5</w:t>
            </w:r>
          </w:p>
        </w:tc>
        <w:tc>
          <w:tcPr>
            <w:tcW w:w="1665" w:type="dxa"/>
            <w:vAlign w:val="center"/>
          </w:tcPr>
          <w:p>
            <w:pPr>
              <w:widowControl/>
              <w:spacing w:line="240" w:lineRule="auto"/>
              <w:jc w:val="center"/>
              <w:rPr>
                <w:rFonts w:hint="eastAsia" w:ascii="幼圆" w:hAnsi="幼圆" w:eastAsia="幼圆" w:cs="幼圆"/>
                <w:highlight w:val="none"/>
              </w:rPr>
            </w:pPr>
            <w:r>
              <w:rPr>
                <w:rFonts w:hint="eastAsia" w:ascii="幼圆" w:hAnsi="幼圆" w:eastAsia="幼圆" w:cs="幼圆"/>
                <w:highlight w:val="none"/>
              </w:rPr>
              <w:t>拟投入设备</w:t>
            </w:r>
          </w:p>
        </w:tc>
        <w:tc>
          <w:tcPr>
            <w:tcW w:w="5749" w:type="dxa"/>
            <w:vAlign w:val="center"/>
          </w:tcPr>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设备齐全，完全满足项目需要的，得5分；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设备基本满足项目需要的，得3分</w:t>
            </w:r>
          </w:p>
          <w:p>
            <w:pPr>
              <w:widowControl/>
              <w:spacing w:line="240" w:lineRule="auto"/>
              <w:rPr>
                <w:rFonts w:hint="eastAsia" w:ascii="幼圆" w:hAnsi="幼圆" w:eastAsia="幼圆" w:cs="幼圆"/>
                <w:highlight w:val="none"/>
                <w:lang w:val="en-US" w:eastAsia="zh-CN"/>
              </w:rPr>
            </w:pPr>
            <w:r>
              <w:rPr>
                <w:rFonts w:hint="eastAsia" w:ascii="幼圆" w:hAnsi="幼圆" w:eastAsia="幼圆" w:cs="幼圆"/>
                <w:highlight w:val="none"/>
                <w:lang w:val="en-US" w:eastAsia="zh-CN"/>
              </w:rPr>
              <w:t>设备无法满足项目需要的，得1分；</w:t>
            </w:r>
          </w:p>
          <w:p>
            <w:pPr>
              <w:widowControl/>
              <w:spacing w:line="240" w:lineRule="auto"/>
              <w:rPr>
                <w:rFonts w:hint="eastAsia" w:ascii="幼圆" w:hAnsi="幼圆" w:eastAsia="幼圆" w:cs="幼圆"/>
                <w:highlight w:val="none"/>
                <w:lang w:eastAsia="zh-CN"/>
              </w:rPr>
            </w:pPr>
            <w:r>
              <w:rPr>
                <w:rFonts w:hint="eastAsia" w:ascii="幼圆" w:hAnsi="幼圆" w:eastAsia="幼圆" w:cs="幼圆"/>
                <w:highlight w:val="none"/>
                <w:lang w:val="en-US" w:eastAsia="zh-CN"/>
              </w:rPr>
              <w:t>不满足项目需要或未提供，不得分。</w:t>
            </w:r>
          </w:p>
        </w:tc>
      </w:tr>
      <w:bookmarkEnd w:id="1"/>
    </w:tbl>
    <w:p>
      <w:pPr>
        <w:keepNext w:val="0"/>
        <w:keepLines w:val="0"/>
        <w:pageBreakBefore w:val="0"/>
        <w:widowControl/>
        <w:wordWrap/>
        <w:topLinePunct w:val="0"/>
        <w:bidi w:val="0"/>
        <w:spacing w:line="240" w:lineRule="auto"/>
        <w:rPr>
          <w:rFonts w:hint="eastAsia" w:ascii="幼圆" w:hAnsi="幼圆" w:eastAsia="幼圆" w:cs="幼圆"/>
          <w:b/>
          <w:bCs/>
          <w:sz w:val="24"/>
          <w:szCs w:val="20"/>
        </w:rPr>
      </w:pPr>
    </w:p>
    <w:p>
      <w:pPr>
        <w:spacing w:line="240" w:lineRule="auto"/>
        <w:rPr>
          <w:rFonts w:hint="eastAsia" w:ascii="幼圆" w:hAnsi="幼圆" w:eastAsia="幼圆" w:cs="幼圆"/>
          <w:color w:val="FF0000"/>
          <w:kern w:val="2"/>
          <w:highlight w:val="none"/>
          <w:lang w:val="en-US" w:eastAsia="zh-CN" w:bidi="zh-CN"/>
        </w:rPr>
      </w:pPr>
      <w:r>
        <w:rPr>
          <w:rFonts w:hint="eastAsia" w:ascii="幼圆" w:hAnsi="幼圆" w:eastAsia="幼圆" w:cs="幼圆"/>
          <w:color w:val="FF0000"/>
          <w:kern w:val="2"/>
          <w:highlight w:val="none"/>
          <w:lang w:val="en-US" w:eastAsia="zh-CN" w:bidi="zh-CN"/>
        </w:rPr>
        <w:br w:type="page"/>
      </w:r>
    </w:p>
    <w:p>
      <w:pPr>
        <w:snapToGrid w:val="0"/>
        <w:spacing w:line="240" w:lineRule="auto"/>
        <w:textAlignment w:val="auto"/>
        <w:outlineLvl w:val="0"/>
        <w:rPr>
          <w:rFonts w:hint="eastAsia" w:ascii="幼圆" w:hAnsi="幼圆" w:eastAsia="幼圆" w:cs="幼圆"/>
          <w:b/>
          <w:szCs w:val="20"/>
          <w:highlight w:val="none"/>
        </w:rPr>
      </w:pPr>
      <w:bookmarkStart w:id="2" w:name="_Toc73536577"/>
      <w:bookmarkStart w:id="3" w:name="_Toc955"/>
      <w:bookmarkStart w:id="4" w:name="_Toc70433717"/>
      <w:r>
        <w:rPr>
          <w:rFonts w:hint="eastAsia" w:ascii="幼圆" w:hAnsi="幼圆" w:eastAsia="幼圆" w:cs="幼圆"/>
          <w:b/>
          <w:szCs w:val="20"/>
          <w:highlight w:val="none"/>
        </w:rPr>
        <w:t>附件：</w:t>
      </w:r>
      <w:bookmarkEnd w:id="2"/>
      <w:bookmarkEnd w:id="3"/>
      <w:bookmarkEnd w:id="4"/>
    </w:p>
    <w:p>
      <w:pPr>
        <w:widowControl/>
        <w:snapToGrid w:val="0"/>
        <w:spacing w:line="240" w:lineRule="auto"/>
        <w:textAlignment w:val="auto"/>
        <w:rPr>
          <w:rFonts w:hint="eastAsia" w:ascii="幼圆" w:hAnsi="幼圆" w:eastAsia="幼圆" w:cs="幼圆"/>
          <w:b/>
          <w:highlight w:val="none"/>
        </w:rPr>
      </w:pPr>
    </w:p>
    <w:p>
      <w:pPr>
        <w:snapToGrid w:val="0"/>
        <w:spacing w:line="240" w:lineRule="auto"/>
        <w:jc w:val="center"/>
        <w:rPr>
          <w:rFonts w:hint="eastAsia" w:ascii="幼圆" w:hAnsi="幼圆" w:eastAsia="幼圆" w:cs="幼圆"/>
          <w:caps/>
          <w:sz w:val="36"/>
          <w:szCs w:val="36"/>
          <w:highlight w:val="none"/>
        </w:rPr>
      </w:pPr>
      <w:r>
        <w:rPr>
          <w:rFonts w:hint="eastAsia" w:ascii="幼圆" w:hAnsi="幼圆" w:eastAsia="幼圆" w:cs="幼圆"/>
          <w:caps/>
          <w:sz w:val="36"/>
          <w:szCs w:val="36"/>
          <w:highlight w:val="none"/>
        </w:rPr>
        <w:t>技术规格偏离表</w:t>
      </w:r>
    </w:p>
    <w:p>
      <w:pPr>
        <w:snapToGrid w:val="0"/>
        <w:spacing w:before="120" w:beforeLines="50" w:line="240" w:lineRule="auto"/>
        <w:rPr>
          <w:rFonts w:hint="eastAsia" w:ascii="幼圆" w:hAnsi="幼圆" w:eastAsia="幼圆" w:cs="幼圆"/>
          <w:highlight w:val="none"/>
        </w:rPr>
      </w:pPr>
    </w:p>
    <w:p>
      <w:pPr>
        <w:snapToGrid w:val="0"/>
        <w:spacing w:before="120" w:beforeLines="50" w:line="240" w:lineRule="auto"/>
        <w:rPr>
          <w:rFonts w:hint="eastAsia" w:ascii="幼圆" w:hAnsi="幼圆" w:eastAsia="幼圆" w:cs="幼圆"/>
          <w:highlight w:val="none"/>
        </w:rPr>
      </w:pPr>
      <w:r>
        <w:rPr>
          <w:rFonts w:hint="eastAsia" w:ascii="幼圆" w:hAnsi="幼圆" w:eastAsia="幼圆" w:cs="幼圆"/>
          <w:highlight w:val="none"/>
        </w:rPr>
        <w:t>项目编号：                            包号：</w:t>
      </w:r>
    </w:p>
    <w:p>
      <w:pPr>
        <w:snapToGrid w:val="0"/>
        <w:spacing w:after="120" w:afterLines="50" w:line="240" w:lineRule="auto"/>
        <w:rPr>
          <w:rFonts w:hint="eastAsia" w:ascii="幼圆" w:hAnsi="幼圆" w:eastAsia="幼圆" w:cs="幼圆"/>
          <w:highlight w:val="none"/>
          <w:u w:val="single"/>
        </w:rPr>
      </w:pPr>
      <w:r>
        <w:rPr>
          <w:rFonts w:hint="eastAsia" w:ascii="幼圆" w:hAnsi="幼圆" w:eastAsia="幼圆" w:cs="幼圆"/>
          <w:highlight w:val="none"/>
        </w:rPr>
        <w:t>项目名称：</w:t>
      </w:r>
    </w:p>
    <w:tbl>
      <w:tblPr>
        <w:tblStyle w:val="35"/>
        <w:tblW w:w="850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2977"/>
        <w:gridCol w:w="2586"/>
        <w:gridCol w:w="166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招标文件条目号</w:t>
            </w:r>
          </w:p>
        </w:tc>
        <w:tc>
          <w:tcPr>
            <w:tcW w:w="2977"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招标文件采购需求的内容与数值</w:t>
            </w:r>
          </w:p>
        </w:tc>
        <w:tc>
          <w:tcPr>
            <w:tcW w:w="258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投标人的采购需求响应内容与数值</w:t>
            </w:r>
          </w:p>
        </w:tc>
        <w:tc>
          <w:tcPr>
            <w:tcW w:w="1666" w:type="dxa"/>
            <w:tcBorders>
              <w:top w:val="double" w:color="auto" w:sz="4" w:space="0"/>
            </w:tcBorders>
            <w:vAlign w:val="center"/>
          </w:tcPr>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偏差说明</w:t>
            </w:r>
          </w:p>
          <w:p>
            <w:pPr>
              <w:snapToGrid w:val="0"/>
              <w:spacing w:line="240" w:lineRule="auto"/>
              <w:jc w:val="center"/>
              <w:textAlignment w:val="auto"/>
              <w:rPr>
                <w:rFonts w:hint="eastAsia" w:ascii="幼圆" w:hAnsi="幼圆" w:eastAsia="幼圆" w:cs="幼圆"/>
                <w:highlight w:val="none"/>
              </w:rPr>
            </w:pPr>
            <w:r>
              <w:rPr>
                <w:rFonts w:hint="eastAsia" w:ascii="幼圆" w:hAnsi="幼圆" w:eastAsia="幼圆" w:cs="幼圆"/>
                <w:highlight w:val="none"/>
              </w:rPr>
              <w:t>（是否偏离/满足）</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5" w:hRule="atLeast"/>
        </w:trPr>
        <w:tc>
          <w:tcPr>
            <w:tcW w:w="1276" w:type="dxa"/>
          </w:tcPr>
          <w:p>
            <w:pPr>
              <w:snapToGrid w:val="0"/>
              <w:spacing w:line="240" w:lineRule="auto"/>
              <w:jc w:val="both"/>
              <w:textAlignment w:val="auto"/>
              <w:rPr>
                <w:rFonts w:hint="eastAsia" w:ascii="幼圆" w:hAnsi="幼圆" w:eastAsia="幼圆" w:cs="幼圆"/>
                <w:highlight w:val="none"/>
              </w:rPr>
            </w:pPr>
          </w:p>
        </w:tc>
        <w:tc>
          <w:tcPr>
            <w:tcW w:w="2977" w:type="dxa"/>
          </w:tcPr>
          <w:p>
            <w:pPr>
              <w:snapToGrid w:val="0"/>
              <w:spacing w:line="240" w:lineRule="auto"/>
              <w:jc w:val="both"/>
              <w:textAlignment w:val="auto"/>
              <w:rPr>
                <w:rFonts w:hint="eastAsia" w:ascii="幼圆" w:hAnsi="幼圆" w:eastAsia="幼圆" w:cs="幼圆"/>
                <w:highlight w:val="none"/>
              </w:rPr>
            </w:pPr>
          </w:p>
        </w:tc>
        <w:tc>
          <w:tcPr>
            <w:tcW w:w="2586" w:type="dxa"/>
          </w:tcPr>
          <w:p>
            <w:pPr>
              <w:snapToGrid w:val="0"/>
              <w:spacing w:line="240" w:lineRule="auto"/>
              <w:jc w:val="both"/>
              <w:textAlignment w:val="auto"/>
              <w:rPr>
                <w:rFonts w:hint="eastAsia" w:ascii="幼圆" w:hAnsi="幼圆" w:eastAsia="幼圆" w:cs="幼圆"/>
                <w:highlight w:val="none"/>
              </w:rPr>
            </w:pPr>
          </w:p>
        </w:tc>
        <w:tc>
          <w:tcPr>
            <w:tcW w:w="1666" w:type="dxa"/>
          </w:tcPr>
          <w:p>
            <w:pPr>
              <w:snapToGrid w:val="0"/>
              <w:spacing w:line="240" w:lineRule="auto"/>
              <w:jc w:val="both"/>
              <w:textAlignment w:val="auto"/>
              <w:rPr>
                <w:rFonts w:hint="eastAsia" w:ascii="幼圆" w:hAnsi="幼圆" w:eastAsia="幼圆" w:cs="幼圆"/>
                <w:highlight w:val="none"/>
              </w:rPr>
            </w:pPr>
          </w:p>
        </w:tc>
      </w:tr>
    </w:tbl>
    <w:p>
      <w:pPr>
        <w:snapToGrid w:val="0"/>
        <w:spacing w:line="240" w:lineRule="auto"/>
        <w:ind w:left="540" w:hanging="495" w:hangingChars="225"/>
        <w:rPr>
          <w:rFonts w:hint="eastAsia" w:ascii="幼圆" w:hAnsi="幼圆" w:eastAsia="幼圆" w:cs="幼圆"/>
          <w:highlight w:val="none"/>
        </w:rPr>
      </w:pPr>
    </w:p>
    <w:p>
      <w:pPr>
        <w:snapToGrid w:val="0"/>
        <w:spacing w:line="240" w:lineRule="auto"/>
        <w:ind w:firstLine="440" w:firstLineChars="200"/>
        <w:rPr>
          <w:rFonts w:hint="eastAsia" w:ascii="幼圆" w:hAnsi="幼圆" w:eastAsia="幼圆" w:cs="幼圆"/>
          <w:highlight w:val="none"/>
        </w:rPr>
      </w:pPr>
      <w:r>
        <w:rPr>
          <w:rFonts w:hint="eastAsia" w:ascii="幼圆" w:hAnsi="幼圆" w:eastAsia="幼圆" w:cs="幼圆"/>
          <w:highlight w:val="none"/>
        </w:rPr>
        <w:t>注：1.投标人应对招标文件第三章采购需求要求的内容给予逐条响应，以投标服务所能达到的内容予以填写，而不应复印采购需求作为响应内容，有具体需求的应填写具体要求。</w:t>
      </w:r>
    </w:p>
    <w:p>
      <w:pPr>
        <w:snapToGrid w:val="0"/>
        <w:spacing w:line="240" w:lineRule="auto"/>
        <w:ind w:firstLine="440" w:firstLineChars="200"/>
        <w:rPr>
          <w:rFonts w:hint="eastAsia" w:ascii="幼圆" w:hAnsi="幼圆" w:eastAsia="幼圆" w:cs="幼圆"/>
          <w:highlight w:val="none"/>
        </w:rPr>
      </w:pPr>
      <w:r>
        <w:rPr>
          <w:rFonts w:hint="eastAsia" w:ascii="幼圆" w:hAnsi="幼圆" w:eastAsia="幼圆" w:cs="幼圆"/>
          <w:highlight w:val="none"/>
        </w:rPr>
        <w:tab/>
      </w:r>
      <w:r>
        <w:rPr>
          <w:rFonts w:hint="eastAsia" w:ascii="幼圆" w:hAnsi="幼圆" w:eastAsia="幼圆" w:cs="幼圆"/>
          <w:highlight w:val="none"/>
        </w:rPr>
        <w:t>2. 偏差说明处：技术、服务内容满足招标文件相应要求填写：“满足招标文件要求”、或“无偏离”；技术、服务内容不满足招标文件相应要求填写：“不满足招标文件要求”或“负偏离”。</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投标人名称：（单位公章）</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法定代表人或授权代表：（签字）</w:t>
      </w:r>
    </w:p>
    <w:p>
      <w:pPr>
        <w:snapToGrid w:val="0"/>
        <w:spacing w:line="240" w:lineRule="auto"/>
        <w:ind w:firstLine="220" w:firstLineChars="100"/>
        <w:jc w:val="both"/>
        <w:textAlignment w:val="auto"/>
        <w:rPr>
          <w:rFonts w:hint="eastAsia" w:ascii="幼圆" w:hAnsi="幼圆" w:eastAsia="幼圆" w:cs="幼圆"/>
          <w:highlight w:val="none"/>
        </w:rPr>
      </w:pPr>
      <w:r>
        <w:rPr>
          <w:rFonts w:hint="eastAsia" w:ascii="幼圆" w:hAnsi="幼圆" w:eastAsia="幼圆" w:cs="幼圆"/>
          <w:highlight w:val="none"/>
        </w:rPr>
        <w:t>日期：</w:t>
      </w:r>
    </w:p>
    <w:p>
      <w:pPr>
        <w:spacing w:line="240" w:lineRule="auto"/>
        <w:rPr>
          <w:rFonts w:hint="eastAsia" w:ascii="幼圆" w:hAnsi="幼圆" w:eastAsia="幼圆" w:cs="幼圆"/>
          <w:lang w:val="en-US" w:eastAsia="zh-CN"/>
        </w:rPr>
      </w:pPr>
      <w:r>
        <w:rPr>
          <w:rFonts w:hint="eastAsia" w:ascii="幼圆" w:hAnsi="幼圆" w:eastAsia="幼圆" w:cs="幼圆"/>
          <w:lang w:val="en-US" w:eastAsia="zh-CN"/>
        </w:rPr>
        <w:br w:type="page"/>
      </w:r>
    </w:p>
    <w:p>
      <w:pPr>
        <w:snapToGrid w:val="0"/>
        <w:spacing w:line="240" w:lineRule="auto"/>
        <w:textAlignment w:val="auto"/>
        <w:outlineLvl w:val="0"/>
        <w:rPr>
          <w:rFonts w:hint="eastAsia" w:ascii="幼圆" w:hAnsi="幼圆" w:eastAsia="幼圆" w:cs="幼圆"/>
          <w:b/>
          <w:szCs w:val="20"/>
          <w:highlight w:val="none"/>
          <w:lang w:val="en-US" w:eastAsia="zh-CN"/>
        </w:rPr>
      </w:pPr>
      <w:r>
        <w:rPr>
          <w:rFonts w:hint="eastAsia" w:ascii="幼圆" w:hAnsi="幼圆" w:eastAsia="幼圆" w:cs="幼圆"/>
          <w:b/>
          <w:szCs w:val="20"/>
          <w:highlight w:val="none"/>
          <w:lang w:val="en-US" w:eastAsia="zh-CN"/>
        </w:rPr>
        <w:t>附件</w:t>
      </w:r>
    </w:p>
    <w:p>
      <w:pPr>
        <w:widowControl/>
        <w:tabs>
          <w:tab w:val="left" w:pos="1620"/>
          <w:tab w:val="left" w:pos="1680"/>
        </w:tabs>
        <w:snapToGrid w:val="0"/>
        <w:spacing w:line="240" w:lineRule="auto"/>
        <w:ind w:left="720"/>
        <w:jc w:val="center"/>
        <w:textAlignment w:val="auto"/>
        <w:rPr>
          <w:rFonts w:hint="eastAsia" w:ascii="幼圆" w:hAnsi="幼圆" w:eastAsia="幼圆" w:cs="幼圆"/>
          <w:caps/>
          <w:sz w:val="36"/>
          <w:szCs w:val="36"/>
          <w:highlight w:val="none"/>
        </w:rPr>
      </w:pPr>
      <w:r>
        <w:rPr>
          <w:rFonts w:hint="eastAsia" w:ascii="幼圆" w:hAnsi="幼圆" w:eastAsia="幼圆" w:cs="幼圆"/>
          <w:caps/>
          <w:sz w:val="36"/>
          <w:szCs w:val="36"/>
          <w:highlight w:val="none"/>
        </w:rPr>
        <w:t>中小企业声明函（服务）</w:t>
      </w: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240" w:lineRule="auto"/>
        <w:ind w:firstLine="442" w:firstLineChars="200"/>
        <w:jc w:val="center"/>
        <w:textAlignment w:val="auto"/>
        <w:rPr>
          <w:rFonts w:hint="eastAsia" w:ascii="幼圆" w:hAnsi="幼圆" w:eastAsia="幼圆" w:cs="幼圆"/>
          <w:b/>
          <w:bCs/>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本公司（联合体）郑重声明，根据《政府采购促进中小企业发展管理办法》（财库﹝2020﹞46 号）的规定，本公司 （联合体）参加</w:t>
      </w:r>
      <w:r>
        <w:rPr>
          <w:rFonts w:hint="eastAsia" w:ascii="幼圆" w:hAnsi="幼圆" w:eastAsia="幼圆" w:cs="幼圆"/>
          <w:highlight w:val="none"/>
          <w:u w:val="single"/>
        </w:rPr>
        <w:t>（单位名称）</w:t>
      </w:r>
      <w:r>
        <w:rPr>
          <w:rFonts w:hint="eastAsia" w:ascii="幼圆" w:hAnsi="幼圆" w:eastAsia="幼圆" w:cs="幼圆"/>
          <w:highlight w:val="none"/>
        </w:rPr>
        <w:t>的</w:t>
      </w:r>
      <w:r>
        <w:rPr>
          <w:rFonts w:hint="eastAsia" w:ascii="幼圆" w:hAnsi="幼圆" w:eastAsia="幼圆" w:cs="幼圆"/>
          <w:highlight w:val="none"/>
          <w:u w:val="single"/>
        </w:rPr>
        <w:t>（项目名称）</w:t>
      </w:r>
      <w:r>
        <w:rPr>
          <w:rFonts w:hint="eastAsia" w:ascii="幼圆" w:hAnsi="幼圆" w:eastAsia="幼圆" w:cs="幼圆"/>
          <w:highlight w:val="none"/>
        </w:rPr>
        <w:t xml:space="preserve">采购活动，服务全部由符合政策要求的中小企业承接。相关企业（含联合体中的中小企业、签订分包意向协议的中小企业）的具体情况如下：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1.</w:t>
      </w:r>
      <w:bookmarkStart w:id="5" w:name="_Hlk61596022"/>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bookmarkEnd w:id="5"/>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2.</w:t>
      </w:r>
      <w:r>
        <w:rPr>
          <w:rFonts w:hint="eastAsia" w:ascii="幼圆" w:hAnsi="幼圆" w:eastAsia="幼圆" w:cs="幼圆"/>
          <w:highlight w:val="none"/>
          <w:u w:val="single"/>
        </w:rPr>
        <w:t>（标的名称）</w:t>
      </w:r>
      <w:r>
        <w:rPr>
          <w:rFonts w:hint="eastAsia" w:ascii="幼圆" w:hAnsi="幼圆" w:eastAsia="幼圆" w:cs="幼圆"/>
          <w:highlight w:val="none"/>
        </w:rPr>
        <w:t>，属于</w:t>
      </w:r>
      <w:r>
        <w:rPr>
          <w:rFonts w:hint="eastAsia" w:ascii="幼圆" w:hAnsi="幼圆" w:eastAsia="幼圆" w:cs="幼圆"/>
          <w:highlight w:val="none"/>
          <w:u w:val="single"/>
        </w:rPr>
        <w:t>（采购文件中明确的所属行业）</w:t>
      </w:r>
      <w:r>
        <w:rPr>
          <w:rFonts w:hint="eastAsia" w:ascii="幼圆" w:hAnsi="幼圆" w:eastAsia="幼圆" w:cs="幼圆"/>
          <w:highlight w:val="none"/>
        </w:rPr>
        <w:t>；承接企业为</w:t>
      </w:r>
      <w:r>
        <w:rPr>
          <w:rFonts w:hint="eastAsia" w:ascii="幼圆" w:hAnsi="幼圆" w:eastAsia="幼圆" w:cs="幼圆"/>
          <w:highlight w:val="none"/>
          <w:u w:val="single"/>
        </w:rPr>
        <w:t>（企业名称）</w:t>
      </w:r>
      <w:r>
        <w:rPr>
          <w:rFonts w:hint="eastAsia" w:ascii="幼圆" w:hAnsi="幼圆" w:eastAsia="幼圆" w:cs="幼圆"/>
          <w:highlight w:val="none"/>
        </w:rPr>
        <w:t>，从业人员</w:t>
      </w:r>
      <w:r>
        <w:rPr>
          <w:rFonts w:hint="eastAsia" w:ascii="幼圆" w:hAnsi="幼圆" w:eastAsia="幼圆" w:cs="幼圆"/>
          <w:highlight w:val="none"/>
          <w:u w:val="single"/>
        </w:rPr>
        <w:t xml:space="preserve">   </w:t>
      </w:r>
      <w:r>
        <w:rPr>
          <w:rFonts w:hint="eastAsia" w:ascii="幼圆" w:hAnsi="幼圆" w:eastAsia="幼圆" w:cs="幼圆"/>
          <w:highlight w:val="none"/>
        </w:rPr>
        <w:t>人，营业收入为</w:t>
      </w:r>
      <w:r>
        <w:rPr>
          <w:rFonts w:hint="eastAsia" w:ascii="幼圆" w:hAnsi="幼圆" w:eastAsia="幼圆" w:cs="幼圆"/>
          <w:highlight w:val="none"/>
          <w:u w:val="single"/>
        </w:rPr>
        <w:t xml:space="preserve">  </w:t>
      </w:r>
      <w:r>
        <w:rPr>
          <w:rFonts w:hint="eastAsia" w:ascii="幼圆" w:hAnsi="幼圆" w:eastAsia="幼圆" w:cs="幼圆"/>
          <w:highlight w:val="none"/>
        </w:rPr>
        <w:t>万元，资产总额为</w:t>
      </w:r>
      <w:r>
        <w:rPr>
          <w:rFonts w:hint="eastAsia" w:ascii="幼圆" w:hAnsi="幼圆" w:eastAsia="幼圆" w:cs="幼圆"/>
          <w:highlight w:val="none"/>
          <w:u w:val="single"/>
        </w:rPr>
        <w:t xml:space="preserve">  </w:t>
      </w:r>
      <w:r>
        <w:rPr>
          <w:rFonts w:hint="eastAsia" w:ascii="幼圆" w:hAnsi="幼圆" w:eastAsia="幼圆" w:cs="幼圆"/>
          <w:highlight w:val="none"/>
        </w:rPr>
        <w:t>万元，属于</w:t>
      </w:r>
      <w:r>
        <w:rPr>
          <w:rFonts w:hint="eastAsia" w:ascii="幼圆" w:hAnsi="幼圆" w:eastAsia="幼圆" w:cs="幼圆"/>
          <w:highlight w:val="none"/>
          <w:u w:val="single"/>
        </w:rPr>
        <w:t>（中型企业、小型企业、微型企业）</w:t>
      </w:r>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以上企业，不属于大企业的分支机构，不存在控股股东为大企业的情形，也不存在与大企业的负责人为同一人的情形。本企业对上述声明内容的真实性负责。如有虚假，将依法承担相应责任。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企业名称（盖章）：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r>
        <w:rPr>
          <w:rFonts w:hint="eastAsia" w:ascii="幼圆" w:hAnsi="幼圆" w:eastAsia="幼圆" w:cs="幼圆"/>
          <w:highlight w:val="none"/>
        </w:rPr>
        <w:t xml:space="preserve">日 期： </w:t>
      </w:r>
    </w:p>
    <w:p>
      <w:pPr>
        <w:widowControl/>
        <w:shd w:val="clear" w:color="auto" w:fill="FFFFFF"/>
        <w:adjustRightInd/>
        <w:spacing w:line="240" w:lineRule="auto"/>
        <w:ind w:firstLine="440" w:firstLineChars="200"/>
        <w:textAlignment w:val="auto"/>
        <w:rPr>
          <w:rFonts w:hint="eastAsia" w:ascii="幼圆" w:hAnsi="幼圆" w:eastAsia="幼圆" w:cs="幼圆"/>
          <w:highlight w:val="none"/>
        </w:rPr>
      </w:pPr>
    </w:p>
    <w:p>
      <w:pPr>
        <w:widowControl/>
        <w:adjustRightInd/>
        <w:spacing w:before="100" w:beforeAutospacing="1" w:after="100" w:afterAutospacing="1" w:line="240" w:lineRule="auto"/>
        <w:ind w:left="360"/>
        <w:contextualSpacing/>
        <w:textAlignment w:val="auto"/>
        <w:rPr>
          <w:rFonts w:hint="eastAsia" w:ascii="幼圆" w:hAnsi="幼圆" w:eastAsia="幼圆" w:cs="幼圆"/>
          <w:highlight w:val="none"/>
        </w:rPr>
      </w:pPr>
      <w:r>
        <w:rPr>
          <w:rFonts w:hint="eastAsia" w:ascii="幼圆" w:hAnsi="幼圆" w:eastAsia="幼圆" w:cs="幼圆"/>
          <w:highlight w:val="none"/>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166370</wp:posOffset>
                </wp:positionV>
                <wp:extent cx="2232660" cy="0"/>
                <wp:effectExtent l="0" t="0" r="0" b="0"/>
                <wp:wrapNone/>
                <wp:docPr id="2"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2232660" cy="0"/>
                        </a:xfrm>
                        <a:prstGeom prst="line">
                          <a:avLst/>
                        </a:prstGeom>
                        <a:noFill/>
                        <a:ln w="6350">
                          <a:solidFill>
                            <a:srgbClr val="4F81BD"/>
                          </a:solidFill>
                          <a:miter lim="800000"/>
                        </a:ln>
                        <a:effectLst/>
                      </wps:spPr>
                      <wps:bodyPr/>
                    </wps:wsp>
                  </a:graphicData>
                </a:graphic>
              </wp:anchor>
            </w:drawing>
          </mc:Choice>
          <mc:Fallback>
            <w:pict>
              <v:line id="直接连接符 1" o:spid="_x0000_s1026" o:spt="20" style="position:absolute;left:0pt;margin-left:18pt;margin-top:13.1pt;height:0pt;width:175.8pt;z-index:251659264;mso-width-relative:page;mso-height-relative:page;" filled="f" stroked="t" coordsize="21600,21600" o:gfxdata="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HVzKtkAAAAIAQAADwAAAAAAAAABACAAAAAiAAAAZHJzL2Rvd25yZXYueG1sUEsB&#10;AhQAFAAAAAgAh07iQBQxWnH0AQAAxQMAAA4AAAAAAAAAAQAgAAAAKAEAAGRycy9lMm9Eb2MueG1s&#10;UEsFBgAAAAAGAAYAWQEAAI4FAAAAAA==&#10;">
                <v:fill on="f" focussize="0,0"/>
                <v:stroke weight="0.5pt" color="#4F81BD" miterlimit="8" joinstyle="miter"/>
                <v:imagedata o:title=""/>
                <o:lock v:ext="edit" aspectratio="f"/>
              </v:line>
            </w:pict>
          </mc:Fallback>
        </mc:AlternateContent>
      </w:r>
    </w:p>
    <w:p>
      <w:pPr>
        <w:widowControl/>
        <w:shd w:val="clear" w:color="auto" w:fill="FFFFFF"/>
        <w:adjustRightInd/>
        <w:spacing w:line="240" w:lineRule="auto"/>
        <w:ind w:firstLine="440" w:firstLineChars="200"/>
        <w:textAlignment w:val="auto"/>
        <w:rPr>
          <w:rFonts w:hint="eastAsia" w:ascii="幼圆" w:hAnsi="幼圆" w:eastAsia="幼圆" w:cs="幼圆"/>
          <w:lang w:val="en-US" w:eastAsia="zh-CN"/>
        </w:rPr>
      </w:pPr>
      <w:r>
        <w:rPr>
          <w:rFonts w:hint="eastAsia" w:ascii="幼圆" w:hAnsi="幼圆" w:eastAsia="幼圆" w:cs="幼圆"/>
          <w:highlight w:val="none"/>
        </w:rPr>
        <w:t>注：从业人员、营业收入、资产总额填报上一年度数据，无上一年度数据的新成立企业可不填报。</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D42B5328"/>
    <w:multiLevelType w:val="singleLevel"/>
    <w:tmpl w:val="D42B5328"/>
    <w:lvl w:ilvl="0" w:tentative="0">
      <w:start w:val="1"/>
      <w:numFmt w:val="decimal"/>
      <w:suff w:val="nothing"/>
      <w:lvlText w:val="（%1）"/>
      <w:lvlJc w:val="left"/>
    </w:lvl>
  </w:abstractNum>
  <w:abstractNum w:abstractNumId="2">
    <w:nsid w:val="FFFFFF7E"/>
    <w:multiLevelType w:val="singleLevel"/>
    <w:tmpl w:val="FFFFFF7E"/>
    <w:lvl w:ilvl="0" w:tentative="0">
      <w:start w:val="1"/>
      <w:numFmt w:val="decimal"/>
      <w:pStyle w:val="24"/>
      <w:lvlText w:val="%1."/>
      <w:lvlJc w:val="left"/>
      <w:pPr>
        <w:tabs>
          <w:tab w:val="left" w:pos="1080"/>
        </w:tabs>
        <w:ind w:left="1080" w:hanging="360"/>
      </w:pPr>
    </w:lvl>
  </w:abstractNum>
  <w:abstractNum w:abstractNumId="3">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4">
    <w:nsid w:val="FFFFFF82"/>
    <w:multiLevelType w:val="singleLevel"/>
    <w:tmpl w:val="FFFFFF82"/>
    <w:lvl w:ilvl="0" w:tentative="0">
      <w:start w:val="1"/>
      <w:numFmt w:val="bullet"/>
      <w:pStyle w:val="21"/>
      <w:lvlText w:val=""/>
      <w:lvlJc w:val="left"/>
      <w:pPr>
        <w:tabs>
          <w:tab w:val="left" w:pos="1080"/>
        </w:tabs>
        <w:ind w:left="1080" w:hanging="360"/>
      </w:pPr>
      <w:rPr>
        <w:rFonts w:hint="default" w:ascii="Symbol" w:hAnsi="Symbol"/>
      </w:rPr>
    </w:lvl>
  </w:abstractNum>
  <w:abstractNum w:abstractNumId="5">
    <w:nsid w:val="FFFFFF83"/>
    <w:multiLevelType w:val="singleLevel"/>
    <w:tmpl w:val="FFFFFF83"/>
    <w:lvl w:ilvl="0" w:tentative="0">
      <w:start w:val="1"/>
      <w:numFmt w:val="bullet"/>
      <w:pStyle w:val="27"/>
      <w:lvlText w:val=""/>
      <w:lvlJc w:val="left"/>
      <w:pPr>
        <w:tabs>
          <w:tab w:val="left" w:pos="720"/>
        </w:tabs>
        <w:ind w:left="720" w:hanging="360"/>
      </w:pPr>
      <w:rPr>
        <w:rFonts w:hint="default" w:ascii="Symbol" w:hAnsi="Symbol"/>
      </w:rPr>
    </w:lvl>
  </w:abstractNum>
  <w:abstractNum w:abstractNumId="6">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7">
    <w:nsid w:val="FFFFFF89"/>
    <w:multiLevelType w:val="singleLevel"/>
    <w:tmpl w:val="FFFFFF89"/>
    <w:lvl w:ilvl="0" w:tentative="0">
      <w:start w:val="1"/>
      <w:numFmt w:val="bullet"/>
      <w:pStyle w:val="18"/>
      <w:lvlText w:val=""/>
      <w:lvlJc w:val="left"/>
      <w:pPr>
        <w:tabs>
          <w:tab w:val="left" w:pos="360"/>
        </w:tabs>
        <w:ind w:left="360" w:hanging="360"/>
      </w:pPr>
      <w:rPr>
        <w:rFonts w:hint="default" w:ascii="Symbol" w:hAnsi="Symbol"/>
      </w:rPr>
    </w:lvl>
  </w:abstractNum>
  <w:abstractNum w:abstractNumId="8">
    <w:nsid w:val="1FF2635C"/>
    <w:multiLevelType w:val="singleLevel"/>
    <w:tmpl w:val="1FF2635C"/>
    <w:lvl w:ilvl="0" w:tentative="0">
      <w:start w:val="1"/>
      <w:numFmt w:val="decimal"/>
      <w:suff w:val="nothing"/>
      <w:lvlText w:val="%1、"/>
      <w:lvlJc w:val="left"/>
    </w:lvl>
  </w:abstractNum>
  <w:abstractNum w:abstractNumId="9">
    <w:nsid w:val="433F00E0"/>
    <w:multiLevelType w:val="multilevel"/>
    <w:tmpl w:val="433F00E0"/>
    <w:lvl w:ilvl="0" w:tentative="0">
      <w:start w:val="1"/>
      <w:numFmt w:val="decimal"/>
      <w:pStyle w:val="172"/>
      <w:suff w:val="nothing"/>
      <w:lvlText w:val="（%1）"/>
      <w:lvlJc w:val="left"/>
      <w:pPr>
        <w:ind w:left="1413"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6"/>
  </w:num>
  <w:num w:numId="3">
    <w:abstractNumId w:val="7"/>
  </w:num>
  <w:num w:numId="4">
    <w:abstractNumId w:val="4"/>
  </w:num>
  <w:num w:numId="5">
    <w:abstractNumId w:val="2"/>
  </w:num>
  <w:num w:numId="6">
    <w:abstractNumId w:val="5"/>
  </w:num>
  <w:num w:numId="7">
    <w:abstractNumId w:val="9"/>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39276B"/>
    <w:rsid w:val="005F224A"/>
    <w:rsid w:val="008369C7"/>
    <w:rsid w:val="00AA1D8D"/>
    <w:rsid w:val="00B47730"/>
    <w:rsid w:val="00CB0664"/>
    <w:rsid w:val="00FC693F"/>
    <w:rsid w:val="015A556D"/>
    <w:rsid w:val="039B035C"/>
    <w:rsid w:val="03DC6164"/>
    <w:rsid w:val="04BF5B95"/>
    <w:rsid w:val="05B922DB"/>
    <w:rsid w:val="06247180"/>
    <w:rsid w:val="08CA0C86"/>
    <w:rsid w:val="0A4A3DA1"/>
    <w:rsid w:val="0ADE0A96"/>
    <w:rsid w:val="0B9760F9"/>
    <w:rsid w:val="0D32706A"/>
    <w:rsid w:val="0F553938"/>
    <w:rsid w:val="113329E6"/>
    <w:rsid w:val="117F262B"/>
    <w:rsid w:val="12A90D4E"/>
    <w:rsid w:val="12C56763"/>
    <w:rsid w:val="12EA542F"/>
    <w:rsid w:val="15901876"/>
    <w:rsid w:val="1990077F"/>
    <w:rsid w:val="1BE71C78"/>
    <w:rsid w:val="1F3C1C4F"/>
    <w:rsid w:val="1F471AE2"/>
    <w:rsid w:val="1F5F6D41"/>
    <w:rsid w:val="202408C8"/>
    <w:rsid w:val="205F522A"/>
    <w:rsid w:val="210C0BC6"/>
    <w:rsid w:val="229B3C09"/>
    <w:rsid w:val="22E24F49"/>
    <w:rsid w:val="24392B0D"/>
    <w:rsid w:val="24A75DD1"/>
    <w:rsid w:val="24AB1841"/>
    <w:rsid w:val="24F414B1"/>
    <w:rsid w:val="25AF67D6"/>
    <w:rsid w:val="25D77D3F"/>
    <w:rsid w:val="26B26BA7"/>
    <w:rsid w:val="27372964"/>
    <w:rsid w:val="27BD3A55"/>
    <w:rsid w:val="2994584A"/>
    <w:rsid w:val="2BE26EA2"/>
    <w:rsid w:val="2C5F3B91"/>
    <w:rsid w:val="2D056703"/>
    <w:rsid w:val="2DA44891"/>
    <w:rsid w:val="2F1D0548"/>
    <w:rsid w:val="2F6E5F01"/>
    <w:rsid w:val="2FF57743"/>
    <w:rsid w:val="30286D46"/>
    <w:rsid w:val="31321010"/>
    <w:rsid w:val="313F5CD8"/>
    <w:rsid w:val="3225199F"/>
    <w:rsid w:val="335911B0"/>
    <w:rsid w:val="347B53E1"/>
    <w:rsid w:val="34813790"/>
    <w:rsid w:val="34B64844"/>
    <w:rsid w:val="3543266F"/>
    <w:rsid w:val="35A3178F"/>
    <w:rsid w:val="35BA5B31"/>
    <w:rsid w:val="35C02C5D"/>
    <w:rsid w:val="36710DAA"/>
    <w:rsid w:val="374D3D49"/>
    <w:rsid w:val="377C3B60"/>
    <w:rsid w:val="381A7AE8"/>
    <w:rsid w:val="386E2923"/>
    <w:rsid w:val="39577622"/>
    <w:rsid w:val="397720D5"/>
    <w:rsid w:val="399036C4"/>
    <w:rsid w:val="3AA1560E"/>
    <w:rsid w:val="3D3FEA48"/>
    <w:rsid w:val="3DAB702F"/>
    <w:rsid w:val="3DBFD295"/>
    <w:rsid w:val="3DF35805"/>
    <w:rsid w:val="3E543B04"/>
    <w:rsid w:val="3E9B6EC4"/>
    <w:rsid w:val="3EBA3A53"/>
    <w:rsid w:val="40E40ADC"/>
    <w:rsid w:val="411538B7"/>
    <w:rsid w:val="41536D26"/>
    <w:rsid w:val="41BE02EE"/>
    <w:rsid w:val="41F027BE"/>
    <w:rsid w:val="43F67691"/>
    <w:rsid w:val="44DB5B25"/>
    <w:rsid w:val="455507B5"/>
    <w:rsid w:val="45A307A5"/>
    <w:rsid w:val="45A40BA1"/>
    <w:rsid w:val="45A73923"/>
    <w:rsid w:val="469F2EE7"/>
    <w:rsid w:val="47091014"/>
    <w:rsid w:val="4709160B"/>
    <w:rsid w:val="472B3D0B"/>
    <w:rsid w:val="476165B4"/>
    <w:rsid w:val="480333C8"/>
    <w:rsid w:val="48153C8D"/>
    <w:rsid w:val="48482E26"/>
    <w:rsid w:val="4875046F"/>
    <w:rsid w:val="48D90193"/>
    <w:rsid w:val="491E21A3"/>
    <w:rsid w:val="49B06B72"/>
    <w:rsid w:val="49F927E9"/>
    <w:rsid w:val="4AEF402B"/>
    <w:rsid w:val="4C0D4686"/>
    <w:rsid w:val="4D5C393A"/>
    <w:rsid w:val="4E737776"/>
    <w:rsid w:val="4F884709"/>
    <w:rsid w:val="4FC375E6"/>
    <w:rsid w:val="502A0955"/>
    <w:rsid w:val="5257047F"/>
    <w:rsid w:val="529C7846"/>
    <w:rsid w:val="537D6985"/>
    <w:rsid w:val="53ED7FA3"/>
    <w:rsid w:val="548B5756"/>
    <w:rsid w:val="562D069E"/>
    <w:rsid w:val="5656504D"/>
    <w:rsid w:val="56A9ACE5"/>
    <w:rsid w:val="574D52F6"/>
    <w:rsid w:val="57F124B8"/>
    <w:rsid w:val="586B0DA0"/>
    <w:rsid w:val="5E4C798F"/>
    <w:rsid w:val="5E75216F"/>
    <w:rsid w:val="5F165949"/>
    <w:rsid w:val="5F1C45FF"/>
    <w:rsid w:val="5FEFBD42"/>
    <w:rsid w:val="62BB227D"/>
    <w:rsid w:val="63A6046B"/>
    <w:rsid w:val="64690EAB"/>
    <w:rsid w:val="6653074D"/>
    <w:rsid w:val="678C0E2E"/>
    <w:rsid w:val="68860CA5"/>
    <w:rsid w:val="69281BE2"/>
    <w:rsid w:val="6A5C38C9"/>
    <w:rsid w:val="6BBC5FCE"/>
    <w:rsid w:val="6BD25936"/>
    <w:rsid w:val="6FBD2579"/>
    <w:rsid w:val="6FED3F9B"/>
    <w:rsid w:val="701139EA"/>
    <w:rsid w:val="703B2526"/>
    <w:rsid w:val="70712FCD"/>
    <w:rsid w:val="720472B3"/>
    <w:rsid w:val="72E4478C"/>
    <w:rsid w:val="755F72B5"/>
    <w:rsid w:val="75C51121"/>
    <w:rsid w:val="75DF8964"/>
    <w:rsid w:val="75F106A5"/>
    <w:rsid w:val="761942CF"/>
    <w:rsid w:val="773A2CDF"/>
    <w:rsid w:val="787B4E47"/>
    <w:rsid w:val="78EF290F"/>
    <w:rsid w:val="79EFCB93"/>
    <w:rsid w:val="7B1D2D88"/>
    <w:rsid w:val="7B4D01D8"/>
    <w:rsid w:val="7BBE4424"/>
    <w:rsid w:val="7CE1176F"/>
    <w:rsid w:val="7DFB6C40"/>
    <w:rsid w:val="7E8A62A7"/>
    <w:rsid w:val="7EDEDA8C"/>
    <w:rsid w:val="7EE782B8"/>
    <w:rsid w:val="7F1BE675"/>
    <w:rsid w:val="7F7794D2"/>
    <w:rsid w:val="7F791B22"/>
    <w:rsid w:val="7F830290"/>
    <w:rsid w:val="7FB72751"/>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after="200" w:line="276" w:lineRule="auto"/>
    </w:pPr>
    <w:rPr>
      <w:rFonts w:ascii="Times New Roman" w:hAnsi="Times New Roman" w:eastAsia="宋体" w:cstheme="minorBidi"/>
      <w:sz w:val="22"/>
      <w:szCs w:val="22"/>
      <w:lang w:val="en-US" w:eastAsia="en-US" w:bidi="ar-SA"/>
    </w:rPr>
  </w:style>
  <w:style w:type="paragraph" w:styleId="5">
    <w:name w:val="heading 1"/>
    <w:basedOn w:val="1"/>
    <w:next w:val="1"/>
    <w:link w:val="141"/>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6">
    <w:name w:val="heading 2"/>
    <w:basedOn w:val="1"/>
    <w:next w:val="1"/>
    <w:link w:val="142"/>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7">
    <w:name w:val="heading 3"/>
    <w:basedOn w:val="1"/>
    <w:next w:val="1"/>
    <w:link w:val="143"/>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8">
    <w:name w:val="heading 4"/>
    <w:basedOn w:val="1"/>
    <w:next w:val="1"/>
    <w:link w:val="153"/>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9">
    <w:name w:val="heading 5"/>
    <w:basedOn w:val="1"/>
    <w:next w:val="1"/>
    <w:link w:val="154"/>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10">
    <w:name w:val="heading 6"/>
    <w:basedOn w:val="1"/>
    <w:next w:val="1"/>
    <w:link w:val="155"/>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1">
    <w:name w:val="heading 7"/>
    <w:basedOn w:val="1"/>
    <w:next w:val="1"/>
    <w:link w:val="156"/>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157"/>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3">
    <w:name w:val="heading 9"/>
    <w:basedOn w:val="1"/>
    <w:next w:val="1"/>
    <w:link w:val="158"/>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5">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line="360" w:lineRule="auto"/>
      <w:ind w:firstLine="200" w:firstLineChars="200"/>
    </w:pPr>
  </w:style>
  <w:style w:type="paragraph" w:styleId="3">
    <w:name w:val="Body Text Indent"/>
    <w:basedOn w:val="1"/>
    <w:unhideWhenUsed/>
    <w:qFormat/>
    <w:uiPriority w:val="99"/>
    <w:pPr>
      <w:spacing w:after="120"/>
      <w:ind w:left="420" w:leftChars="200"/>
    </w:pPr>
  </w:style>
  <w:style w:type="paragraph" w:styleId="4">
    <w:name w:val="macro"/>
    <w:link w:val="150"/>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3"/>
    <w:basedOn w:val="1"/>
    <w:unhideWhenUsed/>
    <w:qFormat/>
    <w:uiPriority w:val="99"/>
    <w:pPr>
      <w:ind w:left="1080" w:hanging="360"/>
      <w:contextualSpacing/>
    </w:pPr>
  </w:style>
  <w:style w:type="paragraph" w:styleId="15">
    <w:name w:val="List Number 2"/>
    <w:basedOn w:val="1"/>
    <w:unhideWhenUsed/>
    <w:qFormat/>
    <w:uiPriority w:val="99"/>
    <w:pPr>
      <w:numPr>
        <w:ilvl w:val="0"/>
        <w:numId w:val="1"/>
      </w:numPr>
      <w:contextualSpacing/>
    </w:pPr>
  </w:style>
  <w:style w:type="paragraph" w:styleId="16">
    <w:name w:val="List Number"/>
    <w:basedOn w:val="1"/>
    <w:unhideWhenUsed/>
    <w:qFormat/>
    <w:uiPriority w:val="99"/>
    <w:pPr>
      <w:numPr>
        <w:ilvl w:val="0"/>
        <w:numId w:val="2"/>
      </w:numPr>
      <w:contextualSpacing/>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Bullet"/>
    <w:basedOn w:val="1"/>
    <w:unhideWhenUsed/>
    <w:qFormat/>
    <w:uiPriority w:val="99"/>
    <w:pPr>
      <w:numPr>
        <w:ilvl w:val="0"/>
        <w:numId w:val="3"/>
      </w:numPr>
      <w:contextualSpacing/>
    </w:pPr>
  </w:style>
  <w:style w:type="paragraph" w:styleId="19">
    <w:name w:val="annotation text"/>
    <w:basedOn w:val="1"/>
    <w:semiHidden/>
    <w:unhideWhenUsed/>
    <w:qFormat/>
    <w:uiPriority w:val="99"/>
    <w:pPr>
      <w:jc w:val="left"/>
    </w:pPr>
  </w:style>
  <w:style w:type="paragraph" w:styleId="20">
    <w:name w:val="Body Text 3"/>
    <w:basedOn w:val="1"/>
    <w:link w:val="149"/>
    <w:unhideWhenUsed/>
    <w:qFormat/>
    <w:uiPriority w:val="99"/>
    <w:pPr>
      <w:spacing w:after="120"/>
    </w:pPr>
    <w:rPr>
      <w:sz w:val="16"/>
      <w:szCs w:val="16"/>
    </w:rPr>
  </w:style>
  <w:style w:type="paragraph" w:styleId="21">
    <w:name w:val="List Bullet 3"/>
    <w:basedOn w:val="1"/>
    <w:unhideWhenUsed/>
    <w:qFormat/>
    <w:uiPriority w:val="99"/>
    <w:pPr>
      <w:numPr>
        <w:ilvl w:val="0"/>
        <w:numId w:val="4"/>
      </w:numPr>
      <w:contextualSpacing/>
    </w:pPr>
  </w:style>
  <w:style w:type="paragraph" w:styleId="22">
    <w:name w:val="Body Text"/>
    <w:basedOn w:val="1"/>
    <w:next w:val="23"/>
    <w:link w:val="147"/>
    <w:unhideWhenUsed/>
    <w:qFormat/>
    <w:uiPriority w:val="99"/>
    <w:pPr>
      <w:spacing w:after="120"/>
    </w:pPr>
  </w:style>
  <w:style w:type="paragraph" w:styleId="23">
    <w:name w:val="Body Text 2"/>
    <w:basedOn w:val="1"/>
    <w:link w:val="148"/>
    <w:unhideWhenUsed/>
    <w:qFormat/>
    <w:uiPriority w:val="99"/>
    <w:pPr>
      <w:spacing w:after="120" w:line="480" w:lineRule="auto"/>
    </w:pPr>
  </w:style>
  <w:style w:type="paragraph" w:styleId="24">
    <w:name w:val="List Number 3"/>
    <w:basedOn w:val="1"/>
    <w:unhideWhenUsed/>
    <w:qFormat/>
    <w:uiPriority w:val="99"/>
    <w:pPr>
      <w:numPr>
        <w:ilvl w:val="0"/>
        <w:numId w:val="5"/>
      </w:numPr>
      <w:contextualSpacing/>
    </w:pPr>
  </w:style>
  <w:style w:type="paragraph" w:styleId="25">
    <w:name w:val="List 2"/>
    <w:basedOn w:val="1"/>
    <w:unhideWhenUsed/>
    <w:qFormat/>
    <w:uiPriority w:val="99"/>
    <w:pPr>
      <w:ind w:left="720" w:hanging="360"/>
      <w:contextualSpacing/>
    </w:pPr>
  </w:style>
  <w:style w:type="paragraph" w:styleId="26">
    <w:name w:val="List Continue"/>
    <w:basedOn w:val="1"/>
    <w:unhideWhenUsed/>
    <w:qFormat/>
    <w:uiPriority w:val="99"/>
    <w:pPr>
      <w:spacing w:after="120"/>
      <w:ind w:left="360"/>
      <w:contextualSpacing/>
    </w:pPr>
  </w:style>
  <w:style w:type="paragraph" w:styleId="27">
    <w:name w:val="List Bullet 2"/>
    <w:basedOn w:val="1"/>
    <w:unhideWhenUsed/>
    <w:qFormat/>
    <w:uiPriority w:val="99"/>
    <w:pPr>
      <w:numPr>
        <w:ilvl w:val="0"/>
        <w:numId w:val="6"/>
      </w:numPr>
      <w:contextualSpacing/>
    </w:pPr>
  </w:style>
  <w:style w:type="paragraph" w:styleId="28">
    <w:name w:val="footer"/>
    <w:basedOn w:val="1"/>
    <w:link w:val="139"/>
    <w:unhideWhenUsed/>
    <w:qFormat/>
    <w:uiPriority w:val="99"/>
    <w:pPr>
      <w:tabs>
        <w:tab w:val="center" w:pos="4680"/>
        <w:tab w:val="right" w:pos="9360"/>
      </w:tabs>
      <w:spacing w:after="0" w:line="240" w:lineRule="auto"/>
    </w:pPr>
  </w:style>
  <w:style w:type="paragraph" w:styleId="29">
    <w:name w:val="header"/>
    <w:basedOn w:val="1"/>
    <w:link w:val="138"/>
    <w:unhideWhenUsed/>
    <w:qFormat/>
    <w:uiPriority w:val="99"/>
    <w:pPr>
      <w:tabs>
        <w:tab w:val="center" w:pos="4680"/>
        <w:tab w:val="right" w:pos="9360"/>
      </w:tabs>
      <w:spacing w:after="0" w:line="240" w:lineRule="auto"/>
    </w:pPr>
  </w:style>
  <w:style w:type="paragraph" w:styleId="30">
    <w:name w:val="Subtitle"/>
    <w:basedOn w:val="1"/>
    <w:next w:val="1"/>
    <w:link w:val="145"/>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1">
    <w:name w:val="List"/>
    <w:basedOn w:val="1"/>
    <w:unhideWhenUsed/>
    <w:qFormat/>
    <w:uiPriority w:val="99"/>
    <w:pPr>
      <w:ind w:left="360" w:hanging="360"/>
      <w:contextualSpacing/>
    </w:pPr>
  </w:style>
  <w:style w:type="paragraph" w:styleId="32">
    <w:name w:val="List Continue 2"/>
    <w:basedOn w:val="1"/>
    <w:unhideWhenUsed/>
    <w:qFormat/>
    <w:uiPriority w:val="99"/>
    <w:pPr>
      <w:spacing w:after="120"/>
      <w:ind w:left="720"/>
      <w:contextualSpacing/>
    </w:pPr>
  </w:style>
  <w:style w:type="paragraph" w:styleId="33">
    <w:name w:val="List Continue 3"/>
    <w:basedOn w:val="1"/>
    <w:unhideWhenUsed/>
    <w:qFormat/>
    <w:uiPriority w:val="99"/>
    <w:pPr>
      <w:spacing w:after="120"/>
      <w:ind w:left="1080"/>
      <w:contextualSpacing/>
    </w:pPr>
  </w:style>
  <w:style w:type="paragraph" w:styleId="34">
    <w:name w:val="Title"/>
    <w:basedOn w:val="1"/>
    <w:next w:val="1"/>
    <w:link w:val="144"/>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3">
    <w:name w:val="Medium List 1 Accent 1"/>
    <w:basedOn w:val="35"/>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5">
    <w:name w:val="Medium List 1 Accent 3"/>
    <w:basedOn w:val="35"/>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7">
    <w:name w:val="Medium List 1 Accent 5"/>
    <w:basedOn w:val="35"/>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6">
    <w:name w:val="Strong"/>
    <w:basedOn w:val="135"/>
    <w:qFormat/>
    <w:uiPriority w:val="22"/>
    <w:rPr>
      <w:b/>
      <w:bCs/>
    </w:rPr>
  </w:style>
  <w:style w:type="character" w:styleId="137">
    <w:name w:val="Emphasis"/>
    <w:basedOn w:val="135"/>
    <w:qFormat/>
    <w:uiPriority w:val="20"/>
    <w:rPr>
      <w:i/>
      <w:iCs/>
    </w:rPr>
  </w:style>
  <w:style w:type="character" w:customStyle="1" w:styleId="138">
    <w:name w:val="Header Char"/>
    <w:basedOn w:val="135"/>
    <w:link w:val="29"/>
    <w:qFormat/>
    <w:uiPriority w:val="99"/>
  </w:style>
  <w:style w:type="character" w:customStyle="1" w:styleId="139">
    <w:name w:val="Footer Char"/>
    <w:basedOn w:val="135"/>
    <w:link w:val="28"/>
    <w:qFormat/>
    <w:uiPriority w:val="99"/>
  </w:style>
  <w:style w:type="paragraph" w:styleId="140">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41">
    <w:name w:val="Heading 1 Char"/>
    <w:basedOn w:val="135"/>
    <w:link w:val="5"/>
    <w:qFormat/>
    <w:uiPriority w:val="9"/>
    <w:rPr>
      <w:rFonts w:asciiTheme="majorHAnsi" w:hAnsiTheme="majorHAnsi" w:eastAsiaTheme="majorEastAsia" w:cstheme="majorBidi"/>
      <w:b/>
      <w:bCs/>
      <w:color w:val="376092" w:themeColor="accent1" w:themeShade="BF"/>
      <w:sz w:val="28"/>
      <w:szCs w:val="28"/>
    </w:rPr>
  </w:style>
  <w:style w:type="character" w:customStyle="1" w:styleId="142">
    <w:name w:val="Heading 2 Char"/>
    <w:basedOn w:val="135"/>
    <w:link w:val="6"/>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3">
    <w:name w:val="Heading 3 Char"/>
    <w:basedOn w:val="135"/>
    <w:link w:val="7"/>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4">
    <w:name w:val="Title Char"/>
    <w:basedOn w:val="135"/>
    <w:link w:val="34"/>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5">
    <w:name w:val="Subtitle Char"/>
    <w:basedOn w:val="135"/>
    <w:link w:val="30"/>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6">
    <w:name w:val="List Paragraph"/>
    <w:basedOn w:val="1"/>
    <w:qFormat/>
    <w:uiPriority w:val="34"/>
    <w:pPr>
      <w:ind w:left="720"/>
      <w:contextualSpacing/>
    </w:pPr>
  </w:style>
  <w:style w:type="character" w:customStyle="1" w:styleId="147">
    <w:name w:val="Body Text Char"/>
    <w:basedOn w:val="135"/>
    <w:link w:val="22"/>
    <w:qFormat/>
    <w:uiPriority w:val="99"/>
  </w:style>
  <w:style w:type="character" w:customStyle="1" w:styleId="148">
    <w:name w:val="Body Text 2 Char"/>
    <w:basedOn w:val="135"/>
    <w:link w:val="23"/>
    <w:qFormat/>
    <w:uiPriority w:val="99"/>
  </w:style>
  <w:style w:type="character" w:customStyle="1" w:styleId="149">
    <w:name w:val="Body Text 3 Char"/>
    <w:basedOn w:val="135"/>
    <w:link w:val="20"/>
    <w:qFormat/>
    <w:uiPriority w:val="99"/>
    <w:rPr>
      <w:sz w:val="16"/>
      <w:szCs w:val="16"/>
    </w:rPr>
  </w:style>
  <w:style w:type="character" w:customStyle="1" w:styleId="150">
    <w:name w:val="Macro Text Char"/>
    <w:basedOn w:val="135"/>
    <w:link w:val="4"/>
    <w:qFormat/>
    <w:uiPriority w:val="99"/>
    <w:rPr>
      <w:rFonts w:ascii="Courier" w:hAnsi="Courier"/>
      <w:sz w:val="20"/>
      <w:szCs w:val="20"/>
    </w:rPr>
  </w:style>
  <w:style w:type="paragraph" w:styleId="151">
    <w:name w:val="Quote"/>
    <w:basedOn w:val="1"/>
    <w:next w:val="1"/>
    <w:link w:val="152"/>
    <w:qFormat/>
    <w:uiPriority w:val="29"/>
    <w:rPr>
      <w:i/>
      <w:iCs/>
      <w:color w:val="000000" w:themeColor="text1"/>
      <w14:textFill>
        <w14:solidFill>
          <w14:schemeClr w14:val="tx1"/>
        </w14:solidFill>
      </w14:textFill>
    </w:rPr>
  </w:style>
  <w:style w:type="character" w:customStyle="1" w:styleId="152">
    <w:name w:val="Quote Char"/>
    <w:basedOn w:val="135"/>
    <w:link w:val="151"/>
    <w:qFormat/>
    <w:uiPriority w:val="29"/>
    <w:rPr>
      <w:i/>
      <w:iCs/>
      <w:color w:val="000000" w:themeColor="text1"/>
      <w14:textFill>
        <w14:solidFill>
          <w14:schemeClr w14:val="tx1"/>
        </w14:solidFill>
      </w14:textFill>
    </w:rPr>
  </w:style>
  <w:style w:type="character" w:customStyle="1" w:styleId="153">
    <w:name w:val="Heading 4 Char"/>
    <w:basedOn w:val="135"/>
    <w:link w:val="8"/>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4">
    <w:name w:val="Heading 5 Char"/>
    <w:basedOn w:val="135"/>
    <w:link w:val="9"/>
    <w:semiHidden/>
    <w:qFormat/>
    <w:uiPriority w:val="9"/>
    <w:rPr>
      <w:rFonts w:asciiTheme="majorHAnsi" w:hAnsiTheme="majorHAnsi" w:eastAsiaTheme="majorEastAsia" w:cstheme="majorBidi"/>
      <w:color w:val="254061" w:themeColor="accent1" w:themeShade="80"/>
    </w:rPr>
  </w:style>
  <w:style w:type="character" w:customStyle="1" w:styleId="155">
    <w:name w:val="Heading 6 Char"/>
    <w:basedOn w:val="135"/>
    <w:link w:val="10"/>
    <w:semiHidden/>
    <w:qFormat/>
    <w:uiPriority w:val="9"/>
    <w:rPr>
      <w:rFonts w:asciiTheme="majorHAnsi" w:hAnsiTheme="majorHAnsi" w:eastAsiaTheme="majorEastAsia" w:cstheme="majorBidi"/>
      <w:i/>
      <w:iCs/>
      <w:color w:val="254061" w:themeColor="accent1" w:themeShade="80"/>
    </w:rPr>
  </w:style>
  <w:style w:type="character" w:customStyle="1" w:styleId="156">
    <w:name w:val="Heading 7 Char"/>
    <w:basedOn w:val="135"/>
    <w:link w:val="11"/>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7">
    <w:name w:val="Heading 8 Char"/>
    <w:basedOn w:val="135"/>
    <w:link w:val="12"/>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8">
    <w:name w:val="Heading 9 Char"/>
    <w:basedOn w:val="135"/>
    <w:link w:val="13"/>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9">
    <w:name w:val="Intense Quote"/>
    <w:basedOn w:val="1"/>
    <w:next w:val="1"/>
    <w:link w:val="160"/>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60">
    <w:name w:val="Intense Quote Char"/>
    <w:basedOn w:val="135"/>
    <w:link w:val="159"/>
    <w:qFormat/>
    <w:uiPriority w:val="30"/>
    <w:rPr>
      <w:b/>
      <w:bCs/>
      <w:i/>
      <w:iCs/>
      <w:color w:val="4F81BD" w:themeColor="accent1"/>
      <w14:textFill>
        <w14:solidFill>
          <w14:schemeClr w14:val="accent1"/>
        </w14:solidFill>
      </w14:textFill>
    </w:rPr>
  </w:style>
  <w:style w:type="character" w:customStyle="1" w:styleId="161">
    <w:name w:val="Subtle Emphasis"/>
    <w:basedOn w:val="135"/>
    <w:qFormat/>
    <w:uiPriority w:val="19"/>
    <w:rPr>
      <w:i/>
      <w:iCs/>
      <w:color w:val="808080" w:themeColor="text1" w:themeTint="80"/>
      <w14:textFill>
        <w14:solidFill>
          <w14:schemeClr w14:val="tx1">
            <w14:lumMod w14:val="50000"/>
            <w14:lumOff w14:val="50000"/>
          </w14:schemeClr>
        </w14:solidFill>
      </w14:textFill>
    </w:rPr>
  </w:style>
  <w:style w:type="character" w:customStyle="1" w:styleId="162">
    <w:name w:val="Intense Emphasis"/>
    <w:basedOn w:val="135"/>
    <w:qFormat/>
    <w:uiPriority w:val="21"/>
    <w:rPr>
      <w:b/>
      <w:bCs/>
      <w:i/>
      <w:iCs/>
      <w:color w:val="4F81BD" w:themeColor="accent1"/>
      <w14:textFill>
        <w14:solidFill>
          <w14:schemeClr w14:val="accent1"/>
        </w14:solidFill>
      </w14:textFill>
    </w:rPr>
  </w:style>
  <w:style w:type="character" w:customStyle="1" w:styleId="163">
    <w:name w:val="Subtle Reference"/>
    <w:basedOn w:val="135"/>
    <w:qFormat/>
    <w:uiPriority w:val="31"/>
    <w:rPr>
      <w:smallCaps/>
      <w:color w:val="C0504D" w:themeColor="accent2"/>
      <w:u w:val="single"/>
      <w14:textFill>
        <w14:solidFill>
          <w14:schemeClr w14:val="accent2"/>
        </w14:solidFill>
      </w14:textFill>
    </w:rPr>
  </w:style>
  <w:style w:type="character" w:customStyle="1" w:styleId="164">
    <w:name w:val="Intense Reference"/>
    <w:basedOn w:val="135"/>
    <w:qFormat/>
    <w:uiPriority w:val="32"/>
    <w:rPr>
      <w:b/>
      <w:bCs/>
      <w:smallCaps/>
      <w:color w:val="C0504D" w:themeColor="accent2"/>
      <w:spacing w:val="5"/>
      <w:u w:val="single"/>
      <w14:textFill>
        <w14:solidFill>
          <w14:schemeClr w14:val="accent2"/>
        </w14:solidFill>
      </w14:textFill>
    </w:rPr>
  </w:style>
  <w:style w:type="character" w:customStyle="1" w:styleId="165">
    <w:name w:val="Book Title"/>
    <w:basedOn w:val="135"/>
    <w:qFormat/>
    <w:uiPriority w:val="33"/>
    <w:rPr>
      <w:b/>
      <w:bCs/>
      <w:smallCaps/>
      <w:spacing w:val="5"/>
    </w:rPr>
  </w:style>
  <w:style w:type="paragraph" w:customStyle="1" w:styleId="166">
    <w:name w:val="TOC Heading"/>
    <w:basedOn w:val="5"/>
    <w:next w:val="1"/>
    <w:semiHidden/>
    <w:unhideWhenUsed/>
    <w:qFormat/>
    <w:uiPriority w:val="39"/>
    <w:pPr>
      <w:outlineLvl w:val="9"/>
    </w:pPr>
  </w:style>
  <w:style w:type="paragraph" w:customStyle="1" w:styleId="167">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8">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9">
    <w:name w:val="王越的表头"/>
    <w:basedOn w:val="170"/>
    <w:qFormat/>
    <w:uiPriority w:val="0"/>
    <w:pPr>
      <w:spacing w:line="240" w:lineRule="auto"/>
      <w:ind w:firstLine="0" w:firstLineChars="0"/>
      <w:jc w:val="center"/>
    </w:pPr>
    <w:rPr>
      <w:b/>
    </w:rPr>
  </w:style>
  <w:style w:type="paragraph" w:customStyle="1" w:styleId="170">
    <w:name w:val="王越的正文"/>
    <w:basedOn w:val="1"/>
    <w:qFormat/>
    <w:uiPriority w:val="0"/>
    <w:pPr>
      <w:ind w:firstLine="480"/>
      <w:jc w:val="left"/>
    </w:pPr>
    <w:rPr>
      <w:rFonts w:ascii="宋体" w:hAnsi="宋体"/>
    </w:rPr>
  </w:style>
  <w:style w:type="paragraph" w:customStyle="1" w:styleId="171">
    <w:name w:val="王越的表格"/>
    <w:basedOn w:val="170"/>
    <w:qFormat/>
    <w:uiPriority w:val="0"/>
    <w:pPr>
      <w:spacing w:line="240" w:lineRule="auto"/>
      <w:ind w:firstLine="0" w:firstLineChars="0"/>
    </w:pPr>
  </w:style>
  <w:style w:type="paragraph" w:customStyle="1" w:styleId="172">
    <w:name w:val="正文-（1）"/>
    <w:qFormat/>
    <w:uiPriority w:val="0"/>
    <w:pPr>
      <w:widowControl w:val="0"/>
      <w:numPr>
        <w:ilvl w:val="0"/>
        <w:numId w:val="7"/>
      </w:numPr>
      <w:spacing w:line="360" w:lineRule="auto"/>
      <w:ind w:left="0" w:firstLine="200" w:firstLineChars="200"/>
      <w:jc w:val="both"/>
    </w:pPr>
    <w:rPr>
      <w:rFonts w:ascii="Times New Roman" w:hAnsi="Times New Roman" w:eastAsia="宋体" w:cs="Times New Roman"/>
      <w:kern w:val="2"/>
      <w:sz w:val="24"/>
      <w:szCs w:val="22"/>
      <w:lang w:val="en-US" w:eastAsia="zh-CN" w:bidi="ar-SA"/>
    </w:rPr>
  </w:style>
  <w:style w:type="paragraph" w:customStyle="1" w:styleId="173">
    <w:name w:val="首行缩进"/>
    <w:basedOn w:val="1"/>
    <w:qFormat/>
    <w:uiPriority w:val="0"/>
    <w:pPr>
      <w:spacing w:line="360" w:lineRule="auto"/>
      <w:ind w:firstLine="480" w:firstLineChars="200"/>
    </w:pPr>
    <w:rPr>
      <w:rFonts w:ascii="Calibri" w:hAnsi="Calibri"/>
      <w:sz w:val="24"/>
      <w:szCs w:val="22"/>
      <w:lang w:val="zh-CN"/>
    </w:rPr>
  </w:style>
  <w:style w:type="paragraph" w:customStyle="1" w:styleId="174">
    <w:name w:val="列出段落11"/>
    <w:basedOn w:val="1"/>
    <w:qFormat/>
    <w:uiPriority w:val="99"/>
    <w:pPr>
      <w:widowControl/>
      <w:adjustRightInd/>
      <w:spacing w:before="40" w:after="160" w:line="240" w:lineRule="auto"/>
      <w:ind w:firstLine="420" w:firstLineChars="200"/>
      <w:textAlignment w:val="auto"/>
    </w:pPr>
    <w:rPr>
      <w:rFonts w:ascii="Cambria" w:hAnsi="Cambria" w:eastAsia="微软雅黑" w:cs="Cambria"/>
      <w:color w:val="565656"/>
      <w:kern w:val="20"/>
      <w:sz w:val="21"/>
      <w:szCs w:val="21"/>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8</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cp:lastPrinted>2025-12-31T00:47:00Z</cp:lastPrinted>
  <dcterms:modified xsi:type="dcterms:W3CDTF">2026-02-06T06:36:04Z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