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wordWrap/>
        <w:topLinePunct w:val="0"/>
        <w:bidi w:val="0"/>
        <w:spacing w:line="24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名称：锅炉房设备维保服务采购项目</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keepNext w:val="0"/>
        <w:keepLines w:val="0"/>
        <w:pageBreakBefore w:val="0"/>
        <w:widowControl/>
        <w:numPr>
          <w:ilvl w:val="0"/>
          <w:numId w:val="8"/>
        </w:numPr>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项目类型</w:t>
      </w:r>
    </w:p>
    <w:p>
      <w:pPr>
        <w:keepNext w:val="0"/>
        <w:keepLines w:val="0"/>
        <w:pageBreakBefore w:val="0"/>
        <w:widowControl/>
        <w:numPr>
          <w:ilvl w:val="0"/>
          <w:numId w:val="0"/>
        </w:numPr>
        <w:wordWrap/>
        <w:topLinePunct w:val="0"/>
        <w:bidi w:val="0"/>
        <w:snapToGrid/>
        <w:spacing w:line="240" w:lineRule="auto"/>
        <w:textAlignment w:val="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维保服务类</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2、在中华人民共和国境内注册登记，有生产或供应能力的本国供应商，包括法人、其他组织和个人；</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3、投标人在近三年内（2023年2月-至今）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4、具有良好的商业信誉和健全的财务会计制度；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6、本项目不接受联合体投标； </w:t>
      </w:r>
    </w:p>
    <w:p>
      <w:pPr>
        <w:pStyle w:val="2"/>
        <w:ind w:left="0" w:leftChars="0" w:firstLine="0" w:firstLineChars="0"/>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7.具有锅炉燃烧机授权维保书；</w:t>
      </w:r>
      <w:r>
        <w:rPr>
          <w:rFonts w:hint="eastAsia" w:ascii="幼圆" w:hAnsi="幼圆" w:eastAsia="幼圆" w:cs="幼圆"/>
          <w:b/>
          <w:bCs/>
          <w:color w:val="FF0000"/>
          <w:sz w:val="21"/>
          <w:szCs w:val="20"/>
          <w:lang w:val="en-US" w:eastAsia="zh-CN"/>
        </w:rPr>
        <w:t xml:space="preserve">(*资格条件必须满足，废标项） </w:t>
      </w:r>
    </w:p>
    <w:p>
      <w:pPr>
        <w:pStyle w:val="2"/>
        <w:ind w:left="0" w:leftChars="0" w:firstLine="0" w:firstLineChars="0"/>
        <w:rPr>
          <w:rFonts w:hint="eastAsia" w:ascii="幼圆" w:hAnsi="幼圆" w:eastAsia="幼圆" w:cs="幼圆"/>
          <w:b/>
          <w:bCs/>
          <w:color w:val="FF0000"/>
          <w:sz w:val="21"/>
          <w:szCs w:val="20"/>
          <w:lang w:val="en-US" w:eastAsia="zh-CN"/>
        </w:rPr>
      </w:pPr>
      <w:r>
        <w:rPr>
          <w:rFonts w:hint="eastAsia" w:ascii="幼圆" w:hAnsi="幼圆" w:eastAsia="幼圆" w:cs="幼圆"/>
          <w:b/>
          <w:bCs/>
          <w:color w:val="auto"/>
          <w:sz w:val="21"/>
          <w:szCs w:val="20"/>
          <w:lang w:val="en-US" w:eastAsia="zh-CN"/>
        </w:rPr>
        <w:t>8.</w:t>
      </w:r>
      <w:r>
        <w:rPr>
          <w:rFonts w:hint="eastAsia" w:ascii="幼圆" w:hAnsi="幼圆" w:eastAsia="幼圆" w:cs="幼圆"/>
          <w:color w:val="auto"/>
          <w:sz w:val="21"/>
          <w:szCs w:val="20"/>
          <w:lang w:val="en-US" w:eastAsia="zh-CN"/>
        </w:rPr>
        <w:t>具有中华人民共和国特种设备生产许可证（许可项目：承压类特种设备安装、修理、改造；子项目：锅炉安装（含修理、改造）（A））。</w:t>
      </w:r>
      <w:r>
        <w:rPr>
          <w:rFonts w:hint="eastAsia" w:ascii="幼圆" w:hAnsi="幼圆" w:eastAsia="幼圆" w:cs="幼圆"/>
          <w:b/>
          <w:bCs/>
          <w:color w:val="FF0000"/>
          <w:sz w:val="21"/>
          <w:szCs w:val="20"/>
          <w:lang w:val="en-US" w:eastAsia="zh-CN"/>
        </w:rPr>
        <w:t xml:space="preserve">(*资格条件必须满足，废标项） </w:t>
      </w:r>
    </w:p>
    <w:p>
      <w:pPr>
        <w:pStyle w:val="2"/>
        <w:ind w:left="0" w:leftChars="0" w:firstLine="0" w:firstLineChars="0"/>
        <w:rPr>
          <w:rFonts w:hint="default" w:ascii="幼圆" w:hAnsi="幼圆" w:eastAsia="幼圆" w:cs="幼圆"/>
          <w:b/>
          <w:bCs/>
          <w:color w:val="auto"/>
          <w:sz w:val="21"/>
          <w:szCs w:val="2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四、服务期要求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1"/>
          <w:szCs w:val="20"/>
          <w:lang w:val="en-US" w:eastAsia="zh-CN"/>
        </w:rPr>
        <w:t>合同履行期限：一年</w:t>
      </w:r>
      <w:r>
        <w:rPr>
          <w:rFonts w:hint="eastAsia" w:ascii="幼圆" w:hAnsi="幼圆" w:eastAsia="幼圆" w:cs="幼圆"/>
          <w:b/>
          <w:bCs/>
          <w:color w:val="FF0000"/>
          <w:sz w:val="21"/>
          <w:szCs w:val="20"/>
          <w:lang w:val="en-US" w:eastAsia="zh-CN"/>
        </w:rPr>
        <w:t>（*必须响应，</w:t>
      </w:r>
      <w:bookmarkStart w:id="5" w:name="_GoBack"/>
      <w:bookmarkEnd w:id="5"/>
      <w:r>
        <w:rPr>
          <w:rFonts w:hint="eastAsia" w:ascii="幼圆" w:hAnsi="幼圆" w:eastAsia="幼圆" w:cs="幼圆"/>
          <w:b/>
          <w:bCs/>
          <w:color w:val="FF0000"/>
          <w:sz w:val="21"/>
          <w:szCs w:val="20"/>
          <w:lang w:val="en-US" w:eastAsia="zh-CN"/>
        </w:rPr>
        <w:t>废标项）</w:t>
      </w:r>
      <w:bookmarkStart w:id="0" w:name="_Toc195775598"/>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维保内容</w:t>
      </w:r>
    </w:p>
    <w:p>
      <w:pPr>
        <w:numPr>
          <w:ilvl w:val="0"/>
          <w:numId w:val="10"/>
        </w:numPr>
        <w:ind w:leftChars="0"/>
        <w:rPr>
          <w:rFonts w:hint="eastAsia" w:ascii="宋体" w:hAnsi="宋体" w:eastAsia="宋体" w:cs="宋体"/>
          <w:b/>
          <w:bCs w:val="0"/>
          <w:snapToGrid w:val="0"/>
          <w:kern w:val="21"/>
          <w:sz w:val="21"/>
          <w:szCs w:val="21"/>
          <w:lang w:val="en-US" w:eastAsia="zh-CN"/>
        </w:rPr>
      </w:pPr>
      <w:r>
        <w:rPr>
          <w:rFonts w:hint="eastAsia" w:ascii="宋体" w:hAnsi="宋体" w:eastAsia="宋体" w:cs="宋体"/>
          <w:b/>
          <w:bCs w:val="0"/>
          <w:snapToGrid w:val="0"/>
          <w:kern w:val="21"/>
          <w:sz w:val="21"/>
          <w:szCs w:val="21"/>
          <w:lang w:val="en-US" w:eastAsia="zh-CN"/>
        </w:rPr>
        <w:t>维保厂商责任</w:t>
      </w:r>
    </w:p>
    <w:p>
      <w:pPr>
        <w:numPr>
          <w:ilvl w:val="0"/>
          <w:numId w:val="0"/>
        </w:numPr>
        <w:ind w:leftChars="0"/>
        <w:rPr>
          <w:rFonts w:hint="default" w:ascii="宋体" w:hAnsi="宋体" w:eastAsia="宋体" w:cs="宋体"/>
          <w:b w:val="0"/>
          <w:bCs w:val="0"/>
          <w:color w:val="000000"/>
          <w:kern w:val="0"/>
          <w:sz w:val="21"/>
          <w:szCs w:val="21"/>
          <w:lang w:val="en-US" w:eastAsia="zh-CN"/>
        </w:rPr>
      </w:pPr>
      <w:r>
        <w:rPr>
          <w:rFonts w:hint="eastAsia"/>
          <w:lang w:val="en-US" w:eastAsia="zh-CN"/>
        </w:rPr>
        <w:t>（1）</w:t>
      </w:r>
      <w:r>
        <w:rPr>
          <w:rFonts w:hint="eastAsia" w:ascii="宋体" w:hAnsi="宋体" w:eastAsia="宋体" w:cs="宋体"/>
          <w:b w:val="0"/>
          <w:bCs w:val="0"/>
          <w:color w:val="000000"/>
          <w:kern w:val="0"/>
          <w:sz w:val="21"/>
          <w:szCs w:val="21"/>
          <w:lang w:val="en-US" w:eastAsia="zh-CN"/>
        </w:rPr>
        <w:t>投标人承担材料及维修费：设备设施的小型维修单批次2000元（不含）以下的零配件费用。</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 w:val="0"/>
          <w:bCs w:val="0"/>
          <w:color w:val="000000"/>
          <w:kern w:val="0"/>
          <w:sz w:val="21"/>
          <w:szCs w:val="21"/>
          <w:lang w:val="en-US" w:eastAsia="zh-CN"/>
        </w:rPr>
        <w:t>（2）对清单内所有</w:t>
      </w:r>
      <w:r>
        <w:rPr>
          <w:rFonts w:hint="eastAsia" w:ascii="宋体" w:hAnsi="宋体" w:eastAsia="宋体" w:cs="宋体"/>
          <w:bCs/>
          <w:snapToGrid w:val="0"/>
          <w:kern w:val="21"/>
          <w:sz w:val="21"/>
          <w:szCs w:val="21"/>
          <w:lang w:val="en-US" w:eastAsia="zh-CN"/>
        </w:rPr>
        <w:t>设备及其配套设备进行定期维护保养，频次为半个月，保障所有设备安全稳定运行。</w:t>
      </w:r>
    </w:p>
    <w:p>
      <w:pPr>
        <w:numPr>
          <w:ilvl w:val="0"/>
          <w:numId w:val="0"/>
        </w:numPr>
        <w:ind w:leftChars="0"/>
        <w:rPr>
          <w:rFonts w:hint="eastAsia" w:ascii="宋体" w:hAnsi="宋体" w:eastAsia="宋体" w:cs="宋体"/>
          <w:b w:val="0"/>
          <w:bCs w:val="0"/>
          <w:color w:val="000000"/>
          <w:kern w:val="0"/>
          <w:sz w:val="21"/>
          <w:szCs w:val="21"/>
          <w:lang w:val="en-US" w:eastAsia="zh-CN"/>
        </w:rPr>
      </w:pP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lang w:eastAsia="zh-CN"/>
        </w:rPr>
        <w:t>）锅炉房</w:t>
      </w:r>
      <w:r>
        <w:rPr>
          <w:rFonts w:hint="eastAsia" w:ascii="宋体" w:hAnsi="宋体" w:eastAsia="宋体" w:cs="宋体"/>
          <w:b w:val="0"/>
          <w:bCs w:val="0"/>
          <w:color w:val="000000"/>
          <w:kern w:val="0"/>
          <w:sz w:val="21"/>
          <w:szCs w:val="21"/>
          <w:lang w:val="en-US" w:eastAsia="zh-CN"/>
        </w:rPr>
        <w:t>水泵密封及轴承免费更换、维修。</w:t>
      </w:r>
    </w:p>
    <w:p>
      <w:pPr>
        <w:numPr>
          <w:ilvl w:val="0"/>
          <w:numId w:val="0"/>
        </w:numPr>
        <w:ind w:leftChars="0"/>
        <w:rPr>
          <w:rFonts w:hint="eastAsia" w:ascii="宋体" w:hAnsi="宋体" w:eastAsia="宋体" w:cs="宋体"/>
          <w:b w:val="0"/>
          <w:bCs w:val="0"/>
          <w:color w:val="000000"/>
          <w:kern w:val="0"/>
          <w:sz w:val="21"/>
          <w:szCs w:val="21"/>
          <w:lang w:val="en-US" w:eastAsia="zh-CN"/>
        </w:rPr>
      </w:pPr>
      <w:r>
        <w:rPr>
          <w:rFonts w:hint="eastAsia" w:ascii="宋体" w:hAnsi="宋体" w:eastAsia="宋体" w:cs="宋体"/>
          <w:b w:val="0"/>
          <w:bCs w:val="0"/>
          <w:color w:val="000000"/>
          <w:kern w:val="0"/>
          <w:sz w:val="21"/>
          <w:szCs w:val="21"/>
          <w:lang w:val="en-US" w:eastAsia="zh-CN"/>
        </w:rPr>
        <w:t>（4）做好水质软化事宜，其相关耗材，由供应商提供，定期做好水质检测。</w:t>
      </w:r>
    </w:p>
    <w:p>
      <w:pPr>
        <w:numPr>
          <w:ilvl w:val="0"/>
          <w:numId w:val="0"/>
        </w:numPr>
        <w:ind w:left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5</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负责设备机房</w:t>
      </w:r>
      <w:r>
        <w:rPr>
          <w:rFonts w:hint="eastAsia" w:ascii="宋体" w:hAnsi="宋体" w:eastAsia="宋体" w:cs="宋体"/>
          <w:color w:val="000000"/>
          <w:kern w:val="0"/>
          <w:sz w:val="21"/>
          <w:szCs w:val="21"/>
          <w:lang w:val="en-US" w:eastAsia="zh-CN"/>
        </w:rPr>
        <w:t>6</w:t>
      </w:r>
      <w:r>
        <w:rPr>
          <w:rFonts w:hint="eastAsia" w:ascii="宋体" w:hAnsi="宋体" w:eastAsia="宋体" w:cs="宋体"/>
          <w:color w:val="000000"/>
          <w:kern w:val="0"/>
          <w:sz w:val="21"/>
          <w:szCs w:val="21"/>
        </w:rPr>
        <w:t>S卫生清理</w:t>
      </w:r>
      <w:r>
        <w:rPr>
          <w:rFonts w:hint="eastAsia" w:ascii="宋体" w:hAnsi="宋体" w:eastAsia="宋体" w:cs="宋体"/>
          <w:color w:val="000000"/>
          <w:kern w:val="0"/>
          <w:sz w:val="21"/>
          <w:szCs w:val="21"/>
          <w:lang w:eastAsia="zh-CN"/>
        </w:rPr>
        <w:t>，机房门窗、墙面、地面、照明插座维修。</w:t>
      </w:r>
    </w:p>
    <w:p>
      <w:pPr>
        <w:numPr>
          <w:ilvl w:val="0"/>
          <w:numId w:val="0"/>
        </w:numPr>
        <w:spacing w:line="240" w:lineRule="auto"/>
        <w:jc w:val="left"/>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6</w:t>
      </w:r>
      <w:r>
        <w:rPr>
          <w:rFonts w:hint="eastAsia" w:ascii="宋体" w:hAnsi="宋体" w:eastAsia="宋体" w:cs="宋体"/>
          <w:color w:val="000000"/>
          <w:kern w:val="0"/>
          <w:sz w:val="21"/>
          <w:szCs w:val="21"/>
          <w:lang w:eastAsia="zh-CN"/>
        </w:rPr>
        <w:t>）</w:t>
      </w:r>
      <w:r>
        <w:rPr>
          <w:rFonts w:hint="eastAsia" w:ascii="宋体" w:hAnsi="宋体" w:eastAsia="宋体" w:cs="宋体"/>
          <w:sz w:val="21"/>
          <w:szCs w:val="21"/>
          <w:lang w:val="en-US" w:eastAsia="zh-CN"/>
        </w:rPr>
        <w:t>维保细则未完成或缺少项目、不能达到甲方标准，按照不低于1000元罚扣。</w:t>
      </w:r>
    </w:p>
    <w:p>
      <w:pPr>
        <w:rPr>
          <w:rFonts w:hint="eastAsia" w:ascii="宋体" w:hAnsi="宋体" w:eastAsia="宋体" w:cs="宋体"/>
          <w:color w:val="000000"/>
          <w:kern w:val="0"/>
          <w:sz w:val="21"/>
          <w:szCs w:val="21"/>
          <w:lang w:val="en-US" w:eastAsia="zh-CN"/>
        </w:rPr>
      </w:pPr>
      <w:r>
        <w:rPr>
          <w:rFonts w:hint="eastAsia" w:ascii="宋体" w:hAnsi="宋体" w:eastAsia="宋体" w:cs="宋体"/>
          <w:sz w:val="21"/>
          <w:szCs w:val="21"/>
          <w:lang w:val="en-US" w:eastAsia="zh-CN"/>
        </w:rPr>
        <w:t>保证甲方设备安全运行，因设备异常或乙方操作不当引起的安全、停蒸汽、停暖事故，所造成的损失，乙方负全责。</w:t>
      </w:r>
    </w:p>
    <w:p>
      <w:pPr>
        <w:numPr>
          <w:ilvl w:val="0"/>
          <w:numId w:val="0"/>
        </w:numPr>
        <w:ind w:leftChars="0"/>
        <w:rPr>
          <w:rFonts w:hint="eastAsia" w:ascii="宋体" w:hAnsi="宋体" w:eastAsia="宋体" w:cs="宋体"/>
          <w:b/>
          <w:bCs w:val="0"/>
          <w:snapToGrid w:val="0"/>
          <w:kern w:val="21"/>
          <w:sz w:val="21"/>
          <w:szCs w:val="21"/>
          <w:lang w:val="en-US" w:eastAsia="zh-CN"/>
        </w:rPr>
      </w:pPr>
      <w:r>
        <w:rPr>
          <w:rFonts w:hint="eastAsia" w:ascii="宋体" w:hAnsi="宋体" w:eastAsia="宋体" w:cs="宋体"/>
          <w:b/>
          <w:bCs w:val="0"/>
          <w:snapToGrid w:val="0"/>
          <w:kern w:val="21"/>
          <w:sz w:val="21"/>
          <w:szCs w:val="21"/>
          <w:lang w:val="en-US" w:eastAsia="zh-CN"/>
        </w:rPr>
        <w:t>2、日常巡检与监测</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此项为预防性维护的基础，要求定期、定点、定标准执行。</w:t>
      </w:r>
    </w:p>
    <w:p>
      <w:pPr>
        <w:numPr>
          <w:ilvl w:val="0"/>
          <w:numId w:val="0"/>
        </w:numPr>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（1）蒸汽锅炉属于承压设备，危险性高，巡检需格外注重压力、水位和安全附件。</w:t>
      </w:r>
    </w:p>
    <w:p>
      <w:pPr>
        <w:numPr>
          <w:ilvl w:val="0"/>
          <w:numId w:val="0"/>
        </w:numPr>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（2） 压力：检查主蒸汽压力是否在额定范围内，压力波动是否平稳。</w:t>
      </w:r>
    </w:p>
    <w:p>
      <w:pPr>
        <w:numPr>
          <w:ilvl w:val="0"/>
          <w:numId w:val="0"/>
        </w:numPr>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（3）水位：重点检查！ 对照水位计，确认水位在正常范围（通常在水位计的1/2至2/3处）冲洗水位计，防止出现假水位。</w:t>
      </w:r>
    </w:p>
    <w:p>
      <w:pPr>
        <w:numPr>
          <w:ilvl w:val="0"/>
          <w:numId w:val="0"/>
        </w:numPr>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（4）燃烧状况：观察燃烧器火焰颜色（应为淡蓝色或橘黄色，无闪烁、无黑烟），燃烧是否稳定，无异响。</w:t>
      </w:r>
    </w:p>
    <w:p>
      <w:pPr>
        <w:numPr>
          <w:ilvl w:val="0"/>
          <w:numId w:val="0"/>
        </w:numPr>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（5）炉体外观：检查炉体、炉门、看火孔等是否完好，无变形、无泄漏、无异常振动。</w:t>
      </w:r>
    </w:p>
    <w:p>
      <w:pPr>
        <w:numPr>
          <w:ilvl w:val="0"/>
          <w:numId w:val="0"/>
        </w:numPr>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（6）排烟温度：记录排烟温度，与历史数据对比，判断是否存在效率下降或结垢问题。</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（7）安全阀：检查是否有泄漏迹象，校验标签是否在有效期内，手动试验杆机构是否灵活（定期进行起跳试验）。</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（8） 压力表：检查压力表指针是否稳定，表盘玻璃是否清晰，三通旋塞是否处于工作位置，压力表红线标记是否清晰，校验期是否有效。</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（9）水位报警和联锁装置：必须进行功能试验，模拟高、低水位，检查声光报警是否正常，锅炉是否自动停炉。</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xml:space="preserve"> （10）温度计检查显示是否正常。</w:t>
      </w:r>
    </w:p>
    <w:p>
      <w:pPr>
        <w:numPr>
          <w:ilvl w:val="0"/>
          <w:numId w:val="0"/>
        </w:numPr>
        <w:rPr>
          <w:rFonts w:hint="eastAsia" w:ascii="宋体" w:hAnsi="宋体" w:eastAsia="宋体" w:cs="宋体"/>
          <w:bCs/>
          <w:snapToGrid w:val="0"/>
          <w:kern w:val="21"/>
          <w:sz w:val="21"/>
          <w:szCs w:val="21"/>
          <w:lang w:val="en-US" w:eastAsia="zh-CN"/>
        </w:rPr>
      </w:pPr>
    </w:p>
    <w:p>
      <w:pPr>
        <w:numPr>
          <w:ilvl w:val="0"/>
          <w:numId w:val="0"/>
        </w:numPr>
        <w:ind w:leftChars="0"/>
        <w:rPr>
          <w:rFonts w:hint="eastAsia" w:ascii="宋体" w:hAnsi="宋体" w:eastAsia="宋体" w:cs="宋体"/>
          <w:b/>
          <w:bCs w:val="0"/>
          <w:snapToGrid w:val="0"/>
          <w:kern w:val="21"/>
          <w:sz w:val="21"/>
          <w:szCs w:val="21"/>
          <w:lang w:val="en-US" w:eastAsia="zh-CN"/>
        </w:rPr>
      </w:pPr>
      <w:r>
        <w:rPr>
          <w:rFonts w:hint="eastAsia" w:ascii="宋体" w:hAnsi="宋体" w:eastAsia="宋体" w:cs="宋体"/>
          <w:b/>
          <w:bCs w:val="0"/>
          <w:snapToGrid w:val="0"/>
          <w:kern w:val="21"/>
          <w:sz w:val="21"/>
          <w:szCs w:val="21"/>
          <w:lang w:val="en-US" w:eastAsia="zh-CN"/>
        </w:rPr>
        <w:t>3、定期维护与检修</w:t>
      </w:r>
    </w:p>
    <w:p>
      <w:pPr>
        <w:numPr>
          <w:ilvl w:val="0"/>
          <w:numId w:val="0"/>
        </w:numPr>
        <w:spacing w:line="240" w:lineRule="auto"/>
        <w:ind w:leftChars="0"/>
        <w:rPr>
          <w:rFonts w:hint="eastAsia" w:ascii="宋体" w:hAnsi="宋体" w:eastAsia="宋体" w:cs="宋体"/>
          <w:color w:val="000000"/>
          <w:kern w:val="0"/>
          <w:sz w:val="21"/>
          <w:szCs w:val="21"/>
          <w:lang w:eastAsia="zh-CN"/>
        </w:rPr>
      </w:pPr>
      <w:r>
        <w:rPr>
          <w:rFonts w:hint="eastAsia" w:ascii="宋体" w:hAnsi="宋体" w:eastAsia="宋体" w:cs="宋体"/>
          <w:bCs/>
          <w:snapToGrid w:val="0"/>
          <w:kern w:val="21"/>
          <w:sz w:val="21"/>
          <w:szCs w:val="21"/>
          <w:lang w:val="en-US" w:eastAsia="zh-CN"/>
        </w:rPr>
        <w:t>（1）</w:t>
      </w:r>
      <w:r>
        <w:rPr>
          <w:rFonts w:hint="eastAsia" w:ascii="宋体" w:hAnsi="宋体" w:eastAsia="宋体" w:cs="宋体"/>
          <w:color w:val="000000"/>
          <w:kern w:val="0"/>
          <w:sz w:val="21"/>
          <w:szCs w:val="21"/>
        </w:rPr>
        <w:t>自动控制系统维护</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日常维修及紧急报修到场服务、日常维修配件材料准备、定期每周巡检、数据校对、数据调整每周1次</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电气线路系统检修维护、自控设备检修维护、自控系统线路检修维护、电流电压信号等数据测量、升级系统控制软件</w:t>
      </w:r>
      <w:r>
        <w:rPr>
          <w:rFonts w:hint="eastAsia" w:ascii="宋体" w:hAnsi="宋体" w:eastAsia="宋体" w:cs="宋体"/>
          <w:color w:val="000000"/>
          <w:kern w:val="0"/>
          <w:sz w:val="21"/>
          <w:szCs w:val="21"/>
          <w:lang w:eastAsia="zh-CN"/>
        </w:rPr>
        <w:t>，负责锅炉房至中控室的远程监控畅通。</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color w:val="000000"/>
          <w:kern w:val="0"/>
          <w:sz w:val="21"/>
          <w:szCs w:val="21"/>
          <w:lang w:val="en-US" w:eastAsia="zh-CN"/>
        </w:rPr>
        <w:t>（2）</w:t>
      </w:r>
      <w:r>
        <w:rPr>
          <w:rFonts w:hint="eastAsia" w:ascii="宋体" w:hAnsi="宋体" w:eastAsia="宋体" w:cs="宋体"/>
          <w:bCs/>
          <w:snapToGrid w:val="0"/>
          <w:kern w:val="21"/>
          <w:sz w:val="21"/>
          <w:szCs w:val="21"/>
          <w:lang w:val="en-US" w:eastAsia="zh-CN"/>
        </w:rPr>
        <w:t>锅炉本体及真空系统</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真空度：核心检查项！ 检查控制盘上的真空压力表，确保其稳定在设定的负压范围内（通常为-30kPa至-76kPa）。真空度下降是主要故障之一。</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炉水温度：检查锅炉本体温度是否在设定范围（通常低于90℃）。</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本体外观：检查锅筒、管板、烟管等连接处有无泄漏痕迹。</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换热器：检查锅筒内换热器有无泄漏迹象（可通过观察炉水水质或系统压力判断）。</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（3）安全附件与仪表</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真空压力表/开关：检查显示是否准确，动作是否可靠。</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安全阀：虽然是负压运行，但仍有防止正压过高的安全阀，需检查其有效性。</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温度计、压力表：检查锅炉出水/回水温度、压力是否正常。</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液位计：检查锅筒内的液位计，确保炉水液位在正常范围。</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（4）辅机系统</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循环水泵：检查系统循环水泵运行是否平稳，无异常噪音和振动，电机温度正常。系统压力是否稳定。</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真空泵（如有）：检查其是否正常待机或运行，油位是否正常。</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燃烧系统：与蒸汽锅炉类似，检查燃烧器火焰状况、燃气压力及管路密封性。</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排污阀：定期对锅筒进行排污，排出底部杂质。</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（5）控制与电气系统</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控制盘：检查有无故障代码或报警信息，各参数设置是否正确。</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阀门状态：确认系统供回水阀门、锅炉本体各阀门状态正确。</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现场环境：同蒸汽锅炉，保持环境整洁、通风良好。</w:t>
      </w:r>
    </w:p>
    <w:p>
      <w:pPr>
        <w:numPr>
          <w:ilvl w:val="0"/>
          <w:numId w:val="0"/>
        </w:numPr>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（6）锅炉安全检查</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蒸汽锅炉巡检核心是 “锅”里的压力和水位，严防超压和缺水。</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 真空热水锅炉巡检核心是 “锅”里的真空度，严防空气漏入破坏真空。</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.严格按照规程进行日常巡检，是确保锅炉安全、高效、长寿命运行的根本保障。</w:t>
      </w:r>
    </w:p>
    <w:p>
      <w:pPr>
        <w:numPr>
          <w:ilvl w:val="0"/>
          <w:numId w:val="0"/>
        </w:numPr>
        <w:ind w:leftChars="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7</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补水系统</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补水泵稳压罐水箱维护保养、配电及控制系统维护保养、管路阀门检查维护、电流电压信号等数据测量、日常维修及紧急报修到场服务。</w:t>
      </w:r>
    </w:p>
    <w:p>
      <w:pPr>
        <w:numPr>
          <w:ilvl w:val="0"/>
          <w:numId w:val="0"/>
        </w:numPr>
        <w:spacing w:line="240" w:lineRule="auto"/>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（8）安全阀压力表温度计：</w:t>
      </w:r>
      <w:r>
        <w:rPr>
          <w:rFonts w:hint="eastAsia" w:ascii="宋体" w:hAnsi="宋体" w:eastAsia="宋体" w:cs="宋体"/>
          <w:color w:val="000000"/>
          <w:kern w:val="0"/>
          <w:sz w:val="21"/>
          <w:szCs w:val="21"/>
        </w:rPr>
        <w:t>压力数据检查、每半年拆装送检并出具所有检验报告每半年1次</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必要时更换。</w:t>
      </w:r>
    </w:p>
    <w:p>
      <w:pPr>
        <w:numPr>
          <w:ilvl w:val="0"/>
          <w:numId w:val="0"/>
        </w:numPr>
        <w:ind w:leftChars="0"/>
        <w:rPr>
          <w:rFonts w:hint="default" w:ascii="宋体" w:hAnsi="宋体" w:eastAsia="宋体" w:cs="宋体"/>
          <w:color w:val="000000"/>
          <w:kern w:val="0"/>
          <w:sz w:val="21"/>
          <w:szCs w:val="21"/>
          <w:lang w:val="en-US" w:eastAsia="zh-CN"/>
        </w:rPr>
      </w:pPr>
      <w:r>
        <w:rPr>
          <w:rFonts w:hint="eastAsia" w:ascii="宋体" w:hAnsi="宋体" w:eastAsia="宋体" w:cs="宋体"/>
          <w:bCs/>
          <w:snapToGrid w:val="0"/>
          <w:kern w:val="21"/>
          <w:sz w:val="21"/>
          <w:szCs w:val="21"/>
          <w:lang w:val="en-US" w:eastAsia="zh-CN"/>
        </w:rPr>
        <w:t>（9）软化</w:t>
      </w:r>
      <w:r>
        <w:rPr>
          <w:rFonts w:hint="eastAsia" w:ascii="宋体" w:hAnsi="宋体" w:eastAsia="宋体" w:cs="宋体"/>
          <w:color w:val="000000"/>
          <w:kern w:val="0"/>
          <w:sz w:val="21"/>
          <w:szCs w:val="21"/>
          <w:lang w:val="en-US" w:eastAsia="zh-CN"/>
        </w:rPr>
        <w:t>水处理</w:t>
      </w:r>
      <w:r>
        <w:rPr>
          <w:rFonts w:hint="eastAsia" w:ascii="宋体" w:hAnsi="宋体" w:eastAsia="宋体" w:cs="宋体"/>
          <w:color w:val="000000"/>
          <w:kern w:val="0"/>
          <w:sz w:val="21"/>
          <w:szCs w:val="21"/>
        </w:rPr>
        <w:t>（含药）</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软化罐（含盐）</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年度维护保养：树脂检查、软化盐补充、电气系统检测、控制系统检查维护每年1次</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日常维修及紧急报修到场服务、定期每周巡检：每周1次</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定期巡检</w:t>
      </w:r>
      <w:r>
        <w:rPr>
          <w:rFonts w:hint="eastAsia" w:ascii="宋体" w:hAnsi="宋体" w:eastAsia="宋体" w:cs="宋体"/>
          <w:color w:val="000000"/>
          <w:kern w:val="0"/>
          <w:sz w:val="21"/>
          <w:szCs w:val="21"/>
          <w:lang w:eastAsia="zh-CN"/>
        </w:rPr>
        <w:t>，查看水质是否达标，化验药剂日期检查临期时尽快更换。</w:t>
      </w:r>
    </w:p>
    <w:p>
      <w:pPr>
        <w:numPr>
          <w:ilvl w:val="0"/>
          <w:numId w:val="0"/>
        </w:numPr>
        <w:spacing w:line="240" w:lineRule="auto"/>
        <w:rPr>
          <w:rFonts w:hint="eastAsia" w:ascii="宋体" w:hAnsi="宋体" w:eastAsia="宋体" w:cs="宋体"/>
          <w:b/>
          <w:bCs/>
          <w:color w:val="000000"/>
          <w:kern w:val="0"/>
          <w:sz w:val="21"/>
          <w:szCs w:val="21"/>
          <w:lang w:val="en-US" w:eastAsia="zh-CN"/>
        </w:rPr>
      </w:pPr>
      <w:r>
        <w:rPr>
          <w:rFonts w:hint="eastAsia" w:ascii="宋体" w:hAnsi="宋体" w:eastAsia="宋体" w:cs="宋体"/>
          <w:b/>
          <w:bCs/>
          <w:color w:val="000000"/>
          <w:kern w:val="0"/>
          <w:sz w:val="21"/>
          <w:szCs w:val="21"/>
          <w:lang w:val="en-US" w:eastAsia="zh-CN"/>
        </w:rPr>
        <w:t>4、年检与检测</w:t>
      </w:r>
    </w:p>
    <w:p>
      <w:pPr>
        <w:numPr>
          <w:ilvl w:val="0"/>
          <w:numId w:val="0"/>
        </w:numPr>
        <w:spacing w:line="240" w:lineRule="auto"/>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（1）设备、管道安全阀、压力表依照法规要求进行检测；年/半年。</w:t>
      </w:r>
    </w:p>
    <w:p>
      <w:pPr>
        <w:numPr>
          <w:ilvl w:val="0"/>
          <w:numId w:val="0"/>
        </w:numPr>
        <w:spacing w:line="240" w:lineRule="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（2）锅炉、分气缸定期年检，包含年检、无损检测等</w:t>
      </w:r>
    </w:p>
    <w:p>
      <w:pPr>
        <w:numPr>
          <w:ilvl w:val="0"/>
          <w:numId w:val="0"/>
        </w:numPr>
        <w:spacing w:line="240" w:lineRule="auto"/>
        <w:ind w:leftChars="0"/>
        <w:rPr>
          <w:rFonts w:hint="eastAsia" w:ascii="宋体" w:hAnsi="宋体" w:eastAsia="宋体" w:cs="宋体"/>
          <w:b/>
          <w:bCs w:val="0"/>
          <w:snapToGrid w:val="0"/>
          <w:kern w:val="21"/>
          <w:sz w:val="21"/>
          <w:szCs w:val="21"/>
          <w:lang w:val="en-US" w:eastAsia="zh-CN"/>
        </w:rPr>
      </w:pPr>
      <w:r>
        <w:rPr>
          <w:rFonts w:hint="eastAsia" w:ascii="宋体" w:hAnsi="宋体" w:cs="宋体"/>
          <w:b/>
          <w:bCs w:val="0"/>
          <w:snapToGrid w:val="0"/>
          <w:kern w:val="21"/>
          <w:sz w:val="21"/>
          <w:szCs w:val="21"/>
          <w:lang w:val="en-US" w:eastAsia="zh-CN"/>
        </w:rPr>
        <w:t>六</w:t>
      </w:r>
      <w:r>
        <w:rPr>
          <w:rFonts w:hint="eastAsia" w:ascii="宋体" w:hAnsi="宋体" w:eastAsia="宋体" w:cs="宋体"/>
          <w:b/>
          <w:bCs w:val="0"/>
          <w:snapToGrid w:val="0"/>
          <w:kern w:val="21"/>
          <w:sz w:val="21"/>
          <w:szCs w:val="21"/>
          <w:lang w:val="en-US" w:eastAsia="zh-CN"/>
        </w:rPr>
        <w:t>、安全与应急管理</w:t>
      </w:r>
    </w:p>
    <w:p>
      <w:pPr>
        <w:numPr>
          <w:ilvl w:val="0"/>
          <w:numId w:val="0"/>
        </w:numPr>
        <w:spacing w:line="240" w:lineRule="auto"/>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1、工作许可：任何维保作业必须执行严格的动火作业、有限空间作业、高空作业、临时用电许可证制度。</w:t>
      </w:r>
    </w:p>
    <w:p>
      <w:pPr>
        <w:numPr>
          <w:ilvl w:val="0"/>
          <w:numId w:val="0"/>
        </w:numPr>
        <w:spacing w:line="240" w:lineRule="auto"/>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2、应急预案： 制定针对锅炉事故、燃气泄漏等突发事件的应急预案，包括紧急停机、人员疏散、现场处置流程等，并定期组织演练。</w:t>
      </w:r>
    </w:p>
    <w:p>
      <w:pPr>
        <w:numPr>
          <w:ilvl w:val="0"/>
          <w:numId w:val="0"/>
        </w:numPr>
        <w:spacing w:line="240" w:lineRule="auto"/>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3、个人防护： 作业人员必须配备合格的工服、手套、安全鞋等个人防护装备。</w:t>
      </w:r>
    </w:p>
    <w:p>
      <w:pPr>
        <w:numPr>
          <w:ilvl w:val="0"/>
          <w:numId w:val="0"/>
        </w:numPr>
        <w:spacing w:line="240" w:lineRule="auto"/>
        <w:ind w:leftChars="0"/>
        <w:rPr>
          <w:rFonts w:hint="eastAsia" w:ascii="宋体" w:hAnsi="宋体" w:eastAsia="宋体" w:cs="宋体"/>
          <w:b/>
          <w:bCs w:val="0"/>
          <w:snapToGrid w:val="0"/>
          <w:kern w:val="21"/>
          <w:sz w:val="21"/>
          <w:szCs w:val="21"/>
          <w:lang w:val="en-US" w:eastAsia="zh-CN"/>
        </w:rPr>
      </w:pPr>
      <w:r>
        <w:rPr>
          <w:rFonts w:hint="eastAsia" w:ascii="宋体" w:hAnsi="宋体" w:cs="宋体"/>
          <w:b/>
          <w:bCs w:val="0"/>
          <w:snapToGrid w:val="0"/>
          <w:kern w:val="21"/>
          <w:sz w:val="21"/>
          <w:szCs w:val="21"/>
          <w:lang w:val="en-US" w:eastAsia="zh-CN"/>
        </w:rPr>
        <w:t>七</w:t>
      </w:r>
      <w:r>
        <w:rPr>
          <w:rFonts w:hint="eastAsia" w:ascii="宋体" w:hAnsi="宋体" w:eastAsia="宋体" w:cs="宋体"/>
          <w:b/>
          <w:bCs w:val="0"/>
          <w:snapToGrid w:val="0"/>
          <w:kern w:val="21"/>
          <w:sz w:val="21"/>
          <w:szCs w:val="21"/>
          <w:lang w:val="en-US" w:eastAsia="zh-CN"/>
        </w:rPr>
        <w:t>、验收及考核</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1、</w:t>
      </w:r>
      <w:r>
        <w:rPr>
          <w:rFonts w:hint="eastAsia" w:ascii="宋体" w:hAnsi="宋体" w:eastAsia="宋体" w:cs="宋体"/>
          <w:spacing w:val="14"/>
          <w:sz w:val="21"/>
          <w:szCs w:val="21"/>
        </w:rPr>
        <w:t>服务时间安排：</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A</w:t>
      </w:r>
      <w:r>
        <w:rPr>
          <w:rFonts w:hint="eastAsia" w:ascii="宋体" w:hAnsi="宋体" w:eastAsia="宋体" w:cs="宋体"/>
          <w:spacing w:val="14"/>
          <w:sz w:val="21"/>
          <w:szCs w:val="21"/>
        </w:rPr>
        <w:t>周一至周日，7天24小时包括法定节假日。</w:t>
      </w:r>
    </w:p>
    <w:p>
      <w:pPr>
        <w:numPr>
          <w:ilvl w:val="0"/>
          <w:numId w:val="0"/>
        </w:numPr>
        <w:spacing w:line="240" w:lineRule="auto"/>
        <w:ind w:left="420" w:lef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B乙方维保配件应充足，紧急故障应</w:t>
      </w:r>
      <w:r>
        <w:rPr>
          <w:rFonts w:hint="eastAsia" w:ascii="宋体" w:hAnsi="宋体" w:eastAsia="宋体" w:cs="宋体"/>
          <w:sz w:val="21"/>
          <w:szCs w:val="21"/>
          <w:u w:val="single"/>
          <w:lang w:val="en-US" w:eastAsia="zh-CN"/>
        </w:rPr>
        <w:t xml:space="preserve">  0.5   </w:t>
      </w:r>
      <w:r>
        <w:rPr>
          <w:rFonts w:hint="eastAsia" w:ascii="宋体" w:hAnsi="宋体" w:eastAsia="宋体" w:cs="宋体"/>
          <w:sz w:val="21"/>
          <w:szCs w:val="21"/>
          <w:lang w:val="en-US" w:eastAsia="zh-CN"/>
        </w:rPr>
        <w:t>小时内维修完成；</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z w:val="21"/>
          <w:szCs w:val="21"/>
          <w:lang w:val="en-US" w:eastAsia="zh-CN"/>
        </w:rPr>
        <w:t>C一般故障自报修起</w:t>
      </w:r>
      <w:r>
        <w:rPr>
          <w:rFonts w:hint="eastAsia" w:ascii="宋体" w:hAnsi="宋体" w:eastAsia="宋体" w:cs="宋体"/>
          <w:sz w:val="21"/>
          <w:szCs w:val="21"/>
          <w:u w:val="single"/>
          <w:lang w:val="en-US" w:eastAsia="zh-CN"/>
        </w:rPr>
        <w:t xml:space="preserve">   2  </w:t>
      </w:r>
      <w:r>
        <w:rPr>
          <w:rFonts w:hint="eastAsia" w:ascii="宋体" w:hAnsi="宋体" w:eastAsia="宋体" w:cs="宋体"/>
          <w:sz w:val="21"/>
          <w:szCs w:val="21"/>
          <w:lang w:val="en-US" w:eastAsia="zh-CN"/>
        </w:rPr>
        <w:t>小时内维修完成。</w:t>
      </w:r>
    </w:p>
    <w:p>
      <w:pPr>
        <w:numPr>
          <w:ilvl w:val="0"/>
          <w:numId w:val="10"/>
        </w:numPr>
        <w:spacing w:line="240" w:lineRule="auto"/>
        <w:ind w:left="0" w:leftChars="0" w:firstLine="0" w:firstLineChars="0"/>
        <w:rPr>
          <w:rFonts w:hint="eastAsia" w:ascii="宋体" w:hAnsi="宋体" w:eastAsia="宋体" w:cs="宋体"/>
          <w:spacing w:val="14"/>
          <w:sz w:val="21"/>
          <w:szCs w:val="21"/>
        </w:rPr>
      </w:pPr>
      <w:r>
        <w:rPr>
          <w:rFonts w:hint="eastAsia" w:ascii="宋体" w:hAnsi="宋体" w:eastAsia="宋体" w:cs="宋体"/>
          <w:spacing w:val="14"/>
          <w:sz w:val="21"/>
          <w:szCs w:val="21"/>
          <w:lang w:eastAsia="zh-CN"/>
        </w:rPr>
        <w:t>乙方</w:t>
      </w:r>
      <w:r>
        <w:rPr>
          <w:rFonts w:hint="eastAsia" w:ascii="宋体" w:hAnsi="宋体" w:eastAsia="宋体" w:cs="宋体"/>
          <w:spacing w:val="14"/>
          <w:sz w:val="21"/>
          <w:szCs w:val="21"/>
        </w:rPr>
        <w:t>负责对</w:t>
      </w:r>
      <w:r>
        <w:rPr>
          <w:rFonts w:hint="eastAsia" w:ascii="宋体" w:hAnsi="宋体" w:eastAsia="宋体" w:cs="宋体"/>
          <w:spacing w:val="14"/>
          <w:sz w:val="21"/>
          <w:szCs w:val="21"/>
          <w:lang w:eastAsia="zh-CN"/>
        </w:rPr>
        <w:t>院区</w:t>
      </w:r>
      <w:r>
        <w:rPr>
          <w:rFonts w:hint="eastAsia" w:ascii="宋体" w:hAnsi="宋体" w:eastAsia="宋体" w:cs="宋体"/>
          <w:spacing w:val="14"/>
          <w:sz w:val="21"/>
          <w:szCs w:val="21"/>
        </w:rPr>
        <w:t>所包括的所有</w:t>
      </w:r>
      <w:r>
        <w:rPr>
          <w:rFonts w:hint="eastAsia" w:ascii="宋体" w:hAnsi="宋体" w:eastAsia="宋体" w:cs="宋体"/>
          <w:spacing w:val="14"/>
          <w:sz w:val="21"/>
          <w:szCs w:val="21"/>
          <w:lang w:eastAsia="zh-CN"/>
        </w:rPr>
        <w:t>清单内设备</w:t>
      </w:r>
      <w:r>
        <w:rPr>
          <w:rFonts w:hint="eastAsia" w:ascii="宋体" w:hAnsi="宋体" w:eastAsia="宋体" w:cs="宋体"/>
          <w:spacing w:val="14"/>
          <w:sz w:val="21"/>
          <w:szCs w:val="21"/>
        </w:rPr>
        <w:t>设施的维修保养。</w:t>
      </w:r>
    </w:p>
    <w:p>
      <w:pPr>
        <w:numPr>
          <w:ilvl w:val="0"/>
          <w:numId w:val="10"/>
        </w:numPr>
        <w:spacing w:line="240" w:lineRule="auto"/>
        <w:ind w:left="0" w:leftChars="0" w:firstLine="0" w:firstLineChars="0"/>
        <w:rPr>
          <w:rFonts w:hint="eastAsia" w:ascii="宋体" w:hAnsi="宋体" w:eastAsia="宋体" w:cs="宋体"/>
          <w:spacing w:val="14"/>
          <w:sz w:val="21"/>
          <w:szCs w:val="21"/>
        </w:rPr>
      </w:pPr>
      <w:r>
        <w:rPr>
          <w:rFonts w:hint="eastAsia" w:ascii="宋体" w:hAnsi="宋体" w:eastAsia="宋体" w:cs="宋体"/>
          <w:spacing w:val="14"/>
          <w:sz w:val="21"/>
          <w:szCs w:val="21"/>
        </w:rPr>
        <w:t>甲方有权随时检查维保人员工作情况，如有擅离职守、日常巡查及保养工作完成不到位等情况</w:t>
      </w:r>
      <w:r>
        <w:rPr>
          <w:rFonts w:hint="eastAsia" w:ascii="宋体" w:hAnsi="宋体" w:eastAsia="宋体" w:cs="宋体"/>
          <w:spacing w:val="14"/>
          <w:sz w:val="21"/>
          <w:szCs w:val="21"/>
          <w:lang w:eastAsia="zh-CN"/>
        </w:rPr>
        <w:t>每项</w:t>
      </w:r>
      <w:r>
        <w:rPr>
          <w:rFonts w:hint="eastAsia" w:ascii="宋体" w:hAnsi="宋体" w:eastAsia="宋体" w:cs="宋体"/>
          <w:spacing w:val="14"/>
          <w:sz w:val="21"/>
          <w:szCs w:val="21"/>
        </w:rPr>
        <w:t>罚</w:t>
      </w:r>
      <w:r>
        <w:rPr>
          <w:rFonts w:hint="eastAsia" w:ascii="宋体" w:hAnsi="宋体" w:eastAsia="宋体" w:cs="宋体"/>
          <w:spacing w:val="14"/>
          <w:sz w:val="21"/>
          <w:szCs w:val="21"/>
          <w:lang w:eastAsia="zh-CN"/>
        </w:rPr>
        <w:t>扣</w:t>
      </w:r>
      <w:r>
        <w:rPr>
          <w:rFonts w:hint="eastAsia" w:ascii="宋体" w:hAnsi="宋体" w:eastAsia="宋体" w:cs="宋体"/>
          <w:spacing w:val="14"/>
          <w:sz w:val="21"/>
          <w:szCs w:val="21"/>
          <w:lang w:val="en-US" w:eastAsia="zh-CN"/>
        </w:rPr>
        <w:t>1000</w:t>
      </w:r>
      <w:r>
        <w:rPr>
          <w:rFonts w:hint="eastAsia" w:ascii="宋体" w:hAnsi="宋体" w:eastAsia="宋体" w:cs="宋体"/>
          <w:spacing w:val="14"/>
          <w:sz w:val="21"/>
          <w:szCs w:val="21"/>
        </w:rPr>
        <w:t>元。</w:t>
      </w:r>
      <w:r>
        <w:rPr>
          <w:rFonts w:hint="eastAsia" w:ascii="宋体" w:hAnsi="宋体" w:eastAsia="宋体" w:cs="宋体"/>
          <w:spacing w:val="14"/>
          <w:sz w:val="21"/>
          <w:szCs w:val="21"/>
          <w:lang w:eastAsia="zh-CN"/>
        </w:rPr>
        <w:t>维保期间</w:t>
      </w:r>
      <w:r>
        <w:rPr>
          <w:rFonts w:hint="eastAsia" w:ascii="宋体" w:hAnsi="宋体" w:eastAsia="宋体" w:cs="宋体"/>
          <w:spacing w:val="14"/>
          <w:sz w:val="21"/>
          <w:szCs w:val="21"/>
        </w:rPr>
        <w:t>由</w:t>
      </w:r>
      <w:r>
        <w:rPr>
          <w:rFonts w:hint="eastAsia" w:ascii="宋体" w:hAnsi="宋体" w:eastAsia="宋体" w:cs="宋体"/>
          <w:spacing w:val="14"/>
          <w:sz w:val="21"/>
          <w:szCs w:val="21"/>
          <w:lang w:eastAsia="zh-CN"/>
        </w:rPr>
        <w:t>乙方</w:t>
      </w:r>
      <w:r>
        <w:rPr>
          <w:rFonts w:hint="eastAsia" w:ascii="宋体" w:hAnsi="宋体" w:eastAsia="宋体" w:cs="宋体"/>
          <w:spacing w:val="14"/>
          <w:sz w:val="21"/>
          <w:szCs w:val="21"/>
        </w:rPr>
        <w:t>工作延误导致人身、财产损失，由</w:t>
      </w:r>
      <w:r>
        <w:rPr>
          <w:rFonts w:hint="eastAsia" w:ascii="宋体" w:hAnsi="宋体" w:eastAsia="宋体" w:cs="宋体"/>
          <w:spacing w:val="14"/>
          <w:sz w:val="21"/>
          <w:szCs w:val="21"/>
          <w:lang w:eastAsia="zh-CN"/>
        </w:rPr>
        <w:t>乙</w:t>
      </w:r>
      <w:r>
        <w:rPr>
          <w:rFonts w:hint="eastAsia" w:ascii="宋体" w:hAnsi="宋体" w:eastAsia="宋体" w:cs="宋体"/>
          <w:spacing w:val="14"/>
          <w:sz w:val="21"/>
          <w:szCs w:val="21"/>
        </w:rPr>
        <w:t>方承担全部责任。</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4、</w:t>
      </w:r>
      <w:r>
        <w:rPr>
          <w:rFonts w:hint="eastAsia" w:ascii="宋体" w:hAnsi="宋体" w:eastAsia="宋体" w:cs="宋体"/>
          <w:spacing w:val="14"/>
          <w:sz w:val="21"/>
          <w:szCs w:val="21"/>
          <w:lang w:eastAsia="zh-CN"/>
        </w:rPr>
        <w:t>乙方</w:t>
      </w:r>
      <w:r>
        <w:rPr>
          <w:rFonts w:hint="eastAsia" w:ascii="宋体" w:hAnsi="宋体" w:eastAsia="宋体" w:cs="宋体"/>
          <w:spacing w:val="14"/>
          <w:sz w:val="21"/>
          <w:szCs w:val="21"/>
        </w:rPr>
        <w:t>维保人员工作期间应穿统一服装、佩戴工作证件等，维保期间</w:t>
      </w:r>
      <w:r>
        <w:rPr>
          <w:rFonts w:hint="eastAsia" w:ascii="宋体" w:hAnsi="宋体" w:eastAsia="宋体" w:cs="宋体"/>
          <w:spacing w:val="14"/>
          <w:sz w:val="21"/>
          <w:szCs w:val="21"/>
          <w:lang w:eastAsia="zh-CN"/>
        </w:rPr>
        <w:t>乙</w:t>
      </w:r>
      <w:r>
        <w:rPr>
          <w:rFonts w:hint="eastAsia" w:ascii="宋体" w:hAnsi="宋体" w:eastAsia="宋体" w:cs="宋体"/>
          <w:spacing w:val="14"/>
          <w:sz w:val="21"/>
          <w:szCs w:val="21"/>
        </w:rPr>
        <w:t>方的安全责任和由</w:t>
      </w:r>
      <w:r>
        <w:rPr>
          <w:rFonts w:hint="eastAsia" w:ascii="宋体" w:hAnsi="宋体" w:eastAsia="宋体" w:cs="宋体"/>
          <w:spacing w:val="14"/>
          <w:sz w:val="21"/>
          <w:szCs w:val="21"/>
          <w:lang w:eastAsia="zh-CN"/>
        </w:rPr>
        <w:t>乙</w:t>
      </w:r>
      <w:r>
        <w:rPr>
          <w:rFonts w:hint="eastAsia" w:ascii="宋体" w:hAnsi="宋体" w:eastAsia="宋体" w:cs="宋体"/>
          <w:spacing w:val="14"/>
          <w:sz w:val="21"/>
          <w:szCs w:val="21"/>
        </w:rPr>
        <w:t>方引起的安全责任由</w:t>
      </w:r>
      <w:r>
        <w:rPr>
          <w:rFonts w:hint="eastAsia" w:ascii="宋体" w:hAnsi="宋体" w:eastAsia="宋体" w:cs="宋体"/>
          <w:spacing w:val="14"/>
          <w:sz w:val="21"/>
          <w:szCs w:val="21"/>
          <w:lang w:eastAsia="zh-CN"/>
        </w:rPr>
        <w:t>乙</w:t>
      </w:r>
      <w:r>
        <w:rPr>
          <w:rFonts w:hint="eastAsia" w:ascii="宋体" w:hAnsi="宋体" w:eastAsia="宋体" w:cs="宋体"/>
          <w:spacing w:val="14"/>
          <w:sz w:val="21"/>
          <w:szCs w:val="21"/>
        </w:rPr>
        <w:t>方负责。</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5、</w:t>
      </w:r>
      <w:r>
        <w:rPr>
          <w:rFonts w:hint="eastAsia" w:ascii="宋体" w:hAnsi="宋体" w:eastAsia="宋体" w:cs="宋体"/>
          <w:spacing w:val="14"/>
          <w:sz w:val="21"/>
          <w:szCs w:val="21"/>
        </w:rPr>
        <w:t>每月维保工作结束时应</w:t>
      </w:r>
      <w:r>
        <w:rPr>
          <w:rFonts w:hint="eastAsia" w:ascii="宋体" w:hAnsi="宋体" w:eastAsia="宋体" w:cs="宋体"/>
          <w:spacing w:val="14"/>
          <w:sz w:val="21"/>
          <w:szCs w:val="21"/>
          <w:lang w:val="en-US" w:eastAsia="zh-CN"/>
        </w:rPr>
        <w:t>在次月5号前</w:t>
      </w:r>
      <w:r>
        <w:rPr>
          <w:rFonts w:hint="eastAsia" w:ascii="宋体" w:hAnsi="宋体" w:eastAsia="宋体" w:cs="宋体"/>
          <w:spacing w:val="14"/>
          <w:sz w:val="21"/>
          <w:szCs w:val="21"/>
        </w:rPr>
        <w:t>出具月度工作报告及相关维修保养记录</w:t>
      </w:r>
      <w:r>
        <w:rPr>
          <w:rFonts w:hint="eastAsia" w:ascii="宋体" w:hAnsi="宋体" w:eastAsia="宋体" w:cs="宋体"/>
          <w:spacing w:val="14"/>
          <w:sz w:val="21"/>
          <w:szCs w:val="21"/>
          <w:lang w:val="en-US" w:eastAsia="zh-CN"/>
        </w:rPr>
        <w:t>交付甲方，每次延迟交付</w:t>
      </w:r>
      <w:r>
        <w:rPr>
          <w:rFonts w:hint="eastAsia" w:ascii="宋体" w:hAnsi="宋体" w:eastAsia="宋体" w:cs="宋体"/>
          <w:spacing w:val="14"/>
          <w:sz w:val="21"/>
          <w:szCs w:val="21"/>
          <w:lang w:eastAsia="zh-CN"/>
        </w:rPr>
        <w:t>罚</w:t>
      </w:r>
      <w:r>
        <w:rPr>
          <w:rFonts w:hint="eastAsia" w:ascii="宋体" w:hAnsi="宋体" w:eastAsia="宋体" w:cs="宋体"/>
          <w:spacing w:val="14"/>
          <w:sz w:val="21"/>
          <w:szCs w:val="21"/>
          <w:lang w:val="en-US" w:eastAsia="zh-CN"/>
        </w:rPr>
        <w:t>扣1000元</w:t>
      </w:r>
      <w:r>
        <w:rPr>
          <w:rFonts w:hint="eastAsia" w:ascii="宋体" w:hAnsi="宋体" w:eastAsia="宋体" w:cs="宋体"/>
          <w:spacing w:val="14"/>
          <w:sz w:val="21"/>
          <w:szCs w:val="21"/>
        </w:rPr>
        <w:t>。</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6、</w:t>
      </w:r>
      <w:r>
        <w:rPr>
          <w:rFonts w:hint="eastAsia" w:ascii="宋体" w:hAnsi="宋体" w:eastAsia="宋体" w:cs="宋体"/>
          <w:spacing w:val="14"/>
          <w:sz w:val="21"/>
          <w:szCs w:val="21"/>
          <w:lang w:eastAsia="zh-CN"/>
        </w:rPr>
        <w:t>乙</w:t>
      </w:r>
      <w:r>
        <w:rPr>
          <w:rFonts w:hint="eastAsia" w:ascii="宋体" w:hAnsi="宋体" w:eastAsia="宋体" w:cs="宋体"/>
          <w:spacing w:val="14"/>
          <w:sz w:val="21"/>
          <w:szCs w:val="21"/>
        </w:rPr>
        <w:t>方应该配合</w:t>
      </w:r>
      <w:r>
        <w:rPr>
          <w:rFonts w:hint="eastAsia" w:ascii="宋体" w:hAnsi="宋体" w:eastAsia="宋体" w:cs="宋体"/>
          <w:spacing w:val="14"/>
          <w:sz w:val="21"/>
          <w:szCs w:val="21"/>
          <w:lang w:eastAsia="zh-CN"/>
        </w:rPr>
        <w:t>甲方</w:t>
      </w:r>
      <w:r>
        <w:rPr>
          <w:rFonts w:hint="eastAsia" w:ascii="宋体" w:hAnsi="宋体" w:eastAsia="宋体" w:cs="宋体"/>
          <w:spacing w:val="14"/>
          <w:sz w:val="21"/>
          <w:szCs w:val="21"/>
        </w:rPr>
        <w:t>检查，</w:t>
      </w:r>
      <w:r>
        <w:rPr>
          <w:rFonts w:hint="eastAsia" w:ascii="宋体" w:hAnsi="宋体" w:eastAsia="宋体" w:cs="宋体"/>
          <w:spacing w:val="14"/>
          <w:sz w:val="21"/>
          <w:szCs w:val="21"/>
          <w:lang w:eastAsia="zh-CN"/>
        </w:rPr>
        <w:t>乙方</w:t>
      </w:r>
      <w:r>
        <w:rPr>
          <w:rFonts w:hint="eastAsia" w:ascii="宋体" w:hAnsi="宋体" w:eastAsia="宋体" w:cs="宋体"/>
          <w:spacing w:val="14"/>
          <w:sz w:val="21"/>
          <w:szCs w:val="21"/>
        </w:rPr>
        <w:t>应认真执行国家有关规定，服从</w:t>
      </w:r>
      <w:r>
        <w:rPr>
          <w:rFonts w:hint="eastAsia" w:ascii="宋体" w:hAnsi="宋体" w:eastAsia="宋体" w:cs="宋体"/>
          <w:spacing w:val="14"/>
          <w:sz w:val="21"/>
          <w:szCs w:val="21"/>
          <w:lang w:eastAsia="zh-CN"/>
        </w:rPr>
        <w:t>甲方</w:t>
      </w:r>
      <w:r>
        <w:rPr>
          <w:rFonts w:hint="eastAsia" w:ascii="宋体" w:hAnsi="宋体" w:eastAsia="宋体" w:cs="宋体"/>
          <w:spacing w:val="14"/>
          <w:sz w:val="21"/>
          <w:szCs w:val="21"/>
        </w:rPr>
        <w:t xml:space="preserve">管理部门的技术指导和业务管理，达到要求，并承担相应的责任。  </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7、</w:t>
      </w:r>
      <w:r>
        <w:rPr>
          <w:rFonts w:hint="eastAsia" w:ascii="宋体" w:hAnsi="宋体" w:eastAsia="宋体" w:cs="宋体"/>
          <w:spacing w:val="14"/>
          <w:sz w:val="21"/>
          <w:szCs w:val="21"/>
        </w:rPr>
        <w:t>乙方驻场人员均应持有与该项目相匹配的特种作业证书方可上岗，如不符合要求条件，甲方有权提出</w:t>
      </w:r>
      <w:r>
        <w:rPr>
          <w:rFonts w:hint="eastAsia" w:ascii="宋体" w:hAnsi="宋体" w:eastAsia="宋体" w:cs="宋体"/>
          <w:b w:val="0"/>
          <w:bCs w:val="0"/>
          <w:sz w:val="21"/>
          <w:szCs w:val="21"/>
        </w:rPr>
        <w:t>更换。</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8、</w:t>
      </w:r>
      <w:r>
        <w:rPr>
          <w:rFonts w:hint="eastAsia" w:ascii="宋体" w:hAnsi="宋体" w:eastAsia="宋体" w:cs="宋体"/>
          <w:spacing w:val="14"/>
          <w:sz w:val="21"/>
          <w:szCs w:val="21"/>
        </w:rPr>
        <w:t xml:space="preserve">违约界定和处理 </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A</w:t>
      </w:r>
      <w:r>
        <w:rPr>
          <w:rFonts w:hint="eastAsia" w:ascii="宋体" w:hAnsi="宋体" w:eastAsia="宋体" w:cs="宋体"/>
          <w:spacing w:val="14"/>
          <w:sz w:val="21"/>
          <w:szCs w:val="21"/>
        </w:rPr>
        <w:t xml:space="preserve">未按规定的时间完成本合同的维保内容； </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B</w:t>
      </w:r>
      <w:r>
        <w:rPr>
          <w:rFonts w:hint="eastAsia" w:ascii="宋体" w:hAnsi="宋体" w:eastAsia="宋体" w:cs="宋体"/>
          <w:spacing w:val="14"/>
          <w:sz w:val="21"/>
          <w:szCs w:val="21"/>
        </w:rPr>
        <w:t xml:space="preserve">提供的维保服务与本合同所要求的不一致； </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C</w:t>
      </w:r>
      <w:r>
        <w:rPr>
          <w:rFonts w:hint="eastAsia" w:ascii="宋体" w:hAnsi="宋体" w:eastAsia="宋体" w:cs="宋体"/>
          <w:spacing w:val="14"/>
          <w:sz w:val="21"/>
          <w:szCs w:val="21"/>
        </w:rPr>
        <w:t xml:space="preserve">提供的零配件质量和性能有问题，按规定属不合格产品； </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D</w:t>
      </w:r>
      <w:r>
        <w:rPr>
          <w:rFonts w:hint="eastAsia" w:ascii="宋体" w:hAnsi="宋体" w:eastAsia="宋体" w:cs="宋体"/>
          <w:spacing w:val="14"/>
          <w:sz w:val="21"/>
          <w:szCs w:val="21"/>
        </w:rPr>
        <w:t xml:space="preserve">没有维保能力（或没有组织配件的能力）更新配件或维保工作采取转包的； </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E</w:t>
      </w:r>
      <w:r>
        <w:rPr>
          <w:rFonts w:hint="eastAsia" w:ascii="宋体" w:hAnsi="宋体" w:eastAsia="宋体" w:cs="宋体"/>
          <w:spacing w:val="14"/>
          <w:sz w:val="21"/>
          <w:szCs w:val="21"/>
        </w:rPr>
        <w:t>相关权威部门年度检查验收不合格；</w:t>
      </w:r>
    </w:p>
    <w:p>
      <w:pPr>
        <w:numPr>
          <w:ilvl w:val="0"/>
          <w:numId w:val="0"/>
        </w:numPr>
        <w:spacing w:line="240" w:lineRule="auto"/>
        <w:rPr>
          <w:rFonts w:hint="eastAsia" w:ascii="宋体" w:hAnsi="宋体" w:eastAsia="宋体" w:cs="宋体"/>
          <w:b w:val="0"/>
          <w:bCs w:val="0"/>
          <w:spacing w:val="14"/>
          <w:sz w:val="21"/>
          <w:szCs w:val="21"/>
          <w:lang w:eastAsia="zh-CN"/>
        </w:rPr>
      </w:pPr>
      <w:r>
        <w:rPr>
          <w:rFonts w:hint="eastAsia" w:ascii="宋体" w:hAnsi="宋体" w:eastAsia="宋体" w:cs="宋体"/>
          <w:b w:val="0"/>
          <w:bCs w:val="0"/>
          <w:spacing w:val="14"/>
          <w:sz w:val="21"/>
          <w:szCs w:val="21"/>
        </w:rPr>
        <w:t>处理约定：</w:t>
      </w:r>
      <w:r>
        <w:rPr>
          <w:rFonts w:hint="eastAsia" w:ascii="宋体" w:hAnsi="宋体" w:eastAsia="宋体" w:cs="宋体"/>
          <w:spacing w:val="14"/>
          <w:sz w:val="21"/>
          <w:szCs w:val="21"/>
          <w:lang w:eastAsia="zh-CN"/>
        </w:rPr>
        <w:t>乙方</w:t>
      </w:r>
      <w:r>
        <w:rPr>
          <w:rFonts w:hint="eastAsia" w:ascii="宋体" w:hAnsi="宋体" w:eastAsia="宋体" w:cs="宋体"/>
          <w:b w:val="0"/>
          <w:bCs w:val="0"/>
          <w:spacing w:val="14"/>
          <w:sz w:val="21"/>
          <w:szCs w:val="21"/>
          <w:lang w:eastAsia="zh-CN"/>
        </w:rPr>
        <w:t>若有上述违约情况之一的，</w:t>
      </w:r>
      <w:r>
        <w:rPr>
          <w:rFonts w:hint="eastAsia" w:ascii="宋体" w:hAnsi="宋体" w:eastAsia="宋体" w:cs="宋体"/>
          <w:spacing w:val="14"/>
          <w:sz w:val="21"/>
          <w:szCs w:val="21"/>
        </w:rPr>
        <w:t>将视为违约</w:t>
      </w:r>
      <w:r>
        <w:rPr>
          <w:rFonts w:hint="eastAsia" w:ascii="宋体" w:hAnsi="宋体" w:eastAsia="宋体" w:cs="宋体"/>
          <w:spacing w:val="14"/>
          <w:sz w:val="21"/>
          <w:szCs w:val="21"/>
          <w:lang w:eastAsia="zh-CN"/>
        </w:rPr>
        <w:t>，</w:t>
      </w:r>
      <w:r>
        <w:rPr>
          <w:rFonts w:hint="eastAsia" w:ascii="宋体" w:hAnsi="宋体" w:eastAsia="宋体" w:cs="宋体"/>
          <w:b w:val="0"/>
          <w:bCs w:val="0"/>
          <w:spacing w:val="14"/>
          <w:sz w:val="21"/>
          <w:szCs w:val="21"/>
          <w:lang w:eastAsia="zh-CN"/>
        </w:rPr>
        <w:t>罚扣当年维保合同金额的</w:t>
      </w:r>
      <w:r>
        <w:rPr>
          <w:rFonts w:hint="eastAsia" w:ascii="宋体" w:hAnsi="宋体" w:eastAsia="宋体" w:cs="宋体"/>
          <w:b w:val="0"/>
          <w:bCs w:val="0"/>
          <w:spacing w:val="14"/>
          <w:sz w:val="21"/>
          <w:szCs w:val="21"/>
        </w:rPr>
        <w:t>10%</w:t>
      </w:r>
      <w:r>
        <w:rPr>
          <w:rFonts w:hint="eastAsia" w:ascii="宋体" w:hAnsi="宋体" w:eastAsia="宋体" w:cs="宋体"/>
          <w:b w:val="0"/>
          <w:bCs w:val="0"/>
          <w:spacing w:val="14"/>
          <w:sz w:val="21"/>
          <w:szCs w:val="21"/>
          <w:lang w:eastAsia="zh-CN"/>
        </w:rPr>
        <w:t>。拒不改正的，合约解除，并赔偿甲方所有损失。</w:t>
      </w:r>
    </w:p>
    <w:p>
      <w:pPr>
        <w:numPr>
          <w:ilvl w:val="0"/>
          <w:numId w:val="0"/>
        </w:numPr>
        <w:spacing w:line="240" w:lineRule="auto"/>
        <w:ind w:leftChars="0"/>
        <w:rPr>
          <w:rFonts w:hint="eastAsia" w:ascii="宋体" w:hAnsi="宋体" w:eastAsia="宋体" w:cs="宋体"/>
          <w:sz w:val="21"/>
          <w:szCs w:val="21"/>
          <w:lang w:val="en-US" w:eastAsia="zh-CN"/>
        </w:rPr>
      </w:pPr>
      <w:r>
        <w:rPr>
          <w:rFonts w:hint="eastAsia" w:ascii="宋体" w:hAnsi="宋体" w:eastAsia="宋体" w:cs="宋体"/>
          <w:bCs/>
          <w:snapToGrid w:val="0"/>
          <w:kern w:val="21"/>
          <w:sz w:val="21"/>
          <w:szCs w:val="21"/>
          <w:lang w:val="en-US" w:eastAsia="zh-CN"/>
        </w:rPr>
        <w:t xml:space="preserve">12、运行参数正常： </w:t>
      </w:r>
      <w:r>
        <w:rPr>
          <w:rFonts w:hint="eastAsia" w:ascii="宋体" w:hAnsi="宋体" w:eastAsia="宋体" w:cs="宋体"/>
          <w:sz w:val="21"/>
          <w:szCs w:val="21"/>
          <w:lang w:val="en-US" w:eastAsia="zh-CN"/>
        </w:rPr>
        <w:t>保证甲方设备安全运行，保障24小时不间断安全运行，因设备异常或乙方操作不当引起的事故，所造成的损失，乙方负全责。</w:t>
      </w:r>
    </w:p>
    <w:p>
      <w:pPr>
        <w:numPr>
          <w:ilvl w:val="0"/>
          <w:numId w:val="0"/>
        </w:numPr>
        <w:spacing w:line="240" w:lineRule="auto"/>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13、设备： 设备外观平整，功能正常无缺。</w:t>
      </w:r>
    </w:p>
    <w:p>
      <w:pPr>
        <w:numPr>
          <w:ilvl w:val="0"/>
          <w:numId w:val="0"/>
        </w:numPr>
        <w:spacing w:line="240" w:lineRule="auto"/>
        <w:jc w:val="left"/>
        <w:rPr>
          <w:rFonts w:hint="eastAsia" w:ascii="宋体" w:hAnsi="宋体" w:eastAsia="宋体" w:cs="宋体"/>
          <w:sz w:val="21"/>
          <w:szCs w:val="21"/>
          <w:lang w:val="en-US" w:eastAsia="zh-CN"/>
        </w:rPr>
      </w:pPr>
      <w:r>
        <w:rPr>
          <w:rFonts w:hint="eastAsia" w:ascii="宋体" w:hAnsi="宋体" w:eastAsia="宋体" w:cs="宋体"/>
          <w:bCs/>
          <w:snapToGrid w:val="0"/>
          <w:kern w:val="21"/>
          <w:sz w:val="21"/>
          <w:szCs w:val="21"/>
          <w:lang w:val="en-US" w:eastAsia="zh-CN"/>
        </w:rPr>
        <w:t xml:space="preserve">14、文档齐全： </w:t>
      </w:r>
      <w:r>
        <w:rPr>
          <w:rFonts w:hint="eastAsia" w:ascii="宋体" w:hAnsi="宋体" w:eastAsia="宋体" w:cs="宋体"/>
          <w:sz w:val="21"/>
          <w:szCs w:val="21"/>
          <w:lang w:val="en-US" w:eastAsia="zh-CN"/>
        </w:rPr>
        <w:t>每月5日前递交上一月度维保报告、巡检记录、维修记录，甲方签字认可，缺少一次按照不低于1000元罚扣。</w:t>
      </w:r>
    </w:p>
    <w:p>
      <w:pPr>
        <w:numPr>
          <w:ilvl w:val="0"/>
          <w:numId w:val="0"/>
        </w:numPr>
        <w:spacing w:line="240" w:lineRule="auto"/>
        <w:jc w:val="left"/>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八</w:t>
      </w:r>
      <w:r>
        <w:rPr>
          <w:rFonts w:hint="eastAsia" w:ascii="宋体" w:hAnsi="宋体" w:eastAsia="宋体" w:cs="宋体"/>
          <w:b/>
          <w:bCs/>
          <w:sz w:val="21"/>
          <w:szCs w:val="21"/>
          <w:lang w:val="en-US" w:eastAsia="zh-CN"/>
        </w:rPr>
        <w:t>、人员要求</w:t>
      </w:r>
    </w:p>
    <w:p>
      <w:pPr>
        <w:numPr>
          <w:ilvl w:val="0"/>
          <w:numId w:val="0"/>
        </w:numPr>
        <w:spacing w:line="240" w:lineRule="auto"/>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w:t>
      </w:r>
      <w:r>
        <w:rPr>
          <w:rFonts w:hint="eastAsia" w:ascii="宋体" w:hAnsi="宋体" w:eastAsia="宋体" w:cs="宋体"/>
          <w:spacing w:val="14"/>
          <w:sz w:val="21"/>
          <w:szCs w:val="21"/>
        </w:rPr>
        <w:t>应建立人员行为规范（包括统一着装、佩戴标识、仪表仪容整洁等）、职业素质与技能培训机制、从业人员保密制度、人员激励及处罚机制等。</w:t>
      </w:r>
    </w:p>
    <w:p>
      <w:pPr>
        <w:numPr>
          <w:ilvl w:val="0"/>
          <w:numId w:val="0"/>
        </w:numPr>
        <w:spacing w:line="240" w:lineRule="auto"/>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2、</w:t>
      </w:r>
      <w:r>
        <w:rPr>
          <w:rFonts w:hint="eastAsia" w:ascii="宋体" w:hAnsi="宋体" w:eastAsia="宋体" w:cs="宋体"/>
          <w:spacing w:val="14"/>
          <w:sz w:val="21"/>
          <w:szCs w:val="21"/>
          <w:lang w:eastAsia="zh-CN"/>
        </w:rPr>
        <w:t>乙方</w:t>
      </w:r>
      <w:r>
        <w:rPr>
          <w:rFonts w:hint="eastAsia" w:ascii="宋体" w:hAnsi="宋体" w:eastAsia="宋体" w:cs="宋体"/>
          <w:spacing w:val="14"/>
          <w:sz w:val="21"/>
          <w:szCs w:val="21"/>
        </w:rPr>
        <w:t>人员应经过专业技术培训且考核合格，具有相应的工作实践经验的操作人员。应熟悉并掌握设备结构、性能、工作原理、操作方法及使用维修保养知识。</w:t>
      </w:r>
    </w:p>
    <w:p>
      <w:pPr>
        <w:numPr>
          <w:ilvl w:val="0"/>
          <w:numId w:val="0"/>
        </w:numPr>
        <w:spacing w:line="240" w:lineRule="auto"/>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3、</w:t>
      </w:r>
      <w:r>
        <w:rPr>
          <w:rFonts w:hint="eastAsia" w:ascii="宋体" w:hAnsi="宋体" w:eastAsia="宋体" w:cs="宋体"/>
          <w:spacing w:val="14"/>
          <w:sz w:val="21"/>
          <w:szCs w:val="21"/>
        </w:rPr>
        <w:t>工程经理</w:t>
      </w:r>
      <w:r>
        <w:rPr>
          <w:rFonts w:hint="eastAsia" w:ascii="宋体" w:hAnsi="宋体" w:eastAsia="宋体" w:cs="宋体"/>
          <w:spacing w:val="14"/>
          <w:sz w:val="21"/>
          <w:szCs w:val="21"/>
          <w:lang w:eastAsia="zh-CN"/>
        </w:rPr>
        <w:t>：</w:t>
      </w:r>
      <w:r>
        <w:rPr>
          <w:rFonts w:hint="eastAsia" w:ascii="宋体" w:hAnsi="宋体" w:eastAsia="宋体" w:cs="宋体"/>
          <w:spacing w:val="14"/>
          <w:sz w:val="21"/>
          <w:szCs w:val="21"/>
        </w:rPr>
        <w:t>年龄不足55周岁</w:t>
      </w:r>
      <w:r>
        <w:rPr>
          <w:rFonts w:hint="eastAsia" w:ascii="宋体" w:hAnsi="宋体" w:eastAsia="宋体" w:cs="宋体"/>
          <w:spacing w:val="14"/>
          <w:sz w:val="21"/>
          <w:szCs w:val="21"/>
          <w:lang w:eastAsia="zh-CN"/>
        </w:rPr>
        <w:t>，</w:t>
      </w:r>
      <w:r>
        <w:rPr>
          <w:rFonts w:hint="eastAsia" w:ascii="宋体" w:hAnsi="宋体" w:eastAsia="宋体" w:cs="宋体"/>
          <w:spacing w:val="14"/>
          <w:sz w:val="21"/>
          <w:szCs w:val="21"/>
        </w:rPr>
        <w:t>具有大专及以上学历</w:t>
      </w:r>
    </w:p>
    <w:p>
      <w:pPr>
        <w:numPr>
          <w:ilvl w:val="0"/>
          <w:numId w:val="0"/>
        </w:numPr>
        <w:spacing w:line="240" w:lineRule="auto"/>
        <w:rPr>
          <w:rFonts w:hint="eastAsia" w:ascii="宋体" w:hAnsi="宋体" w:eastAsia="宋体" w:cs="宋体"/>
          <w:spacing w:val="14"/>
          <w:sz w:val="21"/>
          <w:szCs w:val="21"/>
          <w:lang w:eastAsia="zh-CN"/>
        </w:rPr>
      </w:pPr>
      <w:r>
        <w:rPr>
          <w:rFonts w:hint="eastAsia" w:ascii="宋体" w:hAnsi="宋体" w:eastAsia="宋体" w:cs="宋体"/>
          <w:spacing w:val="14"/>
          <w:sz w:val="21"/>
          <w:szCs w:val="21"/>
          <w:lang w:val="en-US" w:eastAsia="zh-CN"/>
        </w:rPr>
        <w:t>4、</w:t>
      </w:r>
      <w:r>
        <w:rPr>
          <w:rFonts w:hint="eastAsia" w:ascii="宋体" w:hAnsi="宋体" w:eastAsia="宋体" w:cs="宋体"/>
          <w:spacing w:val="14"/>
          <w:sz w:val="21"/>
          <w:szCs w:val="21"/>
          <w:lang w:eastAsia="zh-CN"/>
        </w:rPr>
        <w:t>操作人员需具有下述证照：</w:t>
      </w:r>
    </w:p>
    <w:p>
      <w:pPr>
        <w:numPr>
          <w:ilvl w:val="0"/>
          <w:numId w:val="0"/>
        </w:numPr>
        <w:spacing w:line="240" w:lineRule="auto"/>
        <w:ind w:left="420" w:leftChars="0"/>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锅炉房：“工业锅炉（G1）”、“固定式压力容器操作（R1）”。</w:t>
      </w:r>
    </w:p>
    <w:p>
      <w:pPr>
        <w:numPr>
          <w:ilvl w:val="0"/>
          <w:numId w:val="0"/>
        </w:numPr>
        <w:spacing w:line="240" w:lineRule="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5、维保厂商接院方故障报修后，20分钟内维修人员到达现场，1小时内将故障排除，并免费提供备机服务。</w:t>
      </w:r>
    </w:p>
    <w:p>
      <w:pPr>
        <w:numPr>
          <w:ilvl w:val="0"/>
          <w:numId w:val="0"/>
        </w:numPr>
        <w:spacing w:line="240" w:lineRule="auto"/>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6、提供人员驻场服务：供暖季11月15日-次年3月15日，驻场人员1人。</w:t>
      </w:r>
    </w:p>
    <w:p>
      <w:pPr>
        <w:jc w:val="both"/>
        <w:rPr>
          <w:rFonts w:hint="eastAsia" w:ascii="宋体" w:hAnsi="宋体"/>
          <w:b/>
          <w:bCs w:val="0"/>
          <w:snapToGrid w:val="0"/>
          <w:kern w:val="21"/>
          <w:sz w:val="21"/>
          <w:szCs w:val="21"/>
          <w:lang w:val="en-US" w:eastAsia="zh-CN"/>
        </w:rPr>
      </w:pPr>
      <w:r>
        <w:rPr>
          <w:rFonts w:hint="eastAsia" w:ascii="宋体" w:hAnsi="宋体" w:cs="宋体"/>
          <w:b/>
          <w:bCs/>
          <w:i w:val="0"/>
          <w:iCs w:val="0"/>
          <w:color w:val="000000"/>
          <w:sz w:val="21"/>
          <w:szCs w:val="21"/>
          <w:u w:val="none"/>
          <w:lang w:eastAsia="zh-CN"/>
        </w:rPr>
        <w:t>九</w:t>
      </w:r>
      <w:r>
        <w:rPr>
          <w:rFonts w:hint="eastAsia" w:ascii="宋体" w:hAnsi="宋体" w:eastAsia="宋体" w:cs="宋体"/>
          <w:b/>
          <w:bCs/>
          <w:i w:val="0"/>
          <w:iCs w:val="0"/>
          <w:color w:val="000000"/>
          <w:sz w:val="21"/>
          <w:szCs w:val="21"/>
          <w:u w:val="none"/>
          <w:lang w:eastAsia="zh-CN"/>
        </w:rPr>
        <w:t>、维保设备清单</w:t>
      </w:r>
    </w:p>
    <w:tbl>
      <w:tblPr>
        <w:tblStyle w:val="35"/>
        <w:tblW w:w="84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2564"/>
        <w:gridCol w:w="3573"/>
        <w:gridCol w:w="733"/>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32" w:type="dxa"/>
            <w:gridSpan w:val="5"/>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设备名称</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参数/维保要求</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p>
        </w:tc>
        <w:tc>
          <w:tcPr>
            <w:tcW w:w="2564"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DFKai-SB" w:eastAsia="宋体"/>
                <w:lang w:eastAsia="zh-CN"/>
              </w:rPr>
              <w:t>锅炉本体</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DFKai-SB" w:eastAsia="宋体"/>
                <w:lang w:eastAsia="zh-CN"/>
              </w:rPr>
              <w:t>1、安全阀、压力表、人孔（拆除、安装、校验）年检时进行</w:t>
            </w:r>
          </w:p>
        </w:tc>
        <w:tc>
          <w:tcPr>
            <w:tcW w:w="733"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DFKai-SB" w:eastAsia="宋体"/>
                <w:lang w:eastAsia="zh-CN"/>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DFKai-SB" w:eastAsia="宋体"/>
                <w:lang w:eastAsia="zh-CN"/>
              </w:rPr>
            </w:pPr>
            <w:r>
              <w:rPr>
                <w:rFonts w:hint="eastAsia" w:ascii="DFKai-SB" w:eastAsia="宋体"/>
                <w:lang w:eastAsia="zh-CN"/>
              </w:rPr>
              <w:t>2、燃烧器、烟火管、烟道清理恢复（换季时进行）</w:t>
            </w:r>
          </w:p>
        </w:tc>
        <w:tc>
          <w:tcPr>
            <w:tcW w:w="733"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29"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p>
        </w:tc>
        <w:tc>
          <w:tcPr>
            <w:tcW w:w="2564" w:type="dxa"/>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DFKai-SB" w:eastAsia="宋体"/>
                <w:lang w:eastAsia="zh-CN"/>
              </w:rPr>
            </w:pPr>
            <w:r>
              <w:rPr>
                <w:rFonts w:hint="eastAsia" w:ascii="DFKai-SB" w:eastAsia="宋体"/>
                <w:lang w:eastAsia="zh-CN"/>
              </w:rPr>
              <w:t>蒸汽锅炉</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DFKai-SB" w:eastAsia="宋体"/>
                <w:lang w:val="en-US" w:eastAsia="zh-CN"/>
              </w:rPr>
            </w:pPr>
            <w:r>
              <w:rPr>
                <w:rFonts w:hint="eastAsia" w:ascii="DFKai-SB" w:eastAsia="宋体"/>
                <w:lang w:eastAsia="zh-CN"/>
              </w:rPr>
              <w:t>法罗力</w:t>
            </w:r>
            <w:r>
              <w:rPr>
                <w:rFonts w:hint="eastAsia" w:ascii="DFKai-SB" w:eastAsia="宋体"/>
                <w:lang w:val="en-US" w:eastAsia="zh-CN"/>
              </w:rPr>
              <w:t>3t/h蒸汽锅炉</w:t>
            </w:r>
          </w:p>
        </w:tc>
        <w:tc>
          <w:tcPr>
            <w:tcW w:w="733" w:type="dxa"/>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p>
        </w:tc>
        <w:tc>
          <w:tcPr>
            <w:tcW w:w="2564" w:type="dxa"/>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DFKai-SB" w:eastAsia="宋体"/>
                <w:lang w:eastAsia="zh-CN"/>
              </w:rPr>
            </w:pPr>
            <w:r>
              <w:rPr>
                <w:rFonts w:hint="eastAsia" w:ascii="DFKai-SB" w:eastAsia="宋体"/>
                <w:lang w:eastAsia="zh-CN"/>
              </w:rPr>
              <w:t>蒸汽锅炉</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DFKai-SB" w:eastAsia="宋体"/>
                <w:lang w:eastAsia="zh-CN"/>
              </w:rPr>
            </w:pPr>
            <w:r>
              <w:rPr>
                <w:rFonts w:hint="eastAsia" w:ascii="DFKai-SB" w:eastAsia="宋体"/>
                <w:lang w:eastAsia="zh-CN"/>
              </w:rPr>
              <w:t>法罗力</w:t>
            </w:r>
            <w:r>
              <w:rPr>
                <w:rFonts w:hint="eastAsia" w:ascii="DFKai-SB" w:eastAsia="宋体"/>
                <w:lang w:val="en-US" w:eastAsia="zh-CN"/>
              </w:rPr>
              <w:t>4t/h蒸汽锅炉</w:t>
            </w:r>
          </w:p>
        </w:tc>
        <w:tc>
          <w:tcPr>
            <w:tcW w:w="733" w:type="dxa"/>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p>
        </w:tc>
        <w:tc>
          <w:tcPr>
            <w:tcW w:w="2564" w:type="dxa"/>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DFKai-SB" w:eastAsia="宋体"/>
                <w:lang w:eastAsia="zh-CN"/>
              </w:rPr>
            </w:pPr>
            <w:r>
              <w:rPr>
                <w:rFonts w:hint="eastAsia" w:ascii="DFKai-SB" w:eastAsia="宋体"/>
                <w:lang w:eastAsia="zh-CN"/>
              </w:rPr>
              <w:t>热水锅炉</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DFKai-SB" w:eastAsia="宋体"/>
                <w:lang w:val="en-US" w:eastAsia="zh-CN"/>
              </w:rPr>
            </w:pPr>
            <w:r>
              <w:rPr>
                <w:rFonts w:hint="eastAsia" w:ascii="DFKai-SB" w:eastAsia="宋体"/>
                <w:lang w:eastAsia="zh-CN"/>
              </w:rPr>
              <w:t>法罗力热水锅炉</w:t>
            </w:r>
            <w:r>
              <w:rPr>
                <w:rFonts w:hint="eastAsia" w:ascii="DFKai-SB" w:eastAsia="宋体"/>
                <w:lang w:val="en-US" w:eastAsia="zh-CN"/>
              </w:rPr>
              <w:t>5.6MW</w:t>
            </w:r>
          </w:p>
        </w:tc>
        <w:tc>
          <w:tcPr>
            <w:tcW w:w="733" w:type="dxa"/>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733"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564"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DFKai-SB" w:eastAsia="宋体"/>
                <w:lang w:eastAsia="zh-CN"/>
              </w:rPr>
              <w:t>2、燃烧器、烟火管、烟道清理恢复（换季时进行）</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DFKai-SB" w:eastAsia="宋体"/>
                <w:lang w:val="en-US" w:eastAsia="zh-CN"/>
              </w:rPr>
              <w:t>1、</w:t>
            </w:r>
            <w:r>
              <w:rPr>
                <w:rFonts w:hint="eastAsia" w:ascii="DFKai-SB" w:eastAsia="宋体"/>
                <w:lang w:eastAsia="zh-CN"/>
              </w:rPr>
              <w:t>燃烧器调试、调整风气配比</w:t>
            </w:r>
          </w:p>
        </w:tc>
        <w:tc>
          <w:tcPr>
            <w:tcW w:w="733"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DFKai-SB" w:eastAsia="宋体"/>
                <w:lang w:eastAsia="zh-CN"/>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r>
              <w:rPr>
                <w:rFonts w:hint="eastAsia" w:ascii="DFKai-SB" w:eastAsia="宋体"/>
                <w:lang w:eastAsia="zh-CN"/>
              </w:rPr>
              <w:t>检查燃烧器控制系统、检测火焰尾气排放是否达标</w:t>
            </w:r>
          </w:p>
        </w:tc>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29"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DFKai-SB" w:eastAsia="宋体"/>
                <w:lang w:eastAsia="zh-CN"/>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r>
              <w:rPr>
                <w:rFonts w:hint="eastAsia" w:ascii="DFKai-SB" w:eastAsia="宋体"/>
                <w:lang w:eastAsia="zh-CN"/>
              </w:rPr>
              <w:t>清理燃烧头、火焰盘、点火电极、火焰检测系统</w:t>
            </w:r>
          </w:p>
        </w:tc>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29"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DFKai-SB" w:eastAsia="宋体"/>
                <w:lang w:eastAsia="zh-CN"/>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4、燃气表间管道是否存在腐蚀、</w:t>
            </w:r>
            <w:r>
              <w:rPr>
                <w:rFonts w:hint="eastAsia" w:ascii="DFKai-SB" w:eastAsia="宋体"/>
                <w:lang w:val="en-US" w:eastAsia="zh-CN"/>
              </w:rPr>
              <w:t>燃气过滤器吹扫清洁</w:t>
            </w:r>
          </w:p>
        </w:tc>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29"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733"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DFKai-SB" w:eastAsia="宋体"/>
                <w:lang w:eastAsia="zh-CN"/>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r>
              <w:rPr>
                <w:rFonts w:hint="eastAsia" w:ascii="DFKai-SB" w:eastAsia="宋体"/>
                <w:lang w:val="en-US" w:eastAsia="zh-CN"/>
              </w:rPr>
              <w:t>检查燃烧机各零部件运行状态及紧固。</w:t>
            </w:r>
          </w:p>
        </w:tc>
        <w:tc>
          <w:tcPr>
            <w:tcW w:w="733"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29"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733"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2564"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DFKai-SB" w:eastAsia="宋体"/>
                <w:lang w:eastAsia="zh-CN"/>
              </w:rPr>
              <w:t>循环泵、补水泵</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DFKai-SB" w:eastAsia="宋体"/>
                <w:lang w:eastAsia="zh-CN"/>
              </w:rPr>
              <w:t>1、循环泵、补水泵检查运转有无异常噪音</w:t>
            </w:r>
          </w:p>
        </w:tc>
        <w:tc>
          <w:tcPr>
            <w:tcW w:w="733"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829"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DFKai-SB" w:eastAsia="宋体"/>
                <w:lang w:eastAsia="zh-CN"/>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DFKai-SB" w:eastAsia="宋体"/>
                <w:lang w:eastAsia="zh-CN"/>
              </w:rPr>
              <w:t>2、水泵运转情况、地脚固定螺栓紧固</w:t>
            </w:r>
          </w:p>
        </w:tc>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c>
          <w:tcPr>
            <w:tcW w:w="829"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DFKai-SB" w:eastAsia="宋体"/>
                <w:lang w:eastAsia="zh-CN"/>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DFKai-SB" w:eastAsia="宋体"/>
                <w:lang w:val="en-US" w:eastAsia="zh-CN"/>
              </w:rPr>
              <w:t>3、水泵轴承加油，保证润滑良好</w:t>
            </w:r>
          </w:p>
        </w:tc>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c>
          <w:tcPr>
            <w:tcW w:w="829"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DFKai-SB" w:eastAsia="宋体"/>
                <w:lang w:eastAsia="zh-CN"/>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DFKai-SB" w:eastAsia="宋体"/>
                <w:lang w:val="en-US" w:eastAsia="zh-CN"/>
              </w:rPr>
              <w:t>4、</w:t>
            </w:r>
            <w:r>
              <w:rPr>
                <w:rFonts w:hint="eastAsia" w:ascii="DFKai-SB" w:eastAsia="宋体"/>
                <w:lang w:eastAsia="zh-CN"/>
              </w:rPr>
              <w:t>检查止回阀是否灵敏、严密，泵前后过滤器清洁并恢复。</w:t>
            </w:r>
          </w:p>
        </w:tc>
        <w:tc>
          <w:tcPr>
            <w:tcW w:w="733"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c>
          <w:tcPr>
            <w:tcW w:w="829"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256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DFKai-SB" w:eastAsia="宋体"/>
                <w:lang w:val="en-US" w:eastAsia="zh-CN"/>
              </w:rPr>
              <w:t>5、</w:t>
            </w:r>
            <w:r>
              <w:rPr>
                <w:rFonts w:hint="eastAsia" w:ascii="DFKai-SB" w:eastAsia="宋体"/>
                <w:lang w:eastAsia="zh-CN"/>
              </w:rPr>
              <w:t>压力容器（热力脱氧槽、连续排污扩容器、分气缸）检查运行正常。</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564" w:type="dxa"/>
            <w:vMerge w:val="restart"/>
            <w:tcBorders>
              <w:top w:val="single" w:color="000000" w:sz="4" w:space="0"/>
              <w:left w:val="single" w:color="000000" w:sz="4" w:space="0"/>
              <w:right w:val="single" w:color="000000" w:sz="4" w:space="0"/>
            </w:tcBorders>
            <w:shd w:val="clear" w:color="auto" w:fill="auto"/>
            <w:noWrap/>
            <w:vAlign w:val="center"/>
          </w:tcPr>
          <w:p>
            <w:pPr>
              <w:ind w:right="-28"/>
              <w:jc w:val="center"/>
              <w:rPr>
                <w:rFonts w:hint="eastAsia" w:ascii="DFKai-SB" w:eastAsia="宋体"/>
                <w:lang w:eastAsia="zh-CN"/>
              </w:rPr>
            </w:pPr>
            <w:r>
              <w:rPr>
                <w:rFonts w:hint="eastAsia" w:ascii="DFKai-SB" w:eastAsia="宋体"/>
                <w:lang w:eastAsia="zh-CN"/>
              </w:rPr>
              <w:t>电控柜</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DFKai-SB" w:eastAsia="宋体"/>
                <w:lang w:val="en-US" w:eastAsia="zh-CN"/>
              </w:rPr>
              <w:t>1、</w:t>
            </w:r>
            <w:r>
              <w:rPr>
                <w:rFonts w:hint="eastAsia" w:ascii="DFKai-SB" w:eastAsia="宋体"/>
                <w:lang w:eastAsia="zh-CN"/>
              </w:rPr>
              <w:t>控制柜至燃烧机、锅炉本体电路连接是否良好并紧固</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DFKai-SB" w:eastAsia="宋体"/>
                <w:lang w:val="en-US" w:eastAsia="zh-CN"/>
              </w:rPr>
            </w:pPr>
            <w:r>
              <w:rPr>
                <w:rFonts w:hint="eastAsia" w:ascii="DFKai-SB" w:eastAsia="宋体"/>
                <w:lang w:val="en-US" w:eastAsia="zh-CN"/>
              </w:rPr>
              <w:t>2、</w:t>
            </w:r>
            <w:r>
              <w:rPr>
                <w:rFonts w:hint="eastAsia" w:ascii="DFKai-SB" w:eastAsia="宋体"/>
                <w:lang w:eastAsia="zh-CN"/>
              </w:rPr>
              <w:t>燃烧机控制线路是否良好</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DFKai-SB" w:eastAsia="宋体"/>
                <w:lang w:val="en-US" w:eastAsia="zh-CN"/>
              </w:rPr>
            </w:pPr>
            <w:r>
              <w:rPr>
                <w:rFonts w:hint="eastAsia" w:ascii="DFKai-SB" w:eastAsia="宋体"/>
                <w:lang w:val="en-US" w:eastAsia="zh-CN"/>
              </w:rPr>
              <w:t>3、</w:t>
            </w:r>
            <w:r>
              <w:rPr>
                <w:rFonts w:hint="eastAsia" w:ascii="DFKai-SB" w:eastAsia="宋体"/>
                <w:lang w:eastAsia="zh-CN"/>
              </w:rPr>
              <w:t>温度信号传感器是否准确</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256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DFKai-SB" w:eastAsia="宋体"/>
                <w:lang w:val="en-US" w:eastAsia="zh-CN"/>
              </w:rPr>
            </w:pPr>
            <w:r>
              <w:rPr>
                <w:rFonts w:hint="eastAsia" w:ascii="DFKai-SB" w:eastAsia="宋体"/>
                <w:lang w:val="en-US" w:eastAsia="zh-CN"/>
              </w:rPr>
              <w:t>4、</w:t>
            </w:r>
            <w:r>
              <w:rPr>
                <w:rFonts w:hint="eastAsia" w:ascii="DFKai-SB" w:eastAsia="宋体"/>
                <w:lang w:eastAsia="zh-CN"/>
              </w:rPr>
              <w:t>压力开关信号传输是否准确</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电控柜</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DFKai-SB" w:eastAsia="宋体"/>
                <w:lang w:val="en-US" w:eastAsia="zh-CN"/>
              </w:rPr>
              <w:t>1、锅炉上位机信号传输（信号是否传输准确）</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智能化监控系统</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维修维护</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软化水器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全自动式，流量10m³/h</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软化水箱</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2400x1200x3000，304不锈钢材质</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压力表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0-1.6mp</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温度计</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11</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安全阀</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12</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蝶阀/闸阀</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电动蝶阀</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热水系统管道电动阀</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w:t>
            </w:r>
          </w:p>
        </w:tc>
      </w:tr>
    </w:tbl>
    <w:p>
      <w:pPr>
        <w:pStyle w:val="2"/>
        <w:numPr>
          <w:numId w:val="0"/>
        </w:numPr>
        <w:rPr>
          <w:rFonts w:hint="eastAsia"/>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十、评标方法和评审标准</w:t>
      </w:r>
      <w:bookmarkEnd w:id="0"/>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p>
    <w:p>
      <w:pPr>
        <w:pStyle w:val="22"/>
        <w:spacing w:line="240" w:lineRule="auto"/>
        <w:ind w:firstLine="440" w:firstLineChars="200"/>
        <w:rPr>
          <w:rFonts w:hint="eastAsia" w:ascii="幼圆" w:hAnsi="幼圆" w:eastAsia="幼圆" w:cs="幼圆"/>
          <w:lang w:val="en-US" w:eastAsia="zh-CN"/>
        </w:rPr>
      </w:pPr>
      <w:r>
        <w:rPr>
          <w:rFonts w:hint="eastAsia" w:ascii="幼圆" w:hAnsi="幼圆" w:eastAsia="幼圆" w:cs="幼圆"/>
          <w:lang w:val="en-US" w:eastAsia="zh-CN"/>
        </w:rPr>
        <w:t>本次评标采用</w:t>
      </w:r>
      <w:r>
        <w:rPr>
          <w:rFonts w:hint="eastAsia" w:ascii="幼圆" w:hAnsi="幼圆" w:eastAsia="幼圆" w:cs="幼圆"/>
          <w:b/>
          <w:bCs/>
          <w:lang w:val="en-US" w:eastAsia="zh-CN"/>
        </w:rPr>
        <w:t>综合评分法</w:t>
      </w:r>
      <w:r>
        <w:rPr>
          <w:rFonts w:hint="eastAsia" w:ascii="幼圆" w:hAnsi="幼圆" w:eastAsia="幼圆" w:cs="幼圆"/>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24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w:t>
      </w:r>
      <w:r>
        <w:rPr>
          <w:rFonts w:hint="eastAsia" w:ascii="幼圆" w:hAnsi="幼圆" w:eastAsia="幼圆" w:cs="幼圆"/>
          <w:b/>
          <w:bCs/>
          <w:sz w:val="24"/>
          <w:szCs w:val="20"/>
        </w:rPr>
        <w:t>.</w:t>
      </w:r>
      <w:r>
        <w:rPr>
          <w:rFonts w:hint="eastAsia" w:ascii="幼圆" w:hAnsi="幼圆" w:eastAsia="幼圆" w:cs="幼圆"/>
          <w:b/>
          <w:bCs/>
          <w:sz w:val="24"/>
          <w:szCs w:val="20"/>
          <w:lang w:val="en-US" w:eastAsia="zh-CN"/>
        </w:rPr>
        <w:t>评分标准</w:t>
      </w:r>
    </w:p>
    <w:tbl>
      <w:tblPr>
        <w:tblStyle w:val="35"/>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776"/>
        <w:gridCol w:w="1665"/>
        <w:gridCol w:w="574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b/>
                <w:bCs/>
                <w:highlight w:val="none"/>
              </w:rPr>
            </w:pPr>
            <w:bookmarkStart w:id="1" w:name="_Hlk536608376"/>
            <w:r>
              <w:rPr>
                <w:rFonts w:hint="eastAsia" w:ascii="幼圆" w:hAnsi="幼圆" w:eastAsia="幼圆" w:cs="幼圆"/>
                <w:b/>
                <w:bCs/>
                <w:highlight w:val="none"/>
              </w:rPr>
              <w:t>内容</w:t>
            </w:r>
          </w:p>
        </w:tc>
        <w:tc>
          <w:tcPr>
            <w:tcW w:w="776"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分值</w:t>
            </w:r>
          </w:p>
        </w:tc>
        <w:tc>
          <w:tcPr>
            <w:tcW w:w="1665"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评分因素分项</w:t>
            </w:r>
          </w:p>
        </w:tc>
        <w:tc>
          <w:tcPr>
            <w:tcW w:w="5749"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价格部分</w:t>
            </w:r>
          </w:p>
        </w:tc>
        <w:tc>
          <w:tcPr>
            <w:tcW w:w="776" w:type="dxa"/>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lang w:val="en-US" w:eastAsia="zh-CN"/>
              </w:rPr>
              <w:t>20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评标价格</w:t>
            </w:r>
          </w:p>
        </w:tc>
        <w:tc>
          <w:tcPr>
            <w:tcW w:w="5749" w:type="dxa"/>
            <w:vAlign w:val="center"/>
          </w:tcPr>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lang w:eastAsia="zh-CN"/>
              </w:rPr>
            </w:pPr>
            <w:r>
              <w:rPr>
                <w:rFonts w:hint="eastAsia" w:ascii="幼圆" w:hAnsi="幼圆" w:eastAsia="幼圆" w:cs="幼圆"/>
                <w:highlight w:val="none"/>
                <w:lang w:eastAsia="zh-CN"/>
              </w:rPr>
              <w:t>满足招标文件要求且投标价格最低的投标报价为评标基准价，其价格分为满分。其他投标人的价格分统一按照下列公式计算：</w:t>
            </w:r>
          </w:p>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rPr>
            </w:pPr>
            <w:r>
              <w:rPr>
                <w:rFonts w:hint="eastAsia" w:ascii="幼圆" w:hAnsi="幼圆" w:eastAsia="幼圆" w:cs="幼圆"/>
                <w:highlight w:val="none"/>
                <w:lang w:eastAsia="zh-CN"/>
              </w:rPr>
              <w:t>投标报价得分=(评标基准价／投标报价)×</w:t>
            </w:r>
            <w:r>
              <w:rPr>
                <w:rFonts w:hint="eastAsia" w:ascii="幼圆" w:hAnsi="幼圆" w:eastAsia="幼圆" w:cs="幼圆"/>
                <w:highlight w:val="none"/>
                <w:lang w:val="en-US" w:eastAsia="zh-CN"/>
              </w:rPr>
              <w:t>20</w:t>
            </w:r>
            <w:r>
              <w:rPr>
                <w:rFonts w:hint="eastAsia" w:ascii="幼圆" w:hAnsi="幼圆" w:eastAsia="幼圆" w:cs="幼圆"/>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商务部分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类似业绩</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自202</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年</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月1日至今（按合同签订时间计算），投标人每提供一个</w:t>
            </w:r>
            <w:r>
              <w:rPr>
                <w:rFonts w:hint="eastAsia" w:ascii="幼圆" w:hAnsi="幼圆" w:eastAsia="幼圆" w:cs="幼圆"/>
                <w:highlight w:val="none"/>
                <w:lang w:val="en-US" w:eastAsia="zh-CN"/>
              </w:rPr>
              <w:t>同类</w:t>
            </w:r>
            <w:r>
              <w:rPr>
                <w:rFonts w:hint="eastAsia" w:ascii="幼圆" w:hAnsi="幼圆" w:eastAsia="幼圆" w:cs="幼圆"/>
                <w:highlight w:val="none"/>
                <w:lang w:eastAsia="zh-CN"/>
              </w:rPr>
              <w:t>项目</w:t>
            </w:r>
            <w:r>
              <w:rPr>
                <w:rFonts w:hint="eastAsia" w:ascii="幼圆" w:hAnsi="幼圆" w:eastAsia="幼圆" w:cs="幼圆"/>
                <w:highlight w:val="none"/>
                <w:lang w:val="en-US" w:eastAsia="zh-CN"/>
              </w:rPr>
              <w:t>的</w:t>
            </w:r>
            <w:r>
              <w:rPr>
                <w:rFonts w:hint="eastAsia" w:ascii="幼圆" w:hAnsi="幼圆" w:eastAsia="幼圆" w:cs="幼圆"/>
                <w:highlight w:val="none"/>
                <w:lang w:eastAsia="zh-CN"/>
              </w:rPr>
              <w:t>业绩，得</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分，最高得</w:t>
            </w:r>
            <w:r>
              <w:rPr>
                <w:rFonts w:hint="eastAsia" w:ascii="幼圆" w:hAnsi="幼圆" w:eastAsia="幼圆" w:cs="幼圆"/>
                <w:highlight w:val="none"/>
                <w:lang w:val="en-US" w:eastAsia="zh-CN"/>
              </w:rPr>
              <w:t>10</w:t>
            </w:r>
            <w:r>
              <w:rPr>
                <w:rFonts w:hint="eastAsia" w:ascii="幼圆" w:hAnsi="幼圆" w:eastAsia="幼圆" w:cs="幼圆"/>
                <w:highlight w:val="none"/>
                <w:lang w:eastAsia="zh-CN"/>
              </w:rPr>
              <w:t>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技术部分</w:t>
            </w:r>
          </w:p>
        </w:tc>
        <w:tc>
          <w:tcPr>
            <w:tcW w:w="776"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lang w:val="en-US" w:eastAsia="zh-CN"/>
              </w:rPr>
              <w:t>27</w:t>
            </w:r>
          </w:p>
        </w:tc>
        <w:tc>
          <w:tcPr>
            <w:tcW w:w="1665"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rPr>
              <w:t>对文件技术要求的响应程度</w:t>
            </w:r>
          </w:p>
        </w:tc>
        <w:tc>
          <w:tcPr>
            <w:tcW w:w="5749" w:type="dxa"/>
            <w:shd w:val="clear" w:color="auto" w:fill="auto"/>
            <w:vAlign w:val="center"/>
          </w:tcPr>
          <w:p>
            <w:pPr>
              <w:widowControl/>
              <w:spacing w:line="240" w:lineRule="auto"/>
              <w:jc w:val="both"/>
              <w:rPr>
                <w:rFonts w:hint="eastAsia" w:ascii="幼圆" w:hAnsi="幼圆" w:eastAsia="幼圆" w:cs="幼圆"/>
                <w:highlight w:val="none"/>
              </w:rPr>
            </w:pPr>
            <w:r>
              <w:rPr>
                <w:rFonts w:hint="eastAsia" w:ascii="幼圆" w:hAnsi="幼圆" w:eastAsia="幼圆" w:cs="幼圆"/>
                <w:highlight w:val="none"/>
              </w:rPr>
              <w:t>投标人完全满足【技术要求及评分标准】中“</w:t>
            </w:r>
            <w:r>
              <w:rPr>
                <w:rFonts w:hint="eastAsia" w:ascii="幼圆" w:hAnsi="幼圆" w:eastAsia="幼圆" w:cs="幼圆"/>
                <w:highlight w:val="none"/>
                <w:lang w:val="en-US" w:eastAsia="zh-CN"/>
              </w:rPr>
              <w:t>五</w:t>
            </w:r>
            <w:r>
              <w:rPr>
                <w:rFonts w:hint="eastAsia" w:ascii="幼圆" w:hAnsi="幼圆" w:eastAsia="幼圆" w:cs="幼圆"/>
                <w:highlight w:val="none"/>
              </w:rPr>
              <w:t>、</w:t>
            </w:r>
            <w:r>
              <w:rPr>
                <w:rFonts w:hint="eastAsia" w:ascii="幼圆" w:hAnsi="幼圆" w:eastAsia="幼圆" w:cs="幼圆"/>
                <w:highlight w:val="none"/>
                <w:lang w:val="en-US" w:eastAsia="zh-CN"/>
              </w:rPr>
              <w:t>维保内容</w:t>
            </w:r>
            <w:r>
              <w:rPr>
                <w:rFonts w:hint="eastAsia" w:ascii="幼圆" w:hAnsi="幼圆" w:eastAsia="幼圆" w:cs="幼圆"/>
                <w:highlight w:val="none"/>
              </w:rPr>
              <w:t>”的得</w:t>
            </w:r>
            <w:r>
              <w:rPr>
                <w:rFonts w:hint="eastAsia" w:ascii="幼圆" w:hAnsi="幼圆" w:eastAsia="幼圆" w:cs="幼圆"/>
                <w:highlight w:val="none"/>
                <w:lang w:val="en-US" w:eastAsia="zh-CN"/>
              </w:rPr>
              <w:t>27</w:t>
            </w:r>
            <w:r>
              <w:rPr>
                <w:rFonts w:hint="eastAsia" w:ascii="幼圆" w:hAnsi="幼圆" w:eastAsia="幼圆" w:cs="幼圆"/>
                <w:highlight w:val="none"/>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rPr>
              <w:t>共有</w:t>
            </w:r>
            <w:r>
              <w:rPr>
                <w:rFonts w:hint="eastAsia" w:ascii="幼圆" w:hAnsi="幼圆" w:eastAsia="幼圆" w:cs="幼圆"/>
                <w:highlight w:val="none"/>
                <w:lang w:val="en-US" w:eastAsia="zh-CN"/>
              </w:rPr>
              <w:t>27</w:t>
            </w:r>
            <w:r>
              <w:rPr>
                <w:rFonts w:hint="eastAsia" w:ascii="幼圆" w:hAnsi="幼圆" w:eastAsia="幼圆" w:cs="幼圆"/>
                <w:highlight w:val="none"/>
              </w:rPr>
              <w:t>项指标，每满足一项得</w:t>
            </w:r>
            <w:r>
              <w:rPr>
                <w:rFonts w:hint="eastAsia" w:ascii="幼圆" w:hAnsi="幼圆" w:eastAsia="幼圆" w:cs="幼圆"/>
                <w:highlight w:val="none"/>
                <w:lang w:val="en-US" w:eastAsia="zh-CN"/>
              </w:rPr>
              <w:t>1</w:t>
            </w:r>
            <w:r>
              <w:rPr>
                <w:rFonts w:hint="eastAsia" w:ascii="幼圆" w:hAnsi="幼圆" w:eastAsia="幼圆" w:cs="幼圆"/>
                <w:highlight w:val="none"/>
              </w:rPr>
              <w:t>分，共</w:t>
            </w:r>
            <w:r>
              <w:rPr>
                <w:rFonts w:hint="eastAsia" w:ascii="幼圆" w:hAnsi="幼圆" w:eastAsia="幼圆" w:cs="幼圆"/>
                <w:highlight w:val="none"/>
                <w:lang w:val="en-US" w:eastAsia="zh-CN"/>
              </w:rPr>
              <w:t>27</w:t>
            </w:r>
            <w:r>
              <w:rPr>
                <w:rFonts w:hint="eastAsia" w:ascii="幼圆" w:hAnsi="幼圆" w:eastAsia="幼圆" w:cs="幼圆"/>
                <w:highlight w:val="none"/>
              </w:rPr>
              <w:t>分</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b/>
                <w:bCs/>
                <w:highlight w:val="none"/>
                <w:lang w:eastAsia="zh-CN"/>
              </w:rPr>
              <w:t>注：</w:t>
            </w:r>
            <w:r>
              <w:rPr>
                <w:rFonts w:hint="eastAsia" w:ascii="幼圆" w:hAnsi="幼圆" w:eastAsia="幼圆" w:cs="幼圆"/>
                <w:b/>
                <w:bCs/>
                <w:highlight w:val="none"/>
                <w:lang w:val="en-US" w:eastAsia="zh-CN"/>
              </w:rPr>
              <w:t>1</w:t>
            </w:r>
            <w:r>
              <w:rPr>
                <w:rFonts w:hint="eastAsia" w:ascii="幼圆" w:hAnsi="幼圆" w:eastAsia="幼圆" w:cs="幼圆"/>
                <w:b/>
                <w:bCs/>
                <w:highlight w:val="none"/>
                <w:lang w:eastAsia="zh-CN"/>
              </w:rPr>
              <w:t>）“</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lang w:eastAsia="zh-CN"/>
              </w:rPr>
              <w:t>”以“ 附件《技术规格偏离表》”响应为准，否则不得分。</w:t>
            </w:r>
          </w:p>
          <w:p>
            <w:pPr>
              <w:spacing w:line="240" w:lineRule="auto"/>
              <w:jc w:val="both"/>
              <w:rPr>
                <w:rFonts w:hint="eastAsia" w:ascii="幼圆" w:hAnsi="幼圆" w:eastAsia="幼圆" w:cs="幼圆"/>
                <w:b/>
                <w:bCs/>
                <w:highlight w:val="none"/>
                <w:lang w:val="en-US" w:eastAsia="zh-CN"/>
              </w:rPr>
            </w:pPr>
            <w:r>
              <w:rPr>
                <w:rFonts w:hint="eastAsia" w:ascii="幼圆" w:hAnsi="幼圆" w:eastAsia="幼圆" w:cs="幼圆"/>
                <w:b/>
                <w:bCs/>
                <w:highlight w:val="none"/>
              </w:rPr>
              <w:t>2）以“</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rPr>
              <w:t>”中的“序号”作为指标项的计算依据，无论该指标项包含几条技术参数。如该指标项中有任意一条指标不满足招标文件要求或负偏离，则该项不得分；漏报该项不得分。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rPr>
            </w:pPr>
          </w:p>
        </w:tc>
        <w:tc>
          <w:tcPr>
            <w:tcW w:w="776"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内部管理制度及培训方案</w:t>
            </w:r>
          </w:p>
        </w:tc>
        <w:tc>
          <w:tcPr>
            <w:tcW w:w="5749" w:type="dxa"/>
            <w:shd w:val="clear" w:color="auto" w:fill="auto"/>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val="en-US" w:eastAsia="zh-CN"/>
              </w:rPr>
              <w:t>内部管理制度及培训方案</w:t>
            </w:r>
            <w:r>
              <w:rPr>
                <w:rFonts w:hint="eastAsia" w:ascii="幼圆" w:hAnsi="幼圆" w:eastAsia="幼圆" w:cs="幼圆"/>
                <w:highlight w:val="none"/>
                <w:lang w:eastAsia="zh-CN"/>
              </w:rPr>
              <w:t>合理、详细，</w:t>
            </w:r>
            <w:r>
              <w:rPr>
                <w:rFonts w:hint="eastAsia" w:ascii="幼圆" w:hAnsi="幼圆" w:eastAsia="幼圆" w:cs="幼圆"/>
                <w:highlight w:val="none"/>
                <w:lang w:val="en-US" w:eastAsia="zh-CN"/>
              </w:rPr>
              <w:t>培训</w:t>
            </w:r>
            <w:r>
              <w:rPr>
                <w:rFonts w:hint="eastAsia" w:ascii="幼圆" w:hAnsi="幼圆" w:eastAsia="幼圆" w:cs="幼圆"/>
                <w:highlight w:val="none"/>
                <w:lang w:eastAsia="zh-CN"/>
              </w:rPr>
              <w:t>服务承诺周到，具有完善的</w:t>
            </w:r>
            <w:r>
              <w:rPr>
                <w:rFonts w:hint="eastAsia" w:ascii="幼圆" w:hAnsi="幼圆" w:eastAsia="幼圆" w:cs="幼圆"/>
                <w:highlight w:val="none"/>
                <w:lang w:val="en-US" w:eastAsia="zh-CN"/>
              </w:rPr>
              <w:t>管理</w:t>
            </w:r>
            <w:r>
              <w:rPr>
                <w:rFonts w:hint="eastAsia" w:ascii="幼圆" w:hAnsi="幼圆" w:eastAsia="幼圆" w:cs="幼圆"/>
                <w:highlight w:val="none"/>
                <w:lang w:eastAsia="zh-CN"/>
              </w:rPr>
              <w:t>体系：</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方案合理、</w:t>
            </w:r>
            <w:r>
              <w:rPr>
                <w:rFonts w:hint="eastAsia" w:ascii="幼圆" w:hAnsi="幼圆" w:eastAsia="幼圆" w:cs="幼圆"/>
                <w:highlight w:val="none"/>
                <w:lang w:val="en-US" w:eastAsia="zh-CN"/>
              </w:rPr>
              <w:t>详细，体系完善的，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较为</w:t>
            </w:r>
            <w:r>
              <w:rPr>
                <w:rFonts w:hint="eastAsia" w:ascii="幼圆" w:hAnsi="幼圆" w:eastAsia="幼圆" w:cs="幼圆"/>
                <w:highlight w:val="none"/>
                <w:lang w:eastAsia="zh-CN"/>
              </w:rPr>
              <w:t>合理、</w:t>
            </w:r>
            <w:r>
              <w:rPr>
                <w:rFonts w:hint="eastAsia" w:ascii="幼圆" w:hAnsi="幼圆" w:eastAsia="幼圆" w:cs="幼圆"/>
                <w:highlight w:val="none"/>
                <w:lang w:val="en-US" w:eastAsia="zh-CN"/>
              </w:rPr>
              <w:t>详细，体系较为完善的，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一般，体系基本完善的，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highlight w:val="none"/>
                <w:lang w:val="en-US" w:eastAsia="zh-CN"/>
              </w:rPr>
              <w:t>未提供，</w:t>
            </w:r>
            <w:r>
              <w:rPr>
                <w:rFonts w:hint="eastAsia" w:ascii="幼圆" w:hAnsi="幼圆" w:eastAsia="幼圆" w:cs="幼圆"/>
                <w:highlight w:val="none"/>
                <w:lang w:eastAsia="zh-CN"/>
              </w:rPr>
              <w:t>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服务部分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Merge w:val="restart"/>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rPr>
              <w:t>服务方案及人员配备方案</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根据投标人提供的</w:t>
            </w:r>
            <w:r>
              <w:rPr>
                <w:rFonts w:hint="eastAsia" w:ascii="幼圆" w:hAnsi="幼圆" w:eastAsia="幼圆" w:cs="幼圆"/>
                <w:highlight w:val="none"/>
                <w:lang w:val="en-US" w:eastAsia="zh-CN"/>
              </w:rPr>
              <w:t>总体设计方案进行评价</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设计方案亮点突出、针对性强、内容全面、规划统筹考虑充分，得</w:t>
            </w:r>
            <w:r>
              <w:rPr>
                <w:rFonts w:hint="eastAsia" w:ascii="幼圆" w:hAnsi="幼圆" w:eastAsia="幼圆" w:cs="幼圆"/>
                <w:highlight w:val="none"/>
                <w:lang w:val="en-US" w:eastAsia="zh-CN"/>
              </w:rPr>
              <w:t>7</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基本全面</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一般</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中规中矩</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简单</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欠妥</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欠佳</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12</w:t>
            </w:r>
          </w:p>
        </w:tc>
        <w:tc>
          <w:tcPr>
            <w:tcW w:w="1665" w:type="dxa"/>
            <w:vMerge w:val="continue"/>
            <w:vAlign w:val="center"/>
          </w:tcPr>
          <w:p>
            <w:pPr>
              <w:widowControl/>
              <w:spacing w:line="240" w:lineRule="auto"/>
              <w:jc w:val="center"/>
              <w:rPr>
                <w:rFonts w:hint="eastAsia" w:ascii="幼圆" w:hAnsi="幼圆" w:eastAsia="幼圆" w:cs="幼圆"/>
                <w:highlight w:val="none"/>
                <w:lang w:eastAsia="zh-CN"/>
              </w:rPr>
            </w:pPr>
          </w:p>
        </w:tc>
        <w:tc>
          <w:tcPr>
            <w:tcW w:w="5749" w:type="dxa"/>
            <w:vAlign w:val="center"/>
          </w:tcPr>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（1）根据各投标人按照采购需求提供的维保团队的规模、专业度、架构方面进行打分。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人员架构科学合理，数量充足，专业度高的，完全满足项目需求的，得7分；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人员架构基本科学合理，数量一般，专业度普通的，得4分；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人员架构不合理，数量稀少，专业度低的，得1分；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未提供不得分。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（2）根据团队成员的专业能力进行评价：</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1）具有中华人民共和国应急管理部门颁发的特种作业操作证（工业锅炉（G1）），每提供一人得1分，最高3分。</w:t>
            </w:r>
          </w:p>
          <w:p>
            <w:pPr>
              <w:pStyle w:val="2"/>
              <w:ind w:left="0" w:leftChars="0" w:firstLine="0" w:firstLineChars="0"/>
              <w:rPr>
                <w:rFonts w:hint="eastAsia"/>
                <w:lang w:val="en-US" w:eastAsia="zh-CN"/>
              </w:rPr>
            </w:pPr>
            <w:r>
              <w:rPr>
                <w:rFonts w:hint="eastAsia" w:ascii="幼圆" w:hAnsi="幼圆" w:eastAsia="幼圆" w:cs="幼圆"/>
                <w:lang w:val="en-US" w:eastAsia="zh-CN"/>
              </w:rPr>
              <w:t>2）具有中华人民共和国应急管理部门颁发的特种作业操作证（固定式压力容器操作（R1）），每提供一人得1分，最高2分。</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b/>
                <w:bCs/>
                <w:highlight w:val="none"/>
                <w:lang w:val="en-US" w:eastAsia="zh-CN"/>
              </w:rPr>
              <w:t>注：以上证书需提供有效的证书复印件，并加盖投标单位公章，否则视为无效</w:t>
            </w:r>
            <w:r>
              <w:rPr>
                <w:rFonts w:hint="eastAsia" w:ascii="幼圆" w:hAnsi="幼圆" w:eastAsia="幼圆" w:cs="幼圆"/>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服务响应时间及质量保障措施</w:t>
            </w:r>
          </w:p>
        </w:tc>
        <w:tc>
          <w:tcPr>
            <w:tcW w:w="5749" w:type="dxa"/>
            <w:vAlign w:val="center"/>
          </w:tcPr>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响应时间及时、保障措施到位、分工明确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得7分；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响应时间基本满足需求、保障措施基本到位、分工较为明确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得4分；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响应时间滞后、保障措施欠缺、分工混乱</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得1分；</w:t>
            </w:r>
          </w:p>
          <w:p>
            <w:pPr>
              <w:keepNext w:val="0"/>
              <w:keepLines w:val="0"/>
              <w:pageBreakBefore w:val="0"/>
              <w:widowControl/>
              <w:kinsoku/>
              <w:wordWrap/>
              <w:overflowPunct/>
              <w:topLinePunct w:val="0"/>
              <w:autoSpaceDE/>
              <w:autoSpaceDN/>
              <w:bidi w:val="0"/>
              <w:snapToGrid/>
              <w:spacing w:line="240" w:lineRule="auto"/>
              <w:rPr>
                <w:rFonts w:hint="eastAsia" w:ascii="幼圆" w:hAnsi="幼圆" w:eastAsia="幼圆" w:cs="幼圆"/>
                <w:highlight w:val="none"/>
              </w:rPr>
            </w:pPr>
            <w:r>
              <w:rPr>
                <w:rFonts w:hint="eastAsia" w:ascii="幼圆" w:hAnsi="幼圆" w:eastAsia="幼圆" w:cs="幼圆"/>
                <w:sz w:val="24"/>
                <w:szCs w:val="24"/>
                <w:highlight w:val="none"/>
                <w:lang w:val="en-US" w:eastAsia="zh-C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后续服务承诺</w:t>
            </w:r>
          </w:p>
        </w:tc>
        <w:tc>
          <w:tcPr>
            <w:tcW w:w="5749" w:type="dxa"/>
            <w:vAlign w:val="center"/>
          </w:tcPr>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根据投标人提供的服务承诺进行打分：内容应包含但不限于售后服务及其他情况介绍；</w:t>
            </w:r>
            <w:r>
              <w:rPr>
                <w:rFonts w:hint="eastAsia" w:ascii="幼圆" w:hAnsi="幼圆" w:eastAsia="幼圆" w:cs="幼圆"/>
                <w:b/>
                <w:highlight w:val="none"/>
              </w:rPr>
              <w:t>可提供的优惠条件；突发状况服务时间承诺。</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服务承诺完全满足项目需求的，得</w:t>
            </w:r>
            <w:r>
              <w:rPr>
                <w:rFonts w:hint="eastAsia" w:ascii="幼圆" w:hAnsi="幼圆" w:eastAsia="幼圆" w:cs="幼圆"/>
                <w:highlight w:val="none"/>
                <w:lang w:val="en-US" w:eastAsia="zh-CN"/>
              </w:rPr>
              <w:t>7</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服务承诺基本满足项目需求的，得</w:t>
            </w:r>
            <w:r>
              <w:rPr>
                <w:rFonts w:hint="eastAsia" w:ascii="幼圆" w:hAnsi="幼圆" w:eastAsia="幼圆" w:cs="幼圆"/>
                <w:highlight w:val="none"/>
                <w:lang w:val="en-US" w:eastAsia="zh-CN"/>
              </w:rPr>
              <w:t>4</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服务承诺不满足项目需求的，得1分；</w:t>
            </w:r>
          </w:p>
          <w:p>
            <w:pPr>
              <w:widowControl/>
              <w:spacing w:line="240" w:lineRule="auto"/>
              <w:rPr>
                <w:rFonts w:hint="eastAsia" w:ascii="幼圆" w:hAnsi="幼圆" w:eastAsia="幼圆" w:cs="幼圆"/>
                <w:highlight w:val="none"/>
              </w:rPr>
            </w:pPr>
            <w:r>
              <w:rPr>
                <w:rFonts w:hint="eastAsia" w:ascii="幼圆" w:hAnsi="幼圆" w:eastAsia="幼圆" w:cs="幼圆"/>
                <w:highlight w:val="none"/>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其他</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拟投入设备</w:t>
            </w:r>
          </w:p>
        </w:tc>
        <w:tc>
          <w:tcPr>
            <w:tcW w:w="5749" w:type="dxa"/>
            <w:vAlign w:val="center"/>
          </w:tcPr>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设备齐全，完全满足项目需要的，得5分；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设备基本满足项目需要的，得3分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设备无法满足项目需要的，得1分；</w:t>
            </w:r>
          </w:p>
          <w:p>
            <w:pPr>
              <w:widowControl/>
              <w:spacing w:line="240" w:lineRule="auto"/>
              <w:rPr>
                <w:rFonts w:hint="eastAsia" w:ascii="幼圆" w:hAnsi="幼圆" w:eastAsia="幼圆" w:cs="幼圆"/>
                <w:highlight w:val="none"/>
                <w:lang w:eastAsia="zh-CN"/>
              </w:rPr>
            </w:pPr>
            <w:r>
              <w:rPr>
                <w:rFonts w:hint="eastAsia" w:ascii="幼圆" w:hAnsi="幼圆" w:eastAsia="幼圆" w:cs="幼圆"/>
                <w:highlight w:val="none"/>
                <w:lang w:val="en-US" w:eastAsia="zh-CN"/>
              </w:rPr>
              <w:t>不满足项目需要或未提供，不得分。</w:t>
            </w:r>
          </w:p>
        </w:tc>
      </w:tr>
      <w:bookmarkEnd w:id="1"/>
    </w:tbl>
    <w:p>
      <w:pPr>
        <w:keepNext w:val="0"/>
        <w:keepLines w:val="0"/>
        <w:pageBreakBefore w:val="0"/>
        <w:widowControl/>
        <w:wordWrap/>
        <w:topLinePunct w:val="0"/>
        <w:bidi w:val="0"/>
        <w:spacing w:line="240" w:lineRule="auto"/>
        <w:rPr>
          <w:rFonts w:hint="eastAsia" w:ascii="幼圆" w:hAnsi="幼圆" w:eastAsia="幼圆" w:cs="幼圆"/>
          <w:b/>
          <w:bCs/>
          <w:sz w:val="24"/>
          <w:szCs w:val="20"/>
        </w:rPr>
      </w:pPr>
    </w:p>
    <w:p>
      <w:pPr>
        <w:spacing w:line="240" w:lineRule="auto"/>
        <w:rPr>
          <w:rFonts w:hint="eastAsia" w:ascii="幼圆" w:hAnsi="幼圆" w:eastAsia="幼圆" w:cs="幼圆"/>
          <w:color w:val="FF0000"/>
          <w:kern w:val="2"/>
          <w:highlight w:val="none"/>
          <w:lang w:val="en-US" w:eastAsia="zh-CN" w:bidi="zh-CN"/>
        </w:rPr>
      </w:pPr>
      <w:r>
        <w:rPr>
          <w:rFonts w:hint="eastAsia" w:ascii="幼圆" w:hAnsi="幼圆" w:eastAsia="幼圆" w:cs="幼圆"/>
          <w:color w:val="FF0000"/>
          <w:kern w:val="2"/>
          <w:highlight w:val="none"/>
          <w:lang w:val="en-US" w:eastAsia="zh-CN" w:bidi="zh-CN"/>
        </w:rPr>
        <w:br w:type="page"/>
      </w:r>
    </w:p>
    <w:p>
      <w:pPr>
        <w:snapToGrid w:val="0"/>
        <w:spacing w:line="240" w:lineRule="auto"/>
        <w:textAlignment w:val="auto"/>
        <w:outlineLvl w:val="0"/>
        <w:rPr>
          <w:rFonts w:hint="eastAsia" w:ascii="幼圆" w:hAnsi="幼圆" w:eastAsia="幼圆" w:cs="幼圆"/>
          <w:b/>
          <w:szCs w:val="20"/>
          <w:highlight w:val="none"/>
        </w:rPr>
      </w:pPr>
      <w:bookmarkStart w:id="2" w:name="_Toc70433717"/>
      <w:bookmarkStart w:id="3" w:name="_Toc955"/>
      <w:bookmarkStart w:id="4" w:name="_Toc73536577"/>
      <w:r>
        <w:rPr>
          <w:rFonts w:hint="eastAsia" w:ascii="幼圆" w:hAnsi="幼圆" w:eastAsia="幼圆" w:cs="幼圆"/>
          <w:b/>
          <w:szCs w:val="20"/>
          <w:highlight w:val="none"/>
        </w:rPr>
        <w:t>附件</w:t>
      </w:r>
      <w:r>
        <w:rPr>
          <w:rFonts w:hint="eastAsia" w:ascii="幼圆" w:hAnsi="幼圆" w:eastAsia="幼圆" w:cs="幼圆"/>
          <w:b/>
          <w:szCs w:val="20"/>
          <w:highlight w:val="none"/>
          <w:lang w:eastAsia="zh-CN"/>
        </w:rPr>
        <w:t>（</w:t>
      </w:r>
      <w:r>
        <w:rPr>
          <w:rFonts w:hint="eastAsia" w:ascii="幼圆" w:hAnsi="幼圆" w:eastAsia="幼圆" w:cs="幼圆"/>
          <w:b/>
          <w:szCs w:val="20"/>
          <w:highlight w:val="none"/>
          <w:lang w:val="en-US" w:eastAsia="zh-CN"/>
        </w:rPr>
        <w:t>偏离表示例</w:t>
      </w:r>
      <w:r>
        <w:rPr>
          <w:rFonts w:hint="eastAsia" w:ascii="幼圆" w:hAnsi="幼圆" w:eastAsia="幼圆" w:cs="幼圆"/>
          <w:b/>
          <w:szCs w:val="20"/>
          <w:highlight w:val="none"/>
          <w:lang w:eastAsia="zh-CN"/>
        </w:rPr>
        <w:t>）</w:t>
      </w:r>
      <w:r>
        <w:rPr>
          <w:rFonts w:hint="eastAsia" w:ascii="幼圆" w:hAnsi="幼圆" w:eastAsia="幼圆" w:cs="幼圆"/>
          <w:b/>
          <w:szCs w:val="20"/>
          <w:highlight w:val="none"/>
        </w:rPr>
        <w:t>：</w:t>
      </w:r>
      <w:bookmarkEnd w:id="2"/>
      <w:bookmarkEnd w:id="3"/>
      <w:bookmarkEnd w:id="4"/>
    </w:p>
    <w:p>
      <w:pPr>
        <w:widowControl/>
        <w:snapToGrid w:val="0"/>
        <w:spacing w:line="240" w:lineRule="auto"/>
        <w:textAlignment w:val="auto"/>
        <w:rPr>
          <w:rFonts w:hint="eastAsia" w:ascii="幼圆" w:hAnsi="幼圆" w:eastAsia="幼圆" w:cs="幼圆"/>
          <w:b/>
          <w:highlight w:val="none"/>
        </w:rPr>
      </w:pPr>
    </w:p>
    <w:p>
      <w:pPr>
        <w:snapToGrid w:val="0"/>
        <w:spacing w:line="240" w:lineRule="auto"/>
        <w:jc w:val="center"/>
        <w:rPr>
          <w:rFonts w:hint="eastAsia" w:ascii="幼圆" w:hAnsi="幼圆" w:eastAsia="幼圆" w:cs="幼圆"/>
          <w:caps/>
          <w:sz w:val="36"/>
          <w:szCs w:val="36"/>
          <w:highlight w:val="none"/>
        </w:rPr>
      </w:pPr>
      <w:r>
        <w:rPr>
          <w:rFonts w:hint="eastAsia" w:ascii="幼圆" w:hAnsi="幼圆" w:eastAsia="幼圆" w:cs="幼圆"/>
          <w:caps/>
          <w:sz w:val="36"/>
          <w:szCs w:val="36"/>
          <w:highlight w:val="none"/>
        </w:rPr>
        <w:t>技术规格偏离表</w:t>
      </w:r>
    </w:p>
    <w:p>
      <w:pPr>
        <w:snapToGrid w:val="0"/>
        <w:spacing w:before="120" w:beforeLines="50" w:line="240" w:lineRule="auto"/>
        <w:rPr>
          <w:rFonts w:hint="eastAsia" w:ascii="幼圆" w:hAnsi="幼圆" w:eastAsia="幼圆" w:cs="幼圆"/>
          <w:highlight w:val="none"/>
        </w:rPr>
      </w:pPr>
    </w:p>
    <w:p>
      <w:pPr>
        <w:snapToGrid w:val="0"/>
        <w:spacing w:after="120" w:afterLines="50" w:line="240" w:lineRule="auto"/>
        <w:rPr>
          <w:rFonts w:hint="eastAsia" w:ascii="幼圆" w:hAnsi="幼圆" w:eastAsia="幼圆" w:cs="幼圆"/>
          <w:highlight w:val="none"/>
          <w:u w:val="single"/>
        </w:rPr>
      </w:pPr>
      <w:r>
        <w:rPr>
          <w:rFonts w:hint="eastAsia" w:ascii="幼圆" w:hAnsi="幼圆" w:eastAsia="幼圆" w:cs="幼圆"/>
          <w:highlight w:val="none"/>
        </w:rPr>
        <w:t>项目名称：</w:t>
      </w:r>
    </w:p>
    <w:tbl>
      <w:tblPr>
        <w:tblStyle w:val="35"/>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77"/>
        <w:gridCol w:w="2586"/>
        <w:gridCol w:w="166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65" w:hRule="atLeast"/>
        </w:trPr>
        <w:tc>
          <w:tcPr>
            <w:tcW w:w="127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招标文件条目号</w:t>
            </w:r>
          </w:p>
        </w:tc>
        <w:tc>
          <w:tcPr>
            <w:tcW w:w="2977"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招标文件采购需求的内容与数值</w:t>
            </w:r>
          </w:p>
        </w:tc>
        <w:tc>
          <w:tcPr>
            <w:tcW w:w="258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投标人的采购需求响应内容与数值</w:t>
            </w:r>
          </w:p>
        </w:tc>
        <w:tc>
          <w:tcPr>
            <w:tcW w:w="166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偏差说明</w:t>
            </w:r>
          </w:p>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bl>
    <w:p>
      <w:pPr>
        <w:snapToGrid w:val="0"/>
        <w:spacing w:line="240" w:lineRule="auto"/>
        <w:ind w:left="540" w:hanging="495" w:hangingChars="225"/>
        <w:rPr>
          <w:rFonts w:hint="eastAsia" w:ascii="幼圆" w:hAnsi="幼圆" w:eastAsia="幼圆" w:cs="幼圆"/>
          <w:highlight w:val="none"/>
        </w:rPr>
      </w:pP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注：1.投标人应对招标文件第三章采购需求要求的内容给予逐条响应，以投标服务所能达到的内容予以填写，而不应复印采购需求作为响应内容，有具体需求的应填写具体要求。</w:t>
      </w: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ab/>
      </w:r>
      <w:r>
        <w:rPr>
          <w:rFonts w:hint="eastAsia" w:ascii="幼圆" w:hAnsi="幼圆" w:eastAsia="幼圆" w:cs="幼圆"/>
          <w:highlight w:val="none"/>
        </w:rPr>
        <w:t>2. 偏差说明处：技术、服务内容满足招标文件相应要求填写：“满足招标文件要求”、或“无偏离”；技术、服务内容不满足招标文件相应要求填写：“不满足招标文件要求”或“负偏离”。</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投标人名称：（单位公章）</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法定代表人或授权代表：（签字）</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日期：</w:t>
      </w:r>
    </w:p>
    <w:p>
      <w:pPr>
        <w:spacing w:line="240" w:lineRule="auto"/>
        <w:rPr>
          <w:rFonts w:hint="eastAsia" w:ascii="幼圆" w:hAnsi="幼圆" w:eastAsia="幼圆" w:cs="幼圆"/>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auto"/>
    <w:pitch w:val="default"/>
    <w:sig w:usb0="E00002FF" w:usb1="6AC7FDFB" w:usb2="00000012" w:usb3="00000000" w:csb0="4002009F" w:csb1="DFD70000"/>
  </w:font>
  <w:font w:name="Courier">
    <w:panose1 w:val="02060409020205020404"/>
    <w:charset w:val="00"/>
    <w:family w:val="auto"/>
    <w:pitch w:val="default"/>
    <w:sig w:usb0="00000007" w:usb1="00000000" w:usb2="00000000" w:usb3="00000000" w:csb0="00000093" w:csb1="00000000"/>
  </w:font>
  <w:font w:name="MS Mincho">
    <w:panose1 w:val="02020609040205080304"/>
    <w:charset w:val="80"/>
    <w:family w:val="roman"/>
    <w:pitch w:val="default"/>
    <w:sig w:usb0="E00002FF" w:usb1="6AC7FDFB" w:usb2="00000012" w:usb3="00000000" w:csb0="4002009F" w:csb1="DFD70000"/>
  </w:font>
  <w:font w:name="Cambria">
    <w:panose1 w:val="02040503050406030204"/>
    <w:charset w:val="00"/>
    <w:family w:val="auto"/>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幼圆">
    <w:altName w:val="宋体"/>
    <w:panose1 w:val="02010509060101010101"/>
    <w:charset w:val="86"/>
    <w:family w:val="auto"/>
    <w:pitch w:val="default"/>
    <w:sig w:usb0="00000000" w:usb1="00000000" w:usb2="00000000" w:usb3="00000000" w:csb0="00040000" w:csb1="00000000"/>
  </w:font>
  <w:font w:name="DFKai-SB">
    <w:panose1 w:val="03000509000000000000"/>
    <w:charset w:val="88"/>
    <w:family w:val="script"/>
    <w:pitch w:val="default"/>
    <w:sig w:usb0="00000003" w:usb1="082E0000" w:usb2="00000016" w:usb3="00000000" w:csb0="00100001" w:csb1="00000000"/>
  </w:font>
  <w:font w:name="幼圆">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E9D502EE"/>
    <w:multiLevelType w:val="singleLevel"/>
    <w:tmpl w:val="E9D502EE"/>
    <w:lvl w:ilvl="0" w:tentative="0">
      <w:start w:val="5"/>
      <w:numFmt w:val="chineseCounting"/>
      <w:suff w:val="nothing"/>
      <w:lvlText w:val="%1、"/>
      <w:lvlJc w:val="left"/>
      <w:rPr>
        <w:rFonts w:hint="eastAsia"/>
      </w:rPr>
    </w:lvl>
  </w:abstractNum>
  <w:abstractNum w:abstractNumId="2">
    <w:nsid w:val="FFFFFF7E"/>
    <w:multiLevelType w:val="singleLevel"/>
    <w:tmpl w:val="FFFFFF7E"/>
    <w:lvl w:ilvl="0" w:tentative="0">
      <w:start w:val="1"/>
      <w:numFmt w:val="decimal"/>
      <w:pStyle w:val="24"/>
      <w:lvlText w:val="%1."/>
      <w:lvlJc w:val="left"/>
      <w:pPr>
        <w:tabs>
          <w:tab w:val="left" w:pos="1080"/>
        </w:tabs>
        <w:ind w:left="1080" w:hanging="360"/>
      </w:pPr>
    </w:lvl>
  </w:abstractNum>
  <w:abstractNum w:abstractNumId="3">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4">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5">
    <w:nsid w:val="FFFFFF83"/>
    <w:multiLevelType w:val="singleLevel"/>
    <w:tmpl w:val="FFFFFF83"/>
    <w:lvl w:ilvl="0" w:tentative="0">
      <w:start w:val="1"/>
      <w:numFmt w:val="bullet"/>
      <w:pStyle w:val="27"/>
      <w:lvlText w:val=""/>
      <w:lvlJc w:val="left"/>
      <w:pPr>
        <w:tabs>
          <w:tab w:val="left" w:pos="720"/>
        </w:tabs>
        <w:ind w:left="720" w:hanging="360"/>
      </w:pPr>
      <w:rPr>
        <w:rFonts w:hint="default" w:ascii="Symbol" w:hAnsi="Symbol"/>
      </w:rPr>
    </w:lvl>
  </w:abstractNum>
  <w:abstractNum w:abstractNumId="6">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7">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8">
    <w:nsid w:val="1FF2635C"/>
    <w:multiLevelType w:val="singleLevel"/>
    <w:tmpl w:val="1FF2635C"/>
    <w:lvl w:ilvl="0" w:tentative="0">
      <w:start w:val="1"/>
      <w:numFmt w:val="decimal"/>
      <w:suff w:val="nothing"/>
      <w:lvlText w:val="%1、"/>
      <w:lvlJc w:val="left"/>
    </w:lvl>
  </w:abstractNum>
  <w:abstractNum w:abstractNumId="9">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6"/>
  </w:num>
  <w:num w:numId="3">
    <w:abstractNumId w:val="7"/>
  </w:num>
  <w:num w:numId="4">
    <w:abstractNumId w:val="4"/>
  </w:num>
  <w:num w:numId="5">
    <w:abstractNumId w:val="2"/>
  </w:num>
  <w:num w:numId="6">
    <w:abstractNumId w:val="5"/>
  </w:num>
  <w:num w:numId="7">
    <w:abstractNumId w:val="9"/>
  </w:num>
  <w:num w:numId="8">
    <w:abstractNumId w:val="0"/>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39276B"/>
    <w:rsid w:val="005F224A"/>
    <w:rsid w:val="008369C7"/>
    <w:rsid w:val="009C7AE2"/>
    <w:rsid w:val="00AA1D8D"/>
    <w:rsid w:val="00B47730"/>
    <w:rsid w:val="00CB0664"/>
    <w:rsid w:val="00FC693F"/>
    <w:rsid w:val="015A556D"/>
    <w:rsid w:val="039B035C"/>
    <w:rsid w:val="03DC6164"/>
    <w:rsid w:val="04BF5B95"/>
    <w:rsid w:val="05B922DB"/>
    <w:rsid w:val="06247180"/>
    <w:rsid w:val="08CA0C86"/>
    <w:rsid w:val="0A4A3DA1"/>
    <w:rsid w:val="0ADE0A96"/>
    <w:rsid w:val="0B9760F9"/>
    <w:rsid w:val="0D32706A"/>
    <w:rsid w:val="0F553938"/>
    <w:rsid w:val="0F6F40AA"/>
    <w:rsid w:val="106611D9"/>
    <w:rsid w:val="113329E6"/>
    <w:rsid w:val="117F262B"/>
    <w:rsid w:val="12A90D4E"/>
    <w:rsid w:val="12C56763"/>
    <w:rsid w:val="12EA542F"/>
    <w:rsid w:val="15901876"/>
    <w:rsid w:val="15B1627B"/>
    <w:rsid w:val="172A7912"/>
    <w:rsid w:val="1990077F"/>
    <w:rsid w:val="1BE71C78"/>
    <w:rsid w:val="1F3C1C4F"/>
    <w:rsid w:val="1F5F6D41"/>
    <w:rsid w:val="202408C8"/>
    <w:rsid w:val="205F522A"/>
    <w:rsid w:val="210C0BC6"/>
    <w:rsid w:val="229B3C09"/>
    <w:rsid w:val="22BF180F"/>
    <w:rsid w:val="22E24F49"/>
    <w:rsid w:val="24392B0D"/>
    <w:rsid w:val="24A75DD1"/>
    <w:rsid w:val="24AB1841"/>
    <w:rsid w:val="24F414B1"/>
    <w:rsid w:val="25AF67D6"/>
    <w:rsid w:val="25D77D3F"/>
    <w:rsid w:val="25E54A8E"/>
    <w:rsid w:val="26B26BA7"/>
    <w:rsid w:val="27372964"/>
    <w:rsid w:val="27BD3A55"/>
    <w:rsid w:val="28357004"/>
    <w:rsid w:val="2994584A"/>
    <w:rsid w:val="2B745DF2"/>
    <w:rsid w:val="2BE26EA2"/>
    <w:rsid w:val="2C5F3B91"/>
    <w:rsid w:val="2D056703"/>
    <w:rsid w:val="2D26536C"/>
    <w:rsid w:val="2DA44891"/>
    <w:rsid w:val="2F1D0548"/>
    <w:rsid w:val="2F6E5F01"/>
    <w:rsid w:val="2FF57743"/>
    <w:rsid w:val="30286D46"/>
    <w:rsid w:val="31321010"/>
    <w:rsid w:val="313F5CD8"/>
    <w:rsid w:val="3225199F"/>
    <w:rsid w:val="335911B0"/>
    <w:rsid w:val="347B53E1"/>
    <w:rsid w:val="34813790"/>
    <w:rsid w:val="349013E9"/>
    <w:rsid w:val="34B64844"/>
    <w:rsid w:val="3543266F"/>
    <w:rsid w:val="35A3178F"/>
    <w:rsid w:val="35BA5B31"/>
    <w:rsid w:val="35C02C5D"/>
    <w:rsid w:val="36710DAA"/>
    <w:rsid w:val="374D3D49"/>
    <w:rsid w:val="377C3B60"/>
    <w:rsid w:val="381A7AE8"/>
    <w:rsid w:val="386E2923"/>
    <w:rsid w:val="39577622"/>
    <w:rsid w:val="397720D5"/>
    <w:rsid w:val="399036C4"/>
    <w:rsid w:val="3AA1560E"/>
    <w:rsid w:val="3D3FEA48"/>
    <w:rsid w:val="3DAB702F"/>
    <w:rsid w:val="3DBFD295"/>
    <w:rsid w:val="3DF35805"/>
    <w:rsid w:val="3E543B04"/>
    <w:rsid w:val="3E9B6EC4"/>
    <w:rsid w:val="3EBA3A53"/>
    <w:rsid w:val="40E40ADC"/>
    <w:rsid w:val="411538B7"/>
    <w:rsid w:val="41536D26"/>
    <w:rsid w:val="41BE02EE"/>
    <w:rsid w:val="41EB7473"/>
    <w:rsid w:val="41F027BE"/>
    <w:rsid w:val="420A5259"/>
    <w:rsid w:val="43F67691"/>
    <w:rsid w:val="44DB5B25"/>
    <w:rsid w:val="455507B5"/>
    <w:rsid w:val="45A307A5"/>
    <w:rsid w:val="45A40BA1"/>
    <w:rsid w:val="45A73923"/>
    <w:rsid w:val="469F2EE7"/>
    <w:rsid w:val="47091014"/>
    <w:rsid w:val="4709160B"/>
    <w:rsid w:val="472B3D0B"/>
    <w:rsid w:val="476165B4"/>
    <w:rsid w:val="480333C8"/>
    <w:rsid w:val="48153C8D"/>
    <w:rsid w:val="48482E26"/>
    <w:rsid w:val="4875046F"/>
    <w:rsid w:val="48D90193"/>
    <w:rsid w:val="491E21A3"/>
    <w:rsid w:val="49B06B72"/>
    <w:rsid w:val="49F927E9"/>
    <w:rsid w:val="4A695CBB"/>
    <w:rsid w:val="4AEF402B"/>
    <w:rsid w:val="4B5410CE"/>
    <w:rsid w:val="4C0D4686"/>
    <w:rsid w:val="4D5C393A"/>
    <w:rsid w:val="4E737776"/>
    <w:rsid w:val="4F884709"/>
    <w:rsid w:val="4FC375E6"/>
    <w:rsid w:val="502A0955"/>
    <w:rsid w:val="5257047F"/>
    <w:rsid w:val="529C7846"/>
    <w:rsid w:val="537D6985"/>
    <w:rsid w:val="53ED7FA3"/>
    <w:rsid w:val="548B5756"/>
    <w:rsid w:val="562D069E"/>
    <w:rsid w:val="5656504D"/>
    <w:rsid w:val="56A9ACE5"/>
    <w:rsid w:val="574D52F6"/>
    <w:rsid w:val="57F124B8"/>
    <w:rsid w:val="586B0DA0"/>
    <w:rsid w:val="5B5150A4"/>
    <w:rsid w:val="5E4C798F"/>
    <w:rsid w:val="5E75216F"/>
    <w:rsid w:val="5F165949"/>
    <w:rsid w:val="5F1C45FF"/>
    <w:rsid w:val="5FEFBD42"/>
    <w:rsid w:val="62BB227D"/>
    <w:rsid w:val="63A6046B"/>
    <w:rsid w:val="64690EAB"/>
    <w:rsid w:val="64F50F92"/>
    <w:rsid w:val="6653074D"/>
    <w:rsid w:val="678C0E2E"/>
    <w:rsid w:val="68860CA5"/>
    <w:rsid w:val="69281BE2"/>
    <w:rsid w:val="6A177E9C"/>
    <w:rsid w:val="6A5C38C9"/>
    <w:rsid w:val="6BBC5FCE"/>
    <w:rsid w:val="6BD25936"/>
    <w:rsid w:val="6FBD2579"/>
    <w:rsid w:val="6FED3F9B"/>
    <w:rsid w:val="701139EA"/>
    <w:rsid w:val="703B2526"/>
    <w:rsid w:val="70712FCD"/>
    <w:rsid w:val="72014FA3"/>
    <w:rsid w:val="720472B3"/>
    <w:rsid w:val="72E4478C"/>
    <w:rsid w:val="74B344DD"/>
    <w:rsid w:val="755F72B5"/>
    <w:rsid w:val="75C51121"/>
    <w:rsid w:val="75DF8964"/>
    <w:rsid w:val="75F106A5"/>
    <w:rsid w:val="761942CF"/>
    <w:rsid w:val="773A2CDF"/>
    <w:rsid w:val="787B4E47"/>
    <w:rsid w:val="78EF290F"/>
    <w:rsid w:val="79EFCB93"/>
    <w:rsid w:val="7B1D2D88"/>
    <w:rsid w:val="7B4D01D8"/>
    <w:rsid w:val="7BBE4424"/>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5">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200" w:firstLineChars="200"/>
    </w:pPr>
  </w:style>
  <w:style w:type="paragraph" w:styleId="3">
    <w:name w:val="Body Text Indent"/>
    <w:basedOn w:val="1"/>
    <w:unhideWhenUsed/>
    <w:qFormat/>
    <w:uiPriority w:val="99"/>
    <w:pPr>
      <w:spacing w:after="120"/>
      <w:ind w:left="420" w:leftChars="200"/>
    </w:pPr>
  </w:style>
  <w:style w:type="paragraph" w:styleId="4">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annotation text"/>
    <w:basedOn w:val="1"/>
    <w:semiHidden/>
    <w:unhideWhenUsed/>
    <w:qFormat/>
    <w:uiPriority w:val="99"/>
    <w:pPr>
      <w:jc w:val="left"/>
    </w:pPr>
  </w:style>
  <w:style w:type="paragraph" w:styleId="20">
    <w:name w:val="Body Text 3"/>
    <w:basedOn w:val="1"/>
    <w:link w:val="149"/>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next w:val="23"/>
    <w:link w:val="147"/>
    <w:unhideWhenUsed/>
    <w:qFormat/>
    <w:uiPriority w:val="99"/>
    <w:pPr>
      <w:spacing w:after="120"/>
    </w:pPr>
  </w:style>
  <w:style w:type="paragraph" w:styleId="23">
    <w:name w:val="Body Text 2"/>
    <w:basedOn w:val="1"/>
    <w:link w:val="148"/>
    <w:unhideWhenUsed/>
    <w:qFormat/>
    <w:uiPriority w:val="99"/>
    <w:pPr>
      <w:spacing w:after="120" w:line="480" w:lineRule="auto"/>
    </w:pPr>
  </w:style>
  <w:style w:type="paragraph" w:styleId="24">
    <w:name w:val="List Number 3"/>
    <w:basedOn w:val="1"/>
    <w:unhideWhenUsed/>
    <w:qFormat/>
    <w:uiPriority w:val="99"/>
    <w:pPr>
      <w:numPr>
        <w:ilvl w:val="0"/>
        <w:numId w:val="5"/>
      </w:numPr>
      <w:contextualSpacing/>
    </w:pPr>
  </w:style>
  <w:style w:type="paragraph" w:styleId="25">
    <w:name w:val="List 2"/>
    <w:basedOn w:val="1"/>
    <w:unhideWhenUsed/>
    <w:qFormat/>
    <w:uiPriority w:val="99"/>
    <w:pPr>
      <w:ind w:left="720" w:hanging="360"/>
      <w:contextualSpacing/>
    </w:pPr>
  </w:style>
  <w:style w:type="paragraph" w:styleId="26">
    <w:name w:val="List Continue"/>
    <w:basedOn w:val="1"/>
    <w:unhideWhenUsed/>
    <w:qFormat/>
    <w:uiPriority w:val="99"/>
    <w:pPr>
      <w:spacing w:after="120"/>
      <w:ind w:left="360"/>
      <w:contextualSpacing/>
    </w:pPr>
  </w:style>
  <w:style w:type="paragraph" w:styleId="27">
    <w:name w:val="List Bullet 2"/>
    <w:basedOn w:val="1"/>
    <w:unhideWhenUsed/>
    <w:qFormat/>
    <w:uiPriority w:val="99"/>
    <w:pPr>
      <w:numPr>
        <w:ilvl w:val="0"/>
        <w:numId w:val="6"/>
      </w:numPr>
      <w:contextualSpacing/>
    </w:pPr>
  </w:style>
  <w:style w:type="paragraph" w:styleId="28">
    <w:name w:val="footer"/>
    <w:basedOn w:val="1"/>
    <w:link w:val="139"/>
    <w:unhideWhenUsed/>
    <w:qFormat/>
    <w:uiPriority w:val="99"/>
    <w:pPr>
      <w:tabs>
        <w:tab w:val="center" w:pos="4680"/>
        <w:tab w:val="right" w:pos="9360"/>
      </w:tabs>
      <w:spacing w:after="0" w:line="240" w:lineRule="auto"/>
    </w:pPr>
  </w:style>
  <w:style w:type="paragraph" w:styleId="29">
    <w:name w:val="header"/>
    <w:basedOn w:val="1"/>
    <w:link w:val="138"/>
    <w:unhideWhenUsed/>
    <w:qFormat/>
    <w:uiPriority w:val="99"/>
    <w:pPr>
      <w:tabs>
        <w:tab w:val="center" w:pos="4680"/>
        <w:tab w:val="right" w:pos="9360"/>
      </w:tabs>
      <w:spacing w:after="0" w:line="240" w:lineRule="auto"/>
    </w:pPr>
  </w:style>
  <w:style w:type="paragraph" w:styleId="30">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List Continue 2"/>
    <w:basedOn w:val="1"/>
    <w:unhideWhenUsed/>
    <w:qFormat/>
    <w:uiPriority w:val="99"/>
    <w:pPr>
      <w:spacing w:after="120"/>
      <w:ind w:left="720"/>
      <w:contextualSpacing/>
    </w:pPr>
  </w:style>
  <w:style w:type="paragraph" w:styleId="33">
    <w:name w:val="List Continue 3"/>
    <w:basedOn w:val="1"/>
    <w:unhideWhenUsed/>
    <w:qFormat/>
    <w:uiPriority w:val="99"/>
    <w:pPr>
      <w:spacing w:after="120"/>
      <w:ind w:left="1080"/>
      <w:contextualSpacing/>
    </w:pPr>
  </w:style>
  <w:style w:type="paragraph" w:styleId="34">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9"/>
    <w:qFormat/>
    <w:uiPriority w:val="99"/>
  </w:style>
  <w:style w:type="character" w:customStyle="1" w:styleId="139">
    <w:name w:val="Footer Char"/>
    <w:basedOn w:val="135"/>
    <w:link w:val="28"/>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4"/>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2"/>
    <w:qFormat/>
    <w:uiPriority w:val="99"/>
  </w:style>
  <w:style w:type="character" w:customStyle="1" w:styleId="148">
    <w:name w:val="Body Text 2 Char"/>
    <w:basedOn w:val="135"/>
    <w:link w:val="23"/>
    <w:qFormat/>
    <w:uiPriority w:val="99"/>
  </w:style>
  <w:style w:type="character" w:customStyle="1" w:styleId="149">
    <w:name w:val="Body Text 3 Char"/>
    <w:basedOn w:val="135"/>
    <w:link w:val="20"/>
    <w:qFormat/>
    <w:uiPriority w:val="99"/>
    <w:rPr>
      <w:sz w:val="16"/>
      <w:szCs w:val="16"/>
    </w:rPr>
  </w:style>
  <w:style w:type="character" w:customStyle="1" w:styleId="150">
    <w:name w:val="Macro Text Char"/>
    <w:basedOn w:val="135"/>
    <w:link w:val="4"/>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9"/>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10"/>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5"/>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 w:type="paragraph" w:customStyle="1" w:styleId="174">
    <w:name w:val="列出段落11"/>
    <w:basedOn w:val="1"/>
    <w:qFormat/>
    <w:uiPriority w:val="99"/>
    <w:pPr>
      <w:widowControl/>
      <w:adjustRightInd/>
      <w:spacing w:before="40" w:after="160" w:line="240" w:lineRule="auto"/>
      <w:ind w:firstLine="420" w:firstLineChars="200"/>
      <w:textAlignment w:val="auto"/>
    </w:pPr>
    <w:rPr>
      <w:rFonts w:ascii="Cambria" w:hAnsi="Cambria" w:eastAsia="微软雅黑" w:cs="Cambria"/>
      <w:color w:val="565656"/>
      <w:kern w:val="20"/>
      <w:sz w:val="21"/>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13</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cp:lastPrinted>2025-12-31T00:47:00Z</cp:lastPrinted>
  <dcterms:modified xsi:type="dcterms:W3CDTF">2026-03-17T07:59:56Z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