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wordWrap/>
        <w:topLinePunct w:val="0"/>
        <w:bidi w:val="0"/>
        <w:spacing w:line="24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一、项目概况</w:t>
      </w:r>
    </w:p>
    <w:p>
      <w:pPr>
        <w:keepNext w:val="0"/>
        <w:keepLines w:val="0"/>
        <w:pageBreakBefore w:val="0"/>
        <w:widowControl/>
        <w:kinsoku w:val="0"/>
        <w:wordWrap/>
        <w:overflowPunct w:val="0"/>
        <w:topLinePunct w:val="0"/>
        <w:autoSpaceDE w:val="0"/>
        <w:autoSpaceDN w:val="0"/>
        <w:bidi w:val="0"/>
        <w:adjustRightInd w:val="0"/>
        <w:snapToGrid/>
        <w:spacing w:after="0" w:line="360" w:lineRule="auto"/>
        <w:jc w:val="both"/>
        <w:textAlignment w:val="auto"/>
        <w:rPr>
          <w:rFonts w:hint="eastAsia" w:ascii="幼圆" w:hAnsi="幼圆" w:eastAsia="幼圆" w:cs="幼圆"/>
          <w:sz w:val="21"/>
          <w:szCs w:val="20"/>
          <w:lang w:eastAsia="zh-CN"/>
        </w:rPr>
      </w:pPr>
      <w:r>
        <w:rPr>
          <w:rFonts w:hint="eastAsia" w:ascii="幼圆" w:hAnsi="幼圆" w:eastAsia="幼圆" w:cs="幼圆"/>
          <w:sz w:val="21"/>
          <w:szCs w:val="20"/>
          <w:lang w:eastAsia="zh-CN"/>
        </w:rPr>
        <w:t>项目</w:t>
      </w:r>
      <w:r>
        <w:rPr>
          <w:rFonts w:hint="eastAsia" w:ascii="幼圆" w:hAnsi="幼圆" w:eastAsia="幼圆" w:cs="幼圆"/>
          <w:sz w:val="21"/>
          <w:szCs w:val="20"/>
        </w:rPr>
        <w:t>名称：全院饮水机水质检测服务采购项目</w:t>
      </w:r>
    </w:p>
    <w:p>
      <w:pPr>
        <w:keepNext w:val="0"/>
        <w:keepLines w:val="0"/>
        <w:pageBreakBefore w:val="0"/>
        <w:widowControl/>
        <w:kinsoku w:val="0"/>
        <w:wordWrap/>
        <w:overflowPunct w:val="0"/>
        <w:topLinePunct w:val="0"/>
        <w:autoSpaceDE w:val="0"/>
        <w:autoSpaceDN w:val="0"/>
        <w:bidi w:val="0"/>
        <w:adjustRightInd w:val="0"/>
        <w:snapToGrid/>
        <w:spacing w:after="0" w:line="36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建设单位：北京清华长庚医院</w:t>
      </w:r>
    </w:p>
    <w:p>
      <w:pPr>
        <w:keepNext w:val="0"/>
        <w:keepLines w:val="0"/>
        <w:pageBreakBefore w:val="0"/>
        <w:widowControl/>
        <w:kinsoku w:val="0"/>
        <w:wordWrap/>
        <w:overflowPunct w:val="0"/>
        <w:topLinePunct w:val="0"/>
        <w:autoSpaceDE w:val="0"/>
        <w:autoSpaceDN w:val="0"/>
        <w:bidi w:val="0"/>
        <w:adjustRightInd w:val="0"/>
        <w:snapToGrid/>
        <w:spacing w:after="0" w:line="36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建设地点：北京市昌平区立汤路168号</w:t>
      </w:r>
    </w:p>
    <w:p>
      <w:pPr>
        <w:keepNext w:val="0"/>
        <w:keepLines w:val="0"/>
        <w:pageBreakBefore w:val="0"/>
        <w:widowControl/>
        <w:numPr>
          <w:ilvl w:val="0"/>
          <w:numId w:val="8"/>
        </w:numPr>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项目类型</w:t>
      </w:r>
    </w:p>
    <w:p>
      <w:pPr>
        <w:keepNext w:val="0"/>
        <w:keepLines w:val="0"/>
        <w:pageBreakBefore w:val="0"/>
        <w:widowControl/>
        <w:numPr>
          <w:ilvl w:val="0"/>
          <w:numId w:val="0"/>
        </w:numPr>
        <w:wordWrap/>
        <w:topLinePunct w:val="0"/>
        <w:bidi w:val="0"/>
        <w:snapToGrid/>
        <w:spacing w:line="240" w:lineRule="auto"/>
        <w:textAlignment w:val="auto"/>
        <w:rPr>
          <w:rFonts w:hint="eastAsia" w:ascii="幼圆" w:hAnsi="幼圆" w:eastAsia="幼圆" w:cs="幼圆"/>
          <w:b w:val="0"/>
          <w:bCs w:val="0"/>
          <w:sz w:val="21"/>
          <w:szCs w:val="20"/>
          <w:lang w:val="en-US" w:eastAsia="zh-CN"/>
        </w:rPr>
      </w:pPr>
      <w:r>
        <w:rPr>
          <w:rFonts w:hint="eastAsia" w:ascii="幼圆" w:hAnsi="幼圆" w:eastAsia="幼圆" w:cs="幼圆"/>
          <w:b w:val="0"/>
          <w:bCs w:val="0"/>
          <w:sz w:val="21"/>
          <w:szCs w:val="20"/>
          <w:lang w:val="en-US" w:eastAsia="zh-CN"/>
        </w:rPr>
        <w:t>维保服务类</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color w:val="FF0000"/>
          <w:sz w:val="21"/>
          <w:szCs w:val="20"/>
          <w:lang w:val="en-US" w:eastAsia="zh-CN"/>
        </w:rPr>
      </w:pPr>
      <w:r>
        <w:rPr>
          <w:rFonts w:hint="eastAsia" w:ascii="幼圆" w:hAnsi="幼圆" w:eastAsia="幼圆" w:cs="幼圆"/>
          <w:sz w:val="21"/>
          <w:szCs w:val="20"/>
          <w:lang w:val="en-US" w:eastAsia="zh-CN"/>
        </w:rPr>
        <w:t>1、具有有效的企业营业执照；</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2、在中华人民共和国境内注册登记，有生产或供应能力的本国供应商，包括法人、其他组织和个人；</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3、投标人在近三年内（2023年2月-至今） 没有骗取中标和严重违约及重大项目质量问题；参加本采购活动前三年内，在经营活动中没有重大违法记录；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4、具有良好的商业信誉和健全的财务会计制度；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5、具有依法缴纳税收和社会保障资金的良好记录；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6、本项目不接受联合体投标。 </w:t>
      </w:r>
    </w:p>
    <w:p>
      <w:pPr>
        <w:pStyle w:val="2"/>
        <w:ind w:left="0" w:leftChars="0" w:firstLine="0" w:firstLineChars="0"/>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7、2.具备CMA 检验检测机构资质认定证书，资质范围包含生活饮用水 / 直饮水检测项目。。</w:t>
      </w:r>
      <w:r>
        <w:rPr>
          <w:rFonts w:hint="eastAsia" w:ascii="幼圆" w:hAnsi="幼圆" w:eastAsia="幼圆" w:cs="幼圆"/>
          <w:b/>
          <w:bCs/>
          <w:color w:val="FF0000"/>
          <w:sz w:val="21"/>
          <w:szCs w:val="20"/>
          <w:lang w:val="en-US" w:eastAsia="zh-CN"/>
        </w:rPr>
        <w:t>(*资格条件必须满足，废标项）</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四、服务期要求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1"/>
          <w:szCs w:val="20"/>
          <w:lang w:val="en-US" w:eastAsia="zh-CN"/>
        </w:rPr>
        <w:t>合同履行期限：一年</w:t>
      </w:r>
      <w:r>
        <w:rPr>
          <w:rFonts w:hint="eastAsia" w:ascii="幼圆" w:hAnsi="幼圆" w:eastAsia="幼圆" w:cs="幼圆"/>
          <w:b/>
          <w:bCs/>
          <w:color w:val="FF0000"/>
          <w:sz w:val="21"/>
          <w:szCs w:val="20"/>
          <w:lang w:val="en-US" w:eastAsia="zh-CN"/>
        </w:rPr>
        <w:t>（*必须响应，废标项）</w:t>
      </w:r>
      <w:bookmarkStart w:id="0" w:name="_Toc195775598"/>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五、维保内容</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rPr>
          <w:rFonts w:hint="eastAsia" w:ascii="幼圆" w:hAnsi="幼圆" w:eastAsia="幼圆" w:cs="幼圆"/>
          <w:color w:val="000000"/>
          <w:sz w:val="24"/>
          <w:szCs w:val="24"/>
        </w:rPr>
      </w:pP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lang w:val="en-US" w:eastAsia="zh-CN"/>
        </w:rPr>
        <w:t>一</w:t>
      </w: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rPr>
        <w:t>检测依据标准</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《生活饮用水卫生标准》（GB 5749-2022）</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《生活饮用水标准检验方法》（GB/T 5750-2023）</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《饮用净水水质标准》（CJ 94-2005）</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国家及地方现行卫生规范、医院感染管理相关要求</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rPr>
          <w:rFonts w:hint="eastAsia" w:ascii="幼圆" w:hAnsi="幼圆" w:eastAsia="幼圆" w:cs="幼圆"/>
          <w:color w:val="000000"/>
          <w:sz w:val="24"/>
          <w:szCs w:val="24"/>
        </w:rPr>
      </w:pP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lang w:val="en-US" w:eastAsia="zh-CN"/>
        </w:rPr>
        <w:t>二</w:t>
      </w: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rPr>
        <w:t>、检测点位、数量与频次</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Style w:val="136"/>
          <w:rFonts w:hint="eastAsia" w:ascii="幼圆" w:hAnsi="幼圆" w:eastAsia="幼圆" w:cs="幼圆"/>
          <w:b w:val="0"/>
          <w:bCs w:val="0"/>
          <w:color w:val="000000"/>
          <w:sz w:val="24"/>
          <w:szCs w:val="24"/>
        </w:rPr>
        <w:t>检测点位</w:t>
      </w:r>
      <w:r>
        <w:rPr>
          <w:rFonts w:hint="eastAsia" w:ascii="幼圆" w:hAnsi="幼圆" w:eastAsia="幼圆" w:cs="幼圆"/>
          <w:color w:val="000000"/>
          <w:sz w:val="24"/>
          <w:szCs w:val="24"/>
        </w:rPr>
        <w:t>：全院</w:t>
      </w:r>
      <w:r>
        <w:rPr>
          <w:rStyle w:val="136"/>
          <w:rFonts w:hint="eastAsia" w:ascii="幼圆" w:hAnsi="幼圆" w:eastAsia="幼圆" w:cs="幼圆"/>
          <w:b/>
          <w:bCs/>
          <w:color w:val="000000"/>
          <w:sz w:val="24"/>
          <w:szCs w:val="24"/>
        </w:rPr>
        <w:t>213 台饮水机</w:t>
      </w:r>
      <w:r>
        <w:rPr>
          <w:rFonts w:hint="eastAsia" w:ascii="幼圆" w:hAnsi="幼圆" w:eastAsia="幼圆" w:cs="幼圆"/>
          <w:color w:val="000000"/>
          <w:sz w:val="24"/>
          <w:szCs w:val="24"/>
        </w:rPr>
        <w:t>，每台为 1 个独立检测点位。</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Style w:val="136"/>
          <w:rFonts w:hint="eastAsia" w:ascii="幼圆" w:hAnsi="幼圆" w:eastAsia="幼圆" w:cs="幼圆"/>
          <w:b w:val="0"/>
          <w:bCs w:val="0"/>
          <w:color w:val="000000"/>
          <w:sz w:val="24"/>
          <w:szCs w:val="24"/>
        </w:rPr>
        <w:t>常规检测频次</w:t>
      </w:r>
      <w:r>
        <w:rPr>
          <w:rFonts w:hint="eastAsia" w:ascii="幼圆" w:hAnsi="幼圆" w:eastAsia="幼圆" w:cs="幼圆"/>
          <w:color w:val="000000"/>
          <w:sz w:val="24"/>
          <w:szCs w:val="24"/>
        </w:rPr>
        <w:t>：</w:t>
      </w:r>
      <w:r>
        <w:rPr>
          <w:rStyle w:val="136"/>
          <w:rFonts w:hint="eastAsia" w:ascii="幼圆" w:hAnsi="幼圆" w:eastAsia="幼圆" w:cs="幼圆"/>
          <w:b w:val="0"/>
          <w:bCs w:val="0"/>
          <w:color w:val="000000"/>
          <w:sz w:val="24"/>
          <w:szCs w:val="24"/>
        </w:rPr>
        <w:t>全年共</w:t>
      </w:r>
      <w:r>
        <w:rPr>
          <w:rStyle w:val="136"/>
          <w:rFonts w:hint="eastAsia" w:ascii="幼圆" w:hAnsi="幼圆" w:eastAsia="幼圆" w:cs="幼圆"/>
          <w:b w:val="0"/>
          <w:bCs w:val="0"/>
          <w:color w:val="000000"/>
          <w:sz w:val="24"/>
          <w:szCs w:val="24"/>
          <w:lang w:val="en-US" w:eastAsia="zh-CN"/>
        </w:rPr>
        <w:t>1</w:t>
      </w:r>
      <w:r>
        <w:rPr>
          <w:rStyle w:val="136"/>
          <w:rFonts w:hint="eastAsia" w:ascii="幼圆" w:hAnsi="幼圆" w:eastAsia="幼圆" w:cs="幼圆"/>
          <w:b w:val="0"/>
          <w:bCs w:val="0"/>
          <w:color w:val="000000"/>
          <w:sz w:val="24"/>
          <w:szCs w:val="24"/>
        </w:rPr>
        <w:t>次</w:t>
      </w:r>
      <w:r>
        <w:rPr>
          <w:rFonts w:hint="eastAsia" w:ascii="幼圆" w:hAnsi="幼圆" w:eastAsia="幼圆" w:cs="幼圆"/>
          <w:color w:val="000000"/>
          <w:sz w:val="24"/>
          <w:szCs w:val="24"/>
        </w:rPr>
        <w:t>。</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Style w:val="136"/>
          <w:rFonts w:hint="eastAsia" w:ascii="幼圆" w:hAnsi="幼圆" w:eastAsia="幼圆" w:cs="幼圆"/>
          <w:b w:val="0"/>
          <w:bCs w:val="0"/>
          <w:color w:val="000000"/>
          <w:sz w:val="24"/>
          <w:szCs w:val="24"/>
        </w:rPr>
        <w:t>复检要求</w:t>
      </w:r>
      <w:r>
        <w:rPr>
          <w:rFonts w:hint="eastAsia" w:ascii="幼圆" w:hAnsi="幼圆" w:eastAsia="幼圆" w:cs="幼圆"/>
          <w:color w:val="000000"/>
          <w:sz w:val="24"/>
          <w:szCs w:val="24"/>
        </w:rPr>
        <w:t>：不合格点位</w:t>
      </w:r>
      <w:r>
        <w:rPr>
          <w:rStyle w:val="136"/>
          <w:rFonts w:hint="eastAsia" w:ascii="幼圆" w:hAnsi="幼圆" w:eastAsia="幼圆" w:cs="幼圆"/>
          <w:b/>
          <w:bCs/>
          <w:color w:val="000000"/>
          <w:sz w:val="24"/>
          <w:szCs w:val="24"/>
        </w:rPr>
        <w:t>免费复检</w:t>
      </w:r>
      <w:r>
        <w:rPr>
          <w:rStyle w:val="136"/>
          <w:rFonts w:hint="eastAsia" w:ascii="幼圆" w:hAnsi="幼圆" w:eastAsia="幼圆" w:cs="幼圆"/>
          <w:b/>
          <w:bCs/>
          <w:color w:val="000000"/>
          <w:sz w:val="24"/>
          <w:szCs w:val="24"/>
          <w:lang w:eastAsia="zh-CN"/>
        </w:rPr>
        <w:t>（不超过总样本数</w:t>
      </w:r>
      <w:r>
        <w:rPr>
          <w:rStyle w:val="136"/>
          <w:rFonts w:hint="eastAsia" w:ascii="幼圆" w:hAnsi="幼圆" w:eastAsia="幼圆" w:cs="幼圆"/>
          <w:b/>
          <w:bCs/>
          <w:color w:val="000000"/>
          <w:sz w:val="24"/>
          <w:szCs w:val="24"/>
          <w:lang w:val="en-US" w:eastAsia="zh-CN"/>
        </w:rPr>
        <w:t>5%</w:t>
      </w:r>
      <w:r>
        <w:rPr>
          <w:rStyle w:val="136"/>
          <w:rFonts w:hint="eastAsia" w:ascii="幼圆" w:hAnsi="幼圆" w:eastAsia="幼圆" w:cs="幼圆"/>
          <w:b/>
          <w:bCs/>
          <w:color w:val="000000"/>
          <w:sz w:val="24"/>
          <w:szCs w:val="24"/>
          <w:lang w:eastAsia="zh-CN"/>
        </w:rPr>
        <w:t>）</w:t>
      </w:r>
      <w:r>
        <w:rPr>
          <w:rFonts w:hint="eastAsia" w:ascii="幼圆" w:hAnsi="幼圆" w:eastAsia="幼圆" w:cs="幼圆"/>
          <w:color w:val="000000"/>
          <w:sz w:val="24"/>
          <w:szCs w:val="24"/>
        </w:rPr>
        <w:t>，接到通知后</w:t>
      </w:r>
      <w:r>
        <w:rPr>
          <w:rStyle w:val="136"/>
          <w:rFonts w:hint="eastAsia" w:ascii="幼圆" w:hAnsi="幼圆" w:eastAsia="幼圆" w:cs="幼圆"/>
          <w:b w:val="0"/>
          <w:bCs w:val="0"/>
          <w:color w:val="000000"/>
          <w:sz w:val="24"/>
          <w:szCs w:val="24"/>
        </w:rPr>
        <w:t>24 小时内</w:t>
      </w:r>
      <w:r>
        <w:rPr>
          <w:rFonts w:hint="eastAsia" w:ascii="幼圆" w:hAnsi="幼圆" w:eastAsia="幼圆" w:cs="幼圆"/>
          <w:color w:val="000000"/>
          <w:sz w:val="24"/>
          <w:szCs w:val="24"/>
        </w:rPr>
        <w:t>到场采样。</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rPr>
          <w:rFonts w:hint="eastAsia" w:ascii="幼圆" w:hAnsi="幼圆" w:eastAsia="幼圆" w:cs="幼圆"/>
          <w:color w:val="000000"/>
          <w:sz w:val="24"/>
          <w:szCs w:val="24"/>
        </w:rPr>
      </w:pP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lang w:val="en-US" w:eastAsia="zh-CN"/>
        </w:rPr>
        <w:t>三</w:t>
      </w: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rPr>
        <w:t>水质检测项目</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rPr>
          <w:rFonts w:hint="eastAsia" w:ascii="幼圆" w:hAnsi="幼圆" w:eastAsia="幼圆" w:cs="幼圆"/>
          <w:color w:val="000000"/>
          <w:sz w:val="24"/>
          <w:szCs w:val="24"/>
        </w:rPr>
      </w:pPr>
      <w:r>
        <w:rPr>
          <w:rFonts w:hint="eastAsia" w:ascii="幼圆" w:hAnsi="幼圆" w:eastAsia="幼圆" w:cs="幼圆"/>
          <w:color w:val="000000"/>
          <w:sz w:val="24"/>
          <w:szCs w:val="24"/>
          <w:lang w:val="en-US" w:eastAsia="zh-CN"/>
        </w:rPr>
        <w:t>1.</w:t>
      </w:r>
      <w:r>
        <w:rPr>
          <w:rFonts w:hint="eastAsia" w:ascii="幼圆" w:hAnsi="幼圆" w:eastAsia="幼圆" w:cs="幼圆"/>
          <w:color w:val="000000"/>
          <w:sz w:val="24"/>
          <w:szCs w:val="24"/>
        </w:rPr>
        <w:t>微生物指标</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kern w:val="0"/>
          <w:sz w:val="24"/>
          <w:szCs w:val="24"/>
          <w:lang w:val="en-US" w:eastAsia="zh-CN" w:bidi="ar"/>
        </w:rPr>
        <w:t>菌落总数、总大肠菌群、大肠埃希氏菌、耐热大肠菌群</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rPr>
          <w:rFonts w:hint="eastAsia" w:ascii="幼圆" w:hAnsi="幼圆" w:eastAsia="幼圆" w:cs="幼圆"/>
          <w:color w:val="000000"/>
          <w:sz w:val="24"/>
          <w:szCs w:val="24"/>
        </w:rPr>
      </w:pPr>
      <w:r>
        <w:rPr>
          <w:rFonts w:hint="eastAsia" w:ascii="幼圆" w:hAnsi="幼圆" w:eastAsia="幼圆" w:cs="幼圆"/>
          <w:color w:val="000000"/>
          <w:sz w:val="24"/>
          <w:szCs w:val="24"/>
          <w:lang w:val="en-US" w:eastAsia="zh-CN"/>
        </w:rPr>
        <w:t>2.</w:t>
      </w:r>
      <w:r>
        <w:rPr>
          <w:rFonts w:hint="eastAsia" w:ascii="幼圆" w:hAnsi="幼圆" w:eastAsia="幼圆" w:cs="幼圆"/>
          <w:color w:val="000000"/>
          <w:sz w:val="24"/>
          <w:szCs w:val="24"/>
        </w:rPr>
        <w:t>感官性状和物理指标</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kern w:val="0"/>
          <w:sz w:val="24"/>
          <w:szCs w:val="24"/>
          <w:lang w:val="en-US" w:eastAsia="zh-CN" w:bidi="ar"/>
        </w:rPr>
        <w:t>色度、浑浊度、臭和味、肉眼可见物</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rPr>
          <w:rFonts w:hint="eastAsia" w:ascii="幼圆" w:hAnsi="幼圆" w:eastAsia="幼圆" w:cs="幼圆"/>
          <w:color w:val="000000"/>
          <w:sz w:val="24"/>
          <w:szCs w:val="24"/>
        </w:rPr>
      </w:pPr>
      <w:r>
        <w:rPr>
          <w:rFonts w:hint="eastAsia" w:ascii="幼圆" w:hAnsi="幼圆" w:eastAsia="幼圆" w:cs="幼圆"/>
          <w:color w:val="000000"/>
          <w:sz w:val="24"/>
          <w:szCs w:val="24"/>
          <w:lang w:val="en-US" w:eastAsia="zh-CN"/>
        </w:rPr>
        <w:t>3.</w:t>
      </w:r>
      <w:r>
        <w:rPr>
          <w:rFonts w:hint="eastAsia" w:ascii="幼圆" w:hAnsi="幼圆" w:eastAsia="幼圆" w:cs="幼圆"/>
          <w:color w:val="000000"/>
          <w:sz w:val="24"/>
          <w:szCs w:val="24"/>
        </w:rPr>
        <w:t>一般化学指标</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kern w:val="0"/>
          <w:sz w:val="24"/>
          <w:szCs w:val="24"/>
          <w:lang w:val="en-US" w:eastAsia="zh-CN" w:bidi="ar"/>
        </w:rPr>
        <w:t>pH 值、耗氧量（高锰酸盐指数）、总硬度、氯化物、硫酸盐</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rPr>
          <w:rFonts w:hint="eastAsia" w:ascii="幼圆" w:hAnsi="幼圆" w:eastAsia="幼圆" w:cs="幼圆"/>
          <w:color w:val="000000"/>
          <w:sz w:val="24"/>
          <w:szCs w:val="24"/>
        </w:rPr>
      </w:pPr>
      <w:r>
        <w:rPr>
          <w:rFonts w:hint="eastAsia" w:ascii="幼圆" w:hAnsi="幼圆" w:eastAsia="幼圆" w:cs="幼圆"/>
          <w:color w:val="000000"/>
          <w:sz w:val="24"/>
          <w:szCs w:val="24"/>
          <w:lang w:val="en-US" w:eastAsia="zh-CN"/>
        </w:rPr>
        <w:t>4.</w:t>
      </w:r>
      <w:r>
        <w:rPr>
          <w:rFonts w:hint="eastAsia" w:ascii="幼圆" w:hAnsi="幼圆" w:eastAsia="幼圆" w:cs="幼圆"/>
          <w:color w:val="000000"/>
          <w:sz w:val="24"/>
          <w:szCs w:val="24"/>
        </w:rPr>
        <w:t>消毒剂指标</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kern w:val="0"/>
          <w:sz w:val="24"/>
          <w:szCs w:val="24"/>
          <w:lang w:val="en-US" w:eastAsia="zh-CN" w:bidi="ar"/>
        </w:rPr>
        <w:t>游离余氯（或二氧化氯）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rPr>
          <w:rFonts w:hint="eastAsia" w:ascii="幼圆" w:hAnsi="幼圆" w:eastAsia="幼圆" w:cs="幼圆"/>
          <w:color w:val="000000"/>
          <w:sz w:val="24"/>
          <w:szCs w:val="24"/>
        </w:rPr>
      </w:pPr>
      <w:r>
        <w:rPr>
          <w:rFonts w:hint="eastAsia" w:ascii="幼圆" w:hAnsi="幼圆" w:eastAsia="幼圆" w:cs="幼圆"/>
          <w:color w:val="000000"/>
          <w:sz w:val="24"/>
          <w:szCs w:val="24"/>
          <w:lang w:val="en-US" w:eastAsia="zh-CN"/>
        </w:rPr>
        <w:t>5.</w:t>
      </w:r>
      <w:r>
        <w:rPr>
          <w:rFonts w:hint="eastAsia" w:ascii="幼圆" w:hAnsi="幼圆" w:eastAsia="幼圆" w:cs="幼圆"/>
          <w:color w:val="000000"/>
          <w:sz w:val="24"/>
          <w:szCs w:val="24"/>
        </w:rPr>
        <w:t>毒理指标</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kern w:val="0"/>
          <w:sz w:val="24"/>
          <w:szCs w:val="24"/>
          <w:lang w:val="en-US" w:eastAsia="zh-CN" w:bidi="ar"/>
        </w:rPr>
        <w:t>氟化物、硝酸盐（以 N 计）、砷、铅、镉、六价铬</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kern w:val="0"/>
          <w:sz w:val="24"/>
          <w:szCs w:val="24"/>
          <w:lang w:val="en-US" w:eastAsia="zh-CN" w:bidi="ar"/>
        </w:rPr>
        <w:t>所有检测项目</w:t>
      </w:r>
      <w:r>
        <w:rPr>
          <w:rStyle w:val="136"/>
          <w:rFonts w:hint="eastAsia" w:ascii="幼圆" w:hAnsi="幼圆" w:eastAsia="幼圆" w:cs="幼圆"/>
          <w:b w:val="0"/>
          <w:bCs w:val="0"/>
          <w:color w:val="000000"/>
          <w:kern w:val="0"/>
          <w:sz w:val="24"/>
          <w:szCs w:val="24"/>
          <w:lang w:val="en-US" w:eastAsia="zh-CN" w:bidi="ar"/>
        </w:rPr>
        <w:t>不得缺项、漏项</w:t>
      </w:r>
      <w:r>
        <w:rPr>
          <w:rFonts w:hint="eastAsia" w:ascii="幼圆" w:hAnsi="幼圆" w:eastAsia="幼圆" w:cs="幼圆"/>
          <w:color w:val="000000"/>
          <w:kern w:val="0"/>
          <w:sz w:val="24"/>
          <w:szCs w:val="24"/>
          <w:lang w:val="en-US" w:eastAsia="zh-CN" w:bidi="ar"/>
        </w:rPr>
        <w:t>，必须采用国家标准方法检测。</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rPr>
          <w:rFonts w:hint="eastAsia" w:ascii="幼圆" w:hAnsi="幼圆" w:eastAsia="幼圆" w:cs="幼圆"/>
          <w:color w:val="000000"/>
          <w:sz w:val="24"/>
          <w:szCs w:val="24"/>
        </w:rPr>
      </w:pP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lang w:val="en-US" w:eastAsia="zh-CN"/>
        </w:rPr>
        <w:t>四</w:t>
      </w: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rPr>
        <w:t>采样技术要求</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采样前对饮水机充分放水冲洗，确保水样具有代表性。</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使用</w:t>
      </w:r>
      <w:r>
        <w:rPr>
          <w:rStyle w:val="136"/>
          <w:rFonts w:hint="eastAsia" w:ascii="幼圆" w:hAnsi="幼圆" w:eastAsia="幼圆" w:cs="幼圆"/>
          <w:b w:val="0"/>
          <w:bCs w:val="0"/>
          <w:color w:val="000000"/>
          <w:sz w:val="24"/>
          <w:szCs w:val="24"/>
        </w:rPr>
        <w:t>无菌、合规采样容器</w:t>
      </w:r>
      <w:r>
        <w:rPr>
          <w:rFonts w:hint="eastAsia" w:ascii="幼圆" w:hAnsi="幼圆" w:eastAsia="幼圆" w:cs="幼圆"/>
          <w:color w:val="000000"/>
          <w:sz w:val="24"/>
          <w:szCs w:val="24"/>
        </w:rPr>
        <w:t>，每台饮水机单独编号、粘贴唯一性标识。</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采样记录：设备编号、安装位置、出水温度、运行状态、采样时间、采样人。</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严格遵守医院</w:t>
      </w:r>
      <w:r>
        <w:rPr>
          <w:rStyle w:val="136"/>
          <w:rFonts w:hint="eastAsia" w:ascii="幼圆" w:hAnsi="幼圆" w:eastAsia="幼圆" w:cs="幼圆"/>
          <w:b w:val="0"/>
          <w:bCs w:val="0"/>
          <w:color w:val="000000"/>
          <w:sz w:val="24"/>
          <w:szCs w:val="24"/>
        </w:rPr>
        <w:t>院感防控要求</w:t>
      </w:r>
      <w:r>
        <w:rPr>
          <w:rFonts w:hint="eastAsia" w:ascii="幼圆" w:hAnsi="幼圆" w:eastAsia="幼圆" w:cs="幼圆"/>
          <w:color w:val="000000"/>
          <w:sz w:val="24"/>
          <w:szCs w:val="24"/>
        </w:rPr>
        <w:t>，规范穿戴防护用品，不干扰诊疗秩序。</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样品保存、运输、交接全程符合国家标准，确保在有效期内完成检测。</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rPr>
          <w:rFonts w:hint="eastAsia" w:ascii="幼圆" w:hAnsi="幼圆" w:eastAsia="幼圆" w:cs="幼圆"/>
          <w:color w:val="000000"/>
          <w:sz w:val="24"/>
          <w:szCs w:val="24"/>
        </w:rPr>
      </w:pP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lang w:val="en-US" w:eastAsia="zh-CN"/>
        </w:rPr>
        <w:t>五</w:t>
      </w: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rPr>
        <w:t>质量控制与异常处置</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检测全过程执行空白试验、平行样、加标回收、标准物质比对等质量控制措施。</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原始记录清晰、完整、规范，保存期限不少于</w:t>
      </w:r>
      <w:r>
        <w:rPr>
          <w:rStyle w:val="136"/>
          <w:rFonts w:hint="eastAsia" w:ascii="幼圆" w:hAnsi="幼圆" w:eastAsia="幼圆" w:cs="幼圆"/>
          <w:b w:val="0"/>
          <w:bCs w:val="0"/>
          <w:color w:val="000000"/>
          <w:sz w:val="24"/>
          <w:szCs w:val="24"/>
          <w:lang w:val="en-US" w:eastAsia="zh-CN"/>
        </w:rPr>
        <w:t>3</w:t>
      </w:r>
      <w:r>
        <w:rPr>
          <w:rStyle w:val="136"/>
          <w:rFonts w:hint="eastAsia" w:ascii="幼圆" w:hAnsi="幼圆" w:eastAsia="幼圆" w:cs="幼圆"/>
          <w:b w:val="0"/>
          <w:bCs w:val="0"/>
          <w:color w:val="000000"/>
          <w:sz w:val="24"/>
          <w:szCs w:val="24"/>
        </w:rPr>
        <w:t>年</w:t>
      </w:r>
      <w:r>
        <w:rPr>
          <w:rFonts w:hint="eastAsia" w:ascii="幼圆" w:hAnsi="幼圆" w:eastAsia="幼圆" w:cs="幼圆"/>
          <w:color w:val="000000"/>
          <w:sz w:val="24"/>
          <w:szCs w:val="24"/>
        </w:rPr>
        <w:t>。</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水质异常处置：</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200" w:right="0" w:rightChars="0" w:firstLine="240" w:firstLineChars="100"/>
        <w:jc w:val="left"/>
        <w:rPr>
          <w:rFonts w:hint="eastAsia" w:ascii="幼圆" w:hAnsi="幼圆" w:eastAsia="幼圆" w:cs="幼圆"/>
          <w:color w:val="000000"/>
          <w:sz w:val="24"/>
          <w:szCs w:val="24"/>
        </w:rPr>
      </w:pPr>
      <w:r>
        <w:rPr>
          <w:rFonts w:hint="eastAsia" w:ascii="幼圆" w:hAnsi="幼圆" w:eastAsia="幼圆" w:cs="幼圆"/>
          <w:color w:val="000000"/>
          <w:sz w:val="24"/>
          <w:szCs w:val="24"/>
        </w:rPr>
        <w:t>发现不合格指标，</w:t>
      </w:r>
      <w:r>
        <w:rPr>
          <w:rStyle w:val="136"/>
          <w:rFonts w:hint="eastAsia" w:ascii="幼圆" w:hAnsi="幼圆" w:eastAsia="幼圆" w:cs="幼圆"/>
          <w:b w:val="0"/>
          <w:bCs w:val="0"/>
          <w:color w:val="000000"/>
          <w:sz w:val="24"/>
          <w:szCs w:val="24"/>
          <w:lang w:eastAsia="zh-CN"/>
        </w:rPr>
        <w:t>立即</w:t>
      </w:r>
      <w:r>
        <w:rPr>
          <w:rStyle w:val="136"/>
          <w:rFonts w:hint="eastAsia" w:ascii="幼圆" w:hAnsi="幼圆" w:eastAsia="幼圆" w:cs="幼圆"/>
          <w:b w:val="0"/>
          <w:bCs w:val="0"/>
          <w:color w:val="000000"/>
          <w:sz w:val="24"/>
          <w:szCs w:val="24"/>
        </w:rPr>
        <w:t>上报</w:t>
      </w:r>
      <w:r>
        <w:rPr>
          <w:rFonts w:hint="eastAsia" w:ascii="幼圆" w:hAnsi="幼圆" w:eastAsia="幼圆" w:cs="幼圆"/>
          <w:color w:val="000000"/>
          <w:sz w:val="24"/>
          <w:szCs w:val="24"/>
          <w:lang w:eastAsia="zh-CN"/>
        </w:rPr>
        <w:t>工务科</w:t>
      </w:r>
      <w:r>
        <w:rPr>
          <w:rFonts w:hint="eastAsia" w:ascii="幼圆" w:hAnsi="幼圆" w:eastAsia="幼圆" w:cs="幼圆"/>
          <w:color w:val="000000"/>
          <w:sz w:val="24"/>
          <w:szCs w:val="24"/>
        </w:rPr>
        <w: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200" w:right="0" w:rightChars="0" w:firstLine="240" w:firstLineChars="100"/>
        <w:jc w:val="left"/>
        <w:rPr>
          <w:rFonts w:hint="eastAsia" w:ascii="幼圆" w:hAnsi="幼圆" w:eastAsia="幼圆" w:cs="幼圆"/>
          <w:color w:val="000000"/>
          <w:sz w:val="24"/>
          <w:szCs w:val="24"/>
        </w:rPr>
      </w:pPr>
      <w:r>
        <w:rPr>
          <w:rStyle w:val="136"/>
          <w:rFonts w:hint="eastAsia" w:ascii="幼圆" w:hAnsi="幼圆" w:eastAsia="幼圆" w:cs="幼圆"/>
          <w:b w:val="0"/>
          <w:bCs w:val="0"/>
          <w:color w:val="000000"/>
          <w:sz w:val="24"/>
          <w:szCs w:val="24"/>
        </w:rPr>
        <w:t>24 小时内提交书面超标预警、风险分析及整改建议</w:t>
      </w:r>
      <w:r>
        <w:rPr>
          <w:rFonts w:hint="eastAsia" w:ascii="幼圆" w:hAnsi="幼圆" w:eastAsia="幼圆" w:cs="幼圆"/>
          <w:color w:val="000000"/>
          <w:sz w:val="24"/>
          <w:szCs w:val="24"/>
        </w:rPr>
        <w:t>。</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严禁伪造、篡改检测数据，一经发现立即终止合同并追究法律责任。</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rPr>
          <w:rFonts w:hint="eastAsia" w:ascii="幼圆" w:hAnsi="幼圆" w:eastAsia="幼圆" w:cs="幼圆"/>
          <w:color w:val="000000"/>
          <w:sz w:val="24"/>
          <w:szCs w:val="24"/>
        </w:rPr>
      </w:pP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lang w:val="en-US" w:eastAsia="zh-CN"/>
        </w:rPr>
        <w:t>六</w:t>
      </w: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rPr>
        <w:t>检测报告要求</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每台饮水机</w:t>
      </w:r>
      <w:r>
        <w:rPr>
          <w:rStyle w:val="136"/>
          <w:rFonts w:hint="eastAsia" w:ascii="幼圆" w:hAnsi="幼圆" w:eastAsia="幼圆" w:cs="幼圆"/>
          <w:b w:val="0"/>
          <w:bCs w:val="0"/>
          <w:color w:val="000000"/>
          <w:sz w:val="24"/>
          <w:szCs w:val="24"/>
        </w:rPr>
        <w:t>单独出具一份加盖 CMA 资质印章的正式检测报告</w:t>
      </w:r>
      <w:r>
        <w:rPr>
          <w:rFonts w:hint="eastAsia" w:ascii="幼圆" w:hAnsi="幼圆" w:eastAsia="幼圆" w:cs="幼圆"/>
          <w:color w:val="000000"/>
          <w:sz w:val="24"/>
          <w:szCs w:val="24"/>
        </w:rPr>
        <w:t>。</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采样完成后</w:t>
      </w:r>
      <w:r>
        <w:rPr>
          <w:rStyle w:val="136"/>
          <w:rFonts w:hint="eastAsia" w:ascii="幼圆" w:hAnsi="幼圆" w:eastAsia="幼圆" w:cs="幼圆"/>
          <w:b/>
          <w:bCs/>
          <w:color w:val="000000"/>
          <w:sz w:val="24"/>
          <w:szCs w:val="24"/>
        </w:rPr>
        <w:t>7</w:t>
      </w:r>
      <w:r>
        <w:rPr>
          <w:rStyle w:val="136"/>
          <w:rFonts w:hint="eastAsia" w:ascii="幼圆" w:hAnsi="幼圆" w:eastAsia="幼圆" w:cs="幼圆"/>
          <w:b/>
          <w:bCs/>
          <w:color w:val="000000"/>
          <w:sz w:val="24"/>
          <w:szCs w:val="24"/>
          <w:lang w:val="en-US" w:eastAsia="zh-CN"/>
        </w:rPr>
        <w:t>~</w:t>
      </w:r>
      <w:r>
        <w:rPr>
          <w:rStyle w:val="136"/>
          <w:rFonts w:hint="eastAsia" w:ascii="幼圆" w:hAnsi="幼圆" w:eastAsia="幼圆" w:cs="幼圆"/>
          <w:b/>
          <w:bCs/>
          <w:color w:val="000000"/>
          <w:sz w:val="24"/>
          <w:szCs w:val="24"/>
        </w:rPr>
        <w:t>10 个工作日内</w:t>
      </w:r>
      <w:r>
        <w:rPr>
          <w:rFonts w:hint="eastAsia" w:ascii="幼圆" w:hAnsi="幼圆" w:eastAsia="幼圆" w:cs="幼圆"/>
          <w:color w:val="000000"/>
          <w:sz w:val="24"/>
          <w:szCs w:val="24"/>
        </w:rPr>
        <w:t>提交全部报告。</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报告内容：样品信息、检测项目、检测方法、标准限值、检测结果、单项判定、总体结论、检测依据、CMA 印章、检测机构公章。</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提交形式：</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200" w:right="0" w:rightChars="0" w:firstLine="240" w:firstLineChars="100"/>
        <w:jc w:val="left"/>
        <w:rPr>
          <w:rFonts w:hint="eastAsia" w:ascii="幼圆" w:hAnsi="幼圆" w:eastAsia="幼圆" w:cs="幼圆"/>
          <w:color w:val="000000"/>
          <w:sz w:val="24"/>
          <w:szCs w:val="24"/>
        </w:rPr>
      </w:pPr>
      <w:r>
        <w:rPr>
          <w:rFonts w:hint="eastAsia" w:ascii="幼圆" w:hAnsi="幼圆" w:eastAsia="幼圆" w:cs="幼圆"/>
          <w:color w:val="000000"/>
          <w:sz w:val="24"/>
          <w:szCs w:val="24"/>
        </w:rPr>
        <w:t>纸质版：</w:t>
      </w:r>
      <w:r>
        <w:rPr>
          <w:rStyle w:val="136"/>
          <w:rFonts w:hint="eastAsia" w:ascii="幼圆" w:hAnsi="幼圆" w:eastAsia="幼圆" w:cs="幼圆"/>
          <w:b w:val="0"/>
          <w:bCs w:val="0"/>
          <w:color w:val="000000"/>
          <w:sz w:val="24"/>
          <w:szCs w:val="24"/>
        </w:rPr>
        <w:t>一式</w:t>
      </w:r>
      <w:r>
        <w:rPr>
          <w:rStyle w:val="136"/>
          <w:rFonts w:hint="eastAsia" w:ascii="幼圆" w:hAnsi="幼圆" w:eastAsia="幼圆" w:cs="幼圆"/>
          <w:b w:val="0"/>
          <w:bCs w:val="0"/>
          <w:color w:val="000000"/>
          <w:sz w:val="24"/>
          <w:szCs w:val="24"/>
          <w:lang w:val="en-US" w:eastAsia="zh-CN"/>
        </w:rPr>
        <w:t>1</w:t>
      </w:r>
      <w:r>
        <w:rPr>
          <w:rStyle w:val="136"/>
          <w:rFonts w:hint="eastAsia" w:ascii="幼圆" w:hAnsi="幼圆" w:eastAsia="幼圆" w:cs="幼圆"/>
          <w:b w:val="0"/>
          <w:bCs w:val="0"/>
          <w:color w:val="000000"/>
          <w:sz w:val="24"/>
          <w:szCs w:val="24"/>
        </w:rPr>
        <w:t>份</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200" w:right="0" w:rightChars="0" w:firstLine="240" w:firstLineChars="100"/>
        <w:jc w:val="left"/>
        <w:rPr>
          <w:rFonts w:hint="eastAsia" w:ascii="幼圆" w:hAnsi="幼圆" w:eastAsia="幼圆" w:cs="幼圆"/>
          <w:color w:val="000000"/>
          <w:sz w:val="24"/>
          <w:szCs w:val="24"/>
        </w:rPr>
      </w:pPr>
      <w:r>
        <w:rPr>
          <w:rFonts w:hint="eastAsia" w:ascii="幼圆" w:hAnsi="幼圆" w:eastAsia="幼圆" w:cs="幼圆"/>
          <w:color w:val="000000"/>
          <w:sz w:val="24"/>
          <w:szCs w:val="24"/>
        </w:rPr>
        <w:t>电子版：PDF 报告 + Excel 汇总表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rPr>
          <w:rFonts w:hint="eastAsia" w:ascii="幼圆" w:hAnsi="幼圆" w:eastAsia="幼圆" w:cs="幼圆"/>
          <w:color w:val="000000"/>
          <w:sz w:val="24"/>
          <w:szCs w:val="24"/>
        </w:rPr>
      </w:pP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lang w:val="en-US" w:eastAsia="zh-CN"/>
        </w:rPr>
        <w:t>七</w:t>
      </w: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rPr>
        <w:t>、服务要求</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指派</w:t>
      </w:r>
      <w:r>
        <w:rPr>
          <w:rStyle w:val="136"/>
          <w:rFonts w:hint="eastAsia" w:ascii="幼圆" w:hAnsi="幼圆" w:eastAsia="幼圆" w:cs="幼圆"/>
          <w:b w:val="0"/>
          <w:bCs w:val="0"/>
          <w:color w:val="000000"/>
          <w:sz w:val="24"/>
          <w:szCs w:val="24"/>
        </w:rPr>
        <w:t>专人项目对接</w:t>
      </w:r>
      <w:r>
        <w:rPr>
          <w:rFonts w:hint="eastAsia" w:ascii="幼圆" w:hAnsi="幼圆" w:eastAsia="幼圆" w:cs="幼圆"/>
          <w:color w:val="000000"/>
          <w:sz w:val="24"/>
          <w:szCs w:val="24"/>
        </w:rPr>
        <w:t>，日常响应时间≤1 小时。</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配合医院院感、后勤、卫生监督检查及资料备案。</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对医院点位信息、患者区域、检测数据等严格保密。</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检测</w:t>
      </w:r>
      <w:r>
        <w:rPr>
          <w:rFonts w:hint="eastAsia" w:ascii="幼圆" w:hAnsi="幼圆" w:eastAsia="幼圆" w:cs="幼圆"/>
          <w:color w:val="000000"/>
          <w:sz w:val="24"/>
          <w:szCs w:val="24"/>
          <w:lang w:eastAsia="zh-CN"/>
        </w:rPr>
        <w:t>日期</w:t>
      </w:r>
      <w:r>
        <w:rPr>
          <w:rFonts w:hint="eastAsia" w:ascii="幼圆" w:hAnsi="幼圆" w:eastAsia="幼圆" w:cs="幼圆"/>
          <w:color w:val="000000"/>
          <w:sz w:val="24"/>
          <w:szCs w:val="24"/>
        </w:rPr>
        <w:t>：</w:t>
      </w:r>
      <w:r>
        <w:rPr>
          <w:rFonts w:hint="eastAsia" w:ascii="幼圆" w:hAnsi="幼圆" w:eastAsia="幼圆" w:cs="幼圆"/>
          <w:color w:val="000000"/>
          <w:sz w:val="24"/>
          <w:szCs w:val="24"/>
          <w:lang w:eastAsia="zh-CN"/>
        </w:rPr>
        <w:t>按约定</w:t>
      </w:r>
      <w:r>
        <w:rPr>
          <w:rFonts w:hint="eastAsia" w:ascii="幼圆" w:hAnsi="幼圆" w:eastAsia="幼圆" w:cs="幼圆"/>
          <w:color w:val="000000"/>
          <w:sz w:val="24"/>
          <w:szCs w:val="24"/>
        </w:rPr>
        <w:t>通知</w:t>
      </w:r>
      <w:r>
        <w:rPr>
          <w:rFonts w:hint="eastAsia" w:ascii="幼圆" w:hAnsi="幼圆" w:eastAsia="幼圆" w:cs="幼圆"/>
          <w:color w:val="000000"/>
          <w:sz w:val="24"/>
          <w:szCs w:val="24"/>
          <w:lang w:eastAsia="zh-CN"/>
        </w:rPr>
        <w:t>日期</w:t>
      </w:r>
      <w:r>
        <w:rPr>
          <w:rStyle w:val="136"/>
          <w:rFonts w:hint="eastAsia" w:ascii="幼圆" w:hAnsi="幼圆" w:eastAsia="幼圆" w:cs="幼圆"/>
          <w:b/>
          <w:bCs/>
          <w:color w:val="000000"/>
          <w:sz w:val="24"/>
          <w:szCs w:val="24"/>
        </w:rPr>
        <w:t>24 小时内</w:t>
      </w:r>
      <w:r>
        <w:rPr>
          <w:rFonts w:hint="eastAsia" w:ascii="幼圆" w:hAnsi="幼圆" w:eastAsia="幼圆" w:cs="幼圆"/>
          <w:color w:val="000000"/>
          <w:sz w:val="24"/>
          <w:szCs w:val="24"/>
        </w:rPr>
        <w:t>到场服务。</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因操作不当造成设备损坏，由投标人负责维修或赔偿。</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rPr>
          <w:rFonts w:hint="eastAsia" w:ascii="幼圆" w:hAnsi="幼圆" w:eastAsia="幼圆" w:cs="幼圆"/>
          <w:color w:val="000000"/>
          <w:sz w:val="24"/>
          <w:szCs w:val="24"/>
        </w:rPr>
      </w:pP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lang w:val="en-US" w:eastAsia="zh-CN"/>
        </w:rPr>
        <w:t>八</w:t>
      </w: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rPr>
        <w:t>验收标准</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按约定完成</w:t>
      </w:r>
      <w:r>
        <w:rPr>
          <w:rStyle w:val="136"/>
          <w:rFonts w:hint="eastAsia" w:ascii="幼圆" w:hAnsi="幼圆" w:eastAsia="幼圆" w:cs="幼圆"/>
          <w:b w:val="0"/>
          <w:bCs w:val="0"/>
          <w:color w:val="000000"/>
          <w:sz w:val="24"/>
          <w:szCs w:val="24"/>
        </w:rPr>
        <w:t>213 台饮水机</w:t>
      </w:r>
      <w:r>
        <w:rPr>
          <w:rStyle w:val="136"/>
          <w:rFonts w:hint="eastAsia" w:ascii="幼圆" w:hAnsi="幼圆" w:eastAsia="幼圆" w:cs="幼圆"/>
          <w:b w:val="0"/>
          <w:bCs w:val="0"/>
          <w:color w:val="000000"/>
          <w:sz w:val="24"/>
          <w:szCs w:val="24"/>
          <w:lang w:val="en-US" w:eastAsia="zh-CN"/>
        </w:rPr>
        <w:t>1</w:t>
      </w:r>
      <w:r>
        <w:rPr>
          <w:rStyle w:val="136"/>
          <w:rFonts w:hint="eastAsia" w:ascii="幼圆" w:hAnsi="幼圆" w:eastAsia="幼圆" w:cs="幼圆"/>
          <w:b w:val="0"/>
          <w:bCs w:val="0"/>
          <w:color w:val="000000"/>
          <w:sz w:val="24"/>
          <w:szCs w:val="24"/>
        </w:rPr>
        <w:t>次</w:t>
      </w:r>
      <w:r>
        <w:rPr>
          <w:rStyle w:val="136"/>
          <w:rFonts w:hint="eastAsia" w:ascii="幼圆" w:hAnsi="幼圆" w:eastAsia="幼圆" w:cs="幼圆"/>
          <w:b w:val="0"/>
          <w:bCs w:val="0"/>
          <w:color w:val="000000"/>
          <w:sz w:val="24"/>
          <w:szCs w:val="24"/>
          <w:lang w:eastAsia="zh-CN"/>
        </w:rPr>
        <w:t>约定项目</w:t>
      </w:r>
      <w:r>
        <w:rPr>
          <w:rStyle w:val="136"/>
          <w:rFonts w:hint="eastAsia" w:ascii="幼圆" w:hAnsi="幼圆" w:eastAsia="幼圆" w:cs="幼圆"/>
          <w:b w:val="0"/>
          <w:bCs w:val="0"/>
          <w:color w:val="000000"/>
          <w:sz w:val="24"/>
          <w:szCs w:val="24"/>
        </w:rPr>
        <w:t>检测</w:t>
      </w:r>
      <w:r>
        <w:rPr>
          <w:rFonts w:hint="eastAsia" w:ascii="幼圆" w:hAnsi="幼圆" w:eastAsia="幼圆" w:cs="幼圆"/>
          <w:color w:val="000000"/>
          <w:sz w:val="24"/>
          <w:szCs w:val="24"/>
        </w:rPr>
        <w:t>。</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报告合法有效，加盖 CMA 印章及检测机构公章。</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采样记录、质控记录、汇总报告等资料齐全完整。</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服务流程、响应时效、异常处置符合医院管理要求。</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幼圆" w:hAnsi="幼圆" w:eastAsia="幼圆" w:cs="幼圆"/>
          <w:color w:val="000000"/>
          <w:sz w:val="24"/>
          <w:szCs w:val="24"/>
        </w:rPr>
      </w:pPr>
      <w:r>
        <w:rPr>
          <w:rFonts w:hint="eastAsia" w:ascii="幼圆" w:hAnsi="幼圆" w:eastAsia="幼圆" w:cs="幼圆"/>
          <w:color w:val="000000"/>
          <w:sz w:val="24"/>
          <w:szCs w:val="24"/>
        </w:rPr>
        <w:t>采购人综合验收合格视为服务完成。</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六、维保设备清单</w:t>
      </w:r>
    </w:p>
    <w:p>
      <w:pPr>
        <w:pStyle w:val="2"/>
        <w:numPr>
          <w:ilvl w:val="0"/>
          <w:numId w:val="0"/>
        </w:numPr>
        <w:rPr>
          <w:rFonts w:hint="default" w:ascii="幼圆" w:hAnsi="幼圆" w:eastAsia="幼圆" w:cs="幼圆"/>
          <w:lang w:val="en-US" w:eastAsia="zh-CN"/>
        </w:rPr>
      </w:pPr>
      <w:r>
        <w:rPr>
          <w:rFonts w:hint="eastAsia" w:ascii="幼圆" w:hAnsi="幼圆" w:eastAsia="幼圆" w:cs="幼圆"/>
          <w:lang w:val="en-US" w:eastAsia="zh-CN"/>
        </w:rPr>
        <w:t>详见《5.【院内饮水机清单】全院饮水机水质检测服务采购项目》</w:t>
      </w: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七、评标方法和评审标准</w:t>
      </w:r>
      <w:bookmarkEnd w:id="0"/>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1.评标方法</w:t>
      </w:r>
      <w:bookmarkStart w:id="5" w:name="_GoBack"/>
      <w:bookmarkEnd w:id="5"/>
    </w:p>
    <w:p>
      <w:pPr>
        <w:pStyle w:val="22"/>
        <w:spacing w:line="240" w:lineRule="auto"/>
        <w:ind w:firstLine="440" w:firstLineChars="200"/>
        <w:rPr>
          <w:rFonts w:hint="eastAsia" w:ascii="幼圆" w:hAnsi="幼圆" w:eastAsia="幼圆" w:cs="幼圆"/>
          <w:lang w:val="en-US" w:eastAsia="zh-CN"/>
        </w:rPr>
      </w:pPr>
      <w:r>
        <w:rPr>
          <w:rFonts w:hint="eastAsia" w:ascii="幼圆" w:hAnsi="幼圆" w:eastAsia="幼圆" w:cs="幼圆"/>
          <w:lang w:val="en-US" w:eastAsia="zh-CN"/>
        </w:rPr>
        <w:t>本次评标采用</w:t>
      </w:r>
      <w:r>
        <w:rPr>
          <w:rFonts w:hint="eastAsia" w:ascii="幼圆" w:hAnsi="幼圆" w:eastAsia="幼圆" w:cs="幼圆"/>
          <w:b/>
          <w:bCs/>
          <w:lang w:val="en-US" w:eastAsia="zh-CN"/>
        </w:rPr>
        <w:t>综合评分法</w:t>
      </w:r>
      <w:r>
        <w:rPr>
          <w:rFonts w:hint="eastAsia" w:ascii="幼圆" w:hAnsi="幼圆" w:eastAsia="幼圆" w:cs="幼圆"/>
          <w:lang w:val="en-US" w:eastAsia="zh-CN"/>
        </w:rPr>
        <w:t>，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keepNext w:val="0"/>
        <w:keepLines w:val="0"/>
        <w:pageBreakBefore w:val="0"/>
        <w:widowControl/>
        <w:numPr>
          <w:ilvl w:val="0"/>
          <w:numId w:val="0"/>
        </w:numPr>
        <w:wordWrap/>
        <w:topLinePunct w:val="0"/>
        <w:bidi w:val="0"/>
        <w:spacing w:after="0" w:line="240" w:lineRule="auto"/>
        <w:ind w:leftChars="0" w:firstLine="482" w:firstLineChars="200"/>
        <w:jc w:val="both"/>
        <w:rPr>
          <w:rFonts w:hint="eastAsia" w:ascii="幼圆" w:hAnsi="幼圆" w:eastAsia="幼圆" w:cs="幼圆"/>
          <w:b/>
          <w:bCs/>
          <w:color w:val="FF0000"/>
          <w:sz w:val="24"/>
          <w:szCs w:val="20"/>
        </w:rPr>
      </w:pPr>
      <w:r>
        <w:rPr>
          <w:rFonts w:hint="eastAsia" w:ascii="幼圆" w:hAnsi="幼圆" w:eastAsia="幼圆" w:cs="幼圆"/>
          <w:b/>
          <w:bCs/>
          <w:color w:val="FF0000"/>
          <w:sz w:val="24"/>
          <w:szCs w:val="20"/>
        </w:rPr>
        <w:t>投标最低报价不作为中标的唯一理由</w:t>
      </w:r>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2</w:t>
      </w:r>
      <w:r>
        <w:rPr>
          <w:rFonts w:hint="eastAsia" w:ascii="幼圆" w:hAnsi="幼圆" w:eastAsia="幼圆" w:cs="幼圆"/>
          <w:b/>
          <w:bCs/>
          <w:sz w:val="24"/>
          <w:szCs w:val="20"/>
        </w:rPr>
        <w:t>.</w:t>
      </w:r>
      <w:r>
        <w:rPr>
          <w:rFonts w:hint="eastAsia" w:ascii="幼圆" w:hAnsi="幼圆" w:eastAsia="幼圆" w:cs="幼圆"/>
          <w:b/>
          <w:bCs/>
          <w:sz w:val="24"/>
          <w:szCs w:val="20"/>
          <w:lang w:val="en-US" w:eastAsia="zh-CN"/>
        </w:rPr>
        <w:t>评分标准</w:t>
      </w:r>
    </w:p>
    <w:tbl>
      <w:tblPr>
        <w:tblStyle w:val="35"/>
        <w:tblW w:w="940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12"/>
        <w:gridCol w:w="776"/>
        <w:gridCol w:w="1665"/>
        <w:gridCol w:w="574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b/>
                <w:bCs/>
                <w:highlight w:val="none"/>
              </w:rPr>
            </w:pPr>
            <w:bookmarkStart w:id="1" w:name="_Hlk536608376"/>
            <w:r>
              <w:rPr>
                <w:rFonts w:hint="eastAsia" w:ascii="幼圆" w:hAnsi="幼圆" w:eastAsia="幼圆" w:cs="幼圆"/>
                <w:b/>
                <w:bCs/>
                <w:highlight w:val="none"/>
              </w:rPr>
              <w:t>内容</w:t>
            </w:r>
          </w:p>
        </w:tc>
        <w:tc>
          <w:tcPr>
            <w:tcW w:w="776"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分值</w:t>
            </w:r>
          </w:p>
        </w:tc>
        <w:tc>
          <w:tcPr>
            <w:tcW w:w="1665"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评分因素分项</w:t>
            </w:r>
          </w:p>
        </w:tc>
        <w:tc>
          <w:tcPr>
            <w:tcW w:w="5749"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价格部分</w:t>
            </w:r>
          </w:p>
        </w:tc>
        <w:tc>
          <w:tcPr>
            <w:tcW w:w="776" w:type="dxa"/>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lang w:val="en-US" w:eastAsia="zh-CN"/>
              </w:rPr>
              <w:t>20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评标价格</w:t>
            </w:r>
          </w:p>
        </w:tc>
        <w:tc>
          <w:tcPr>
            <w:tcW w:w="5749" w:type="dxa"/>
            <w:vAlign w:val="center"/>
          </w:tcPr>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lang w:eastAsia="zh-CN"/>
              </w:rPr>
            </w:pPr>
            <w:r>
              <w:rPr>
                <w:rFonts w:hint="eastAsia" w:ascii="幼圆" w:hAnsi="幼圆" w:eastAsia="幼圆" w:cs="幼圆"/>
                <w:highlight w:val="none"/>
                <w:lang w:eastAsia="zh-CN"/>
              </w:rPr>
              <w:t>满足招标文件要求且投标价格最低的投标报价为评标基准价，其价格分为满分。其他投标人的价格分统一按照下列公式计算：</w:t>
            </w:r>
          </w:p>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rPr>
            </w:pPr>
            <w:r>
              <w:rPr>
                <w:rFonts w:hint="eastAsia" w:ascii="幼圆" w:hAnsi="幼圆" w:eastAsia="幼圆" w:cs="幼圆"/>
                <w:highlight w:val="none"/>
                <w:lang w:eastAsia="zh-CN"/>
              </w:rPr>
              <w:t>投标报价得分=(评标基准价／投标报价)×</w:t>
            </w:r>
            <w:r>
              <w:rPr>
                <w:rFonts w:hint="eastAsia" w:ascii="幼圆" w:hAnsi="幼圆" w:eastAsia="幼圆" w:cs="幼圆"/>
                <w:highlight w:val="none"/>
                <w:lang w:val="en-US" w:eastAsia="zh-CN"/>
              </w:rPr>
              <w:t>20</w:t>
            </w:r>
            <w:r>
              <w:rPr>
                <w:rFonts w:hint="eastAsia" w:ascii="幼圆" w:hAnsi="幼圆" w:eastAsia="幼圆" w:cs="幼圆"/>
                <w:highlight w:val="none"/>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商务部分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类似业绩</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自202</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年</w:t>
            </w:r>
            <w:r>
              <w:rPr>
                <w:rFonts w:hint="eastAsia" w:ascii="幼圆" w:hAnsi="幼圆" w:eastAsia="幼圆" w:cs="幼圆"/>
                <w:highlight w:val="none"/>
                <w:lang w:val="en-US" w:eastAsia="zh-CN"/>
              </w:rPr>
              <w:t>2</w:t>
            </w:r>
            <w:r>
              <w:rPr>
                <w:rFonts w:hint="eastAsia" w:ascii="幼圆" w:hAnsi="幼圆" w:eastAsia="幼圆" w:cs="幼圆"/>
                <w:highlight w:val="none"/>
                <w:lang w:eastAsia="zh-CN"/>
              </w:rPr>
              <w:t>月1日至今（按合同签订时间计算），投标人每提供一个</w:t>
            </w:r>
            <w:r>
              <w:rPr>
                <w:rFonts w:hint="eastAsia" w:ascii="幼圆" w:hAnsi="幼圆" w:eastAsia="幼圆" w:cs="幼圆"/>
                <w:highlight w:val="none"/>
                <w:lang w:val="en-US" w:eastAsia="zh-CN"/>
              </w:rPr>
              <w:t>同类</w:t>
            </w:r>
            <w:r>
              <w:rPr>
                <w:rFonts w:hint="eastAsia" w:ascii="幼圆" w:hAnsi="幼圆" w:eastAsia="幼圆" w:cs="幼圆"/>
                <w:highlight w:val="none"/>
                <w:lang w:eastAsia="zh-CN"/>
              </w:rPr>
              <w:t>项目</w:t>
            </w:r>
            <w:r>
              <w:rPr>
                <w:rFonts w:hint="eastAsia" w:ascii="幼圆" w:hAnsi="幼圆" w:eastAsia="幼圆" w:cs="幼圆"/>
                <w:highlight w:val="none"/>
                <w:lang w:val="en-US" w:eastAsia="zh-CN"/>
              </w:rPr>
              <w:t>的</w:t>
            </w:r>
            <w:r>
              <w:rPr>
                <w:rFonts w:hint="eastAsia" w:ascii="幼圆" w:hAnsi="幼圆" w:eastAsia="幼圆" w:cs="幼圆"/>
                <w:highlight w:val="none"/>
                <w:lang w:eastAsia="zh-CN"/>
              </w:rPr>
              <w:t>业绩，得</w:t>
            </w:r>
            <w:r>
              <w:rPr>
                <w:rFonts w:hint="eastAsia" w:ascii="幼圆" w:hAnsi="幼圆" w:eastAsia="幼圆" w:cs="幼圆"/>
                <w:highlight w:val="none"/>
                <w:lang w:val="en-US" w:eastAsia="zh-CN"/>
              </w:rPr>
              <w:t>2</w:t>
            </w:r>
            <w:r>
              <w:rPr>
                <w:rFonts w:hint="eastAsia" w:ascii="幼圆" w:hAnsi="幼圆" w:eastAsia="幼圆" w:cs="幼圆"/>
                <w:highlight w:val="none"/>
                <w:lang w:eastAsia="zh-CN"/>
              </w:rPr>
              <w:t>分，最高得</w:t>
            </w:r>
            <w:r>
              <w:rPr>
                <w:rFonts w:hint="eastAsia" w:ascii="幼圆" w:hAnsi="幼圆" w:eastAsia="幼圆" w:cs="幼圆"/>
                <w:highlight w:val="none"/>
                <w:lang w:val="en-US" w:eastAsia="zh-CN"/>
              </w:rPr>
              <w:t>10</w:t>
            </w:r>
            <w:r>
              <w:rPr>
                <w:rFonts w:hint="eastAsia" w:ascii="幼圆" w:hAnsi="幼圆" w:eastAsia="幼圆" w:cs="幼圆"/>
                <w:highlight w:val="none"/>
                <w:lang w:eastAsia="zh-CN"/>
              </w:rPr>
              <w:t>分。须提供合同复印件，内容能体现合同名称、主要服务内容以及双方签字盖章页。未按上述要求提供合同复印件的不得分。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技术部分</w:t>
            </w:r>
          </w:p>
        </w:tc>
        <w:tc>
          <w:tcPr>
            <w:tcW w:w="776"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lang w:val="en-US" w:eastAsia="zh-CN"/>
              </w:rPr>
              <w:t>28</w:t>
            </w:r>
          </w:p>
        </w:tc>
        <w:tc>
          <w:tcPr>
            <w:tcW w:w="1665"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rPr>
              <w:t>对文件技术要求的响应程度</w:t>
            </w:r>
          </w:p>
        </w:tc>
        <w:tc>
          <w:tcPr>
            <w:tcW w:w="5749" w:type="dxa"/>
            <w:shd w:val="clear" w:color="auto" w:fill="auto"/>
            <w:vAlign w:val="center"/>
          </w:tcPr>
          <w:p>
            <w:pPr>
              <w:widowControl/>
              <w:spacing w:line="240" w:lineRule="auto"/>
              <w:jc w:val="both"/>
              <w:rPr>
                <w:rFonts w:hint="eastAsia" w:ascii="幼圆" w:hAnsi="幼圆" w:eastAsia="幼圆" w:cs="幼圆"/>
                <w:highlight w:val="none"/>
              </w:rPr>
            </w:pPr>
            <w:r>
              <w:rPr>
                <w:rFonts w:hint="eastAsia" w:ascii="幼圆" w:hAnsi="幼圆" w:eastAsia="幼圆" w:cs="幼圆"/>
                <w:highlight w:val="none"/>
              </w:rPr>
              <w:t>投标人完全满足【技术要求及评分标准】中“</w:t>
            </w:r>
            <w:r>
              <w:rPr>
                <w:rFonts w:hint="eastAsia" w:ascii="幼圆" w:hAnsi="幼圆" w:eastAsia="幼圆" w:cs="幼圆"/>
                <w:highlight w:val="none"/>
                <w:lang w:val="en-US" w:eastAsia="zh-CN"/>
              </w:rPr>
              <w:t>五</w:t>
            </w:r>
            <w:r>
              <w:rPr>
                <w:rFonts w:hint="eastAsia" w:ascii="幼圆" w:hAnsi="幼圆" w:eastAsia="幼圆" w:cs="幼圆"/>
                <w:highlight w:val="none"/>
              </w:rPr>
              <w:t>、</w:t>
            </w:r>
            <w:r>
              <w:rPr>
                <w:rFonts w:hint="eastAsia" w:ascii="幼圆" w:hAnsi="幼圆" w:eastAsia="幼圆" w:cs="幼圆"/>
                <w:highlight w:val="none"/>
                <w:lang w:val="en-US" w:eastAsia="zh-CN"/>
              </w:rPr>
              <w:t>维保内容</w:t>
            </w:r>
            <w:r>
              <w:rPr>
                <w:rFonts w:hint="eastAsia" w:ascii="幼圆" w:hAnsi="幼圆" w:eastAsia="幼圆" w:cs="幼圆"/>
                <w:highlight w:val="none"/>
              </w:rPr>
              <w:t>”的得</w:t>
            </w:r>
            <w:r>
              <w:rPr>
                <w:rFonts w:hint="eastAsia" w:ascii="幼圆" w:hAnsi="幼圆" w:eastAsia="幼圆" w:cs="幼圆"/>
                <w:highlight w:val="none"/>
                <w:lang w:val="en-US" w:eastAsia="zh-CN"/>
              </w:rPr>
              <w:t>28</w:t>
            </w:r>
            <w:r>
              <w:rPr>
                <w:rFonts w:hint="eastAsia" w:ascii="幼圆" w:hAnsi="幼圆" w:eastAsia="幼圆" w:cs="幼圆"/>
                <w:highlight w:val="none"/>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rPr>
              <w:t>共有</w:t>
            </w:r>
            <w:r>
              <w:rPr>
                <w:rFonts w:hint="eastAsia" w:ascii="幼圆" w:hAnsi="幼圆" w:eastAsia="幼圆" w:cs="幼圆"/>
                <w:highlight w:val="none"/>
                <w:lang w:val="en-US" w:eastAsia="zh-CN"/>
              </w:rPr>
              <w:t>38</w:t>
            </w:r>
            <w:r>
              <w:rPr>
                <w:rFonts w:hint="eastAsia" w:ascii="幼圆" w:hAnsi="幼圆" w:eastAsia="幼圆" w:cs="幼圆"/>
                <w:highlight w:val="none"/>
              </w:rPr>
              <w:t>项指标，每满足一项得</w:t>
            </w:r>
            <w:r>
              <w:rPr>
                <w:rFonts w:hint="eastAsia" w:ascii="幼圆" w:hAnsi="幼圆" w:eastAsia="幼圆" w:cs="幼圆"/>
                <w:highlight w:val="none"/>
                <w:lang w:val="en-US" w:eastAsia="zh-CN"/>
              </w:rPr>
              <w:t>0.8</w:t>
            </w:r>
            <w:r>
              <w:rPr>
                <w:rFonts w:hint="eastAsia" w:ascii="幼圆" w:hAnsi="幼圆" w:eastAsia="幼圆" w:cs="幼圆"/>
                <w:highlight w:val="none"/>
              </w:rPr>
              <w:t>分，共</w:t>
            </w:r>
            <w:r>
              <w:rPr>
                <w:rFonts w:hint="eastAsia" w:ascii="幼圆" w:hAnsi="幼圆" w:eastAsia="幼圆" w:cs="幼圆"/>
                <w:highlight w:val="none"/>
                <w:lang w:val="en-US" w:eastAsia="zh-CN"/>
              </w:rPr>
              <w:t>28</w:t>
            </w:r>
            <w:r>
              <w:rPr>
                <w:rFonts w:hint="eastAsia" w:ascii="幼圆" w:hAnsi="幼圆" w:eastAsia="幼圆" w:cs="幼圆"/>
                <w:highlight w:val="none"/>
              </w:rPr>
              <w:t>分</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b/>
                <w:bCs/>
                <w:highlight w:val="none"/>
                <w:lang w:eastAsia="zh-CN"/>
              </w:rPr>
              <w:t>注：</w:t>
            </w:r>
            <w:r>
              <w:rPr>
                <w:rFonts w:hint="eastAsia" w:ascii="幼圆" w:hAnsi="幼圆" w:eastAsia="幼圆" w:cs="幼圆"/>
                <w:b/>
                <w:bCs/>
                <w:highlight w:val="none"/>
                <w:lang w:val="en-US" w:eastAsia="zh-CN"/>
              </w:rPr>
              <w:t>1</w:t>
            </w:r>
            <w:r>
              <w:rPr>
                <w:rFonts w:hint="eastAsia" w:ascii="幼圆" w:hAnsi="幼圆" w:eastAsia="幼圆" w:cs="幼圆"/>
                <w:b/>
                <w:bCs/>
                <w:highlight w:val="none"/>
                <w:lang w:eastAsia="zh-CN"/>
              </w:rPr>
              <w:t>）“</w:t>
            </w:r>
            <w:r>
              <w:rPr>
                <w:rFonts w:hint="eastAsia" w:ascii="幼圆" w:hAnsi="幼圆" w:eastAsia="幼圆" w:cs="幼圆"/>
                <w:b/>
                <w:bCs/>
                <w:highlight w:val="none"/>
                <w:lang w:val="en-US" w:eastAsia="zh-CN"/>
              </w:rPr>
              <w:t>维保内容</w:t>
            </w:r>
            <w:r>
              <w:rPr>
                <w:rFonts w:hint="eastAsia" w:ascii="幼圆" w:hAnsi="幼圆" w:eastAsia="幼圆" w:cs="幼圆"/>
                <w:b/>
                <w:bCs/>
                <w:highlight w:val="none"/>
                <w:lang w:eastAsia="zh-CN"/>
              </w:rPr>
              <w:t>”以“ 附件《技术规格偏离表》”响应为准，否则不得分。</w:t>
            </w:r>
          </w:p>
          <w:p>
            <w:pPr>
              <w:spacing w:line="240" w:lineRule="auto"/>
              <w:jc w:val="both"/>
              <w:rPr>
                <w:rFonts w:hint="eastAsia" w:ascii="幼圆" w:hAnsi="幼圆" w:eastAsia="幼圆" w:cs="幼圆"/>
                <w:b/>
                <w:bCs/>
                <w:highlight w:val="none"/>
                <w:lang w:val="en-US" w:eastAsia="zh-CN"/>
              </w:rPr>
            </w:pPr>
            <w:r>
              <w:rPr>
                <w:rFonts w:hint="eastAsia" w:ascii="幼圆" w:hAnsi="幼圆" w:eastAsia="幼圆" w:cs="幼圆"/>
                <w:b/>
                <w:bCs/>
                <w:highlight w:val="none"/>
              </w:rPr>
              <w:t>2）以“</w:t>
            </w:r>
            <w:r>
              <w:rPr>
                <w:rFonts w:hint="eastAsia" w:ascii="幼圆" w:hAnsi="幼圆" w:eastAsia="幼圆" w:cs="幼圆"/>
                <w:b/>
                <w:bCs/>
                <w:highlight w:val="none"/>
                <w:lang w:val="en-US" w:eastAsia="zh-CN"/>
              </w:rPr>
              <w:t>维保内容</w:t>
            </w:r>
            <w:r>
              <w:rPr>
                <w:rFonts w:hint="eastAsia" w:ascii="幼圆" w:hAnsi="幼圆" w:eastAsia="幼圆" w:cs="幼圆"/>
                <w:b/>
                <w:bCs/>
                <w:highlight w:val="none"/>
              </w:rPr>
              <w:t>”中的“序号”作为指标项的计算依据，无论该指标项包含几条技术参数。如该指标项中有任意一条指标不满足招标文件要求或负偏离，则该项不得分；漏报该项不得分。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rPr>
            </w:pPr>
          </w:p>
        </w:tc>
        <w:tc>
          <w:tcPr>
            <w:tcW w:w="776"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内部管理制度及培训方案</w:t>
            </w:r>
          </w:p>
        </w:tc>
        <w:tc>
          <w:tcPr>
            <w:tcW w:w="5749" w:type="dxa"/>
            <w:shd w:val="clear" w:color="auto" w:fill="auto"/>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val="en-US" w:eastAsia="zh-CN"/>
              </w:rPr>
              <w:t>内部管理制度及培训方案</w:t>
            </w:r>
            <w:r>
              <w:rPr>
                <w:rFonts w:hint="eastAsia" w:ascii="幼圆" w:hAnsi="幼圆" w:eastAsia="幼圆" w:cs="幼圆"/>
                <w:highlight w:val="none"/>
                <w:lang w:eastAsia="zh-CN"/>
              </w:rPr>
              <w:t>合理、详细，</w:t>
            </w:r>
            <w:r>
              <w:rPr>
                <w:rFonts w:hint="eastAsia" w:ascii="幼圆" w:hAnsi="幼圆" w:eastAsia="幼圆" w:cs="幼圆"/>
                <w:highlight w:val="none"/>
                <w:lang w:val="en-US" w:eastAsia="zh-CN"/>
              </w:rPr>
              <w:t>培训</w:t>
            </w:r>
            <w:r>
              <w:rPr>
                <w:rFonts w:hint="eastAsia" w:ascii="幼圆" w:hAnsi="幼圆" w:eastAsia="幼圆" w:cs="幼圆"/>
                <w:highlight w:val="none"/>
                <w:lang w:eastAsia="zh-CN"/>
              </w:rPr>
              <w:t>服务承诺周到，具有完善的</w:t>
            </w:r>
            <w:r>
              <w:rPr>
                <w:rFonts w:hint="eastAsia" w:ascii="幼圆" w:hAnsi="幼圆" w:eastAsia="幼圆" w:cs="幼圆"/>
                <w:highlight w:val="none"/>
                <w:lang w:val="en-US" w:eastAsia="zh-CN"/>
              </w:rPr>
              <w:t>管理</w:t>
            </w:r>
            <w:r>
              <w:rPr>
                <w:rFonts w:hint="eastAsia" w:ascii="幼圆" w:hAnsi="幼圆" w:eastAsia="幼圆" w:cs="幼圆"/>
                <w:highlight w:val="none"/>
                <w:lang w:eastAsia="zh-CN"/>
              </w:rPr>
              <w:t>体系：</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方案合理、</w:t>
            </w:r>
            <w:r>
              <w:rPr>
                <w:rFonts w:hint="eastAsia" w:ascii="幼圆" w:hAnsi="幼圆" w:eastAsia="幼圆" w:cs="幼圆"/>
                <w:highlight w:val="none"/>
                <w:lang w:val="en-US" w:eastAsia="zh-CN"/>
              </w:rPr>
              <w:t>详细，体系完善的，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5</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较为</w:t>
            </w:r>
            <w:r>
              <w:rPr>
                <w:rFonts w:hint="eastAsia" w:ascii="幼圆" w:hAnsi="幼圆" w:eastAsia="幼圆" w:cs="幼圆"/>
                <w:highlight w:val="none"/>
                <w:lang w:eastAsia="zh-CN"/>
              </w:rPr>
              <w:t>合理、</w:t>
            </w:r>
            <w:r>
              <w:rPr>
                <w:rFonts w:hint="eastAsia" w:ascii="幼圆" w:hAnsi="幼圆" w:eastAsia="幼圆" w:cs="幼圆"/>
                <w:highlight w:val="none"/>
                <w:lang w:val="en-US" w:eastAsia="zh-CN"/>
              </w:rPr>
              <w:t>详细，体系较为完善的，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一般，体系基本完善的，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highlight w:val="none"/>
                <w:lang w:val="en-US" w:eastAsia="zh-CN"/>
              </w:rPr>
              <w:t>未提供，</w:t>
            </w:r>
            <w:r>
              <w:rPr>
                <w:rFonts w:hint="eastAsia" w:ascii="幼圆" w:hAnsi="幼圆" w:eastAsia="幼圆" w:cs="幼圆"/>
                <w:highlight w:val="none"/>
                <w:lang w:eastAsia="zh-CN"/>
              </w:rPr>
              <w:t>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服务部分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Merge w:val="restart"/>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rPr>
              <w:t>服务方案及人员配备方案</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根据投标人提供的</w:t>
            </w:r>
            <w:r>
              <w:rPr>
                <w:rFonts w:hint="eastAsia" w:ascii="幼圆" w:hAnsi="幼圆" w:eastAsia="幼圆" w:cs="幼圆"/>
                <w:highlight w:val="none"/>
                <w:lang w:val="en-US" w:eastAsia="zh-CN"/>
              </w:rPr>
              <w:t>总体设计方案进行评价</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设计方案亮点突出、针对性强、内容全面、规划统筹考虑充分，得</w:t>
            </w:r>
            <w:r>
              <w:rPr>
                <w:rFonts w:hint="eastAsia" w:ascii="幼圆" w:hAnsi="幼圆" w:eastAsia="幼圆" w:cs="幼圆"/>
                <w:highlight w:val="none"/>
                <w:lang w:val="en-US" w:eastAsia="zh-CN"/>
              </w:rPr>
              <w:t>7</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基本全面</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一般</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中规中矩</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4</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简单</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欠妥</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欠佳</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未提供该方案不得分。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11</w:t>
            </w:r>
          </w:p>
        </w:tc>
        <w:tc>
          <w:tcPr>
            <w:tcW w:w="1665" w:type="dxa"/>
            <w:vMerge w:val="continue"/>
            <w:vAlign w:val="center"/>
          </w:tcPr>
          <w:p>
            <w:pPr>
              <w:widowControl/>
              <w:spacing w:line="240" w:lineRule="auto"/>
              <w:jc w:val="center"/>
              <w:rPr>
                <w:rFonts w:hint="eastAsia" w:ascii="幼圆" w:hAnsi="幼圆" w:eastAsia="幼圆" w:cs="幼圆"/>
                <w:highlight w:val="none"/>
                <w:lang w:eastAsia="zh-CN"/>
              </w:rPr>
            </w:pPr>
          </w:p>
        </w:tc>
        <w:tc>
          <w:tcPr>
            <w:tcW w:w="5749" w:type="dxa"/>
            <w:vAlign w:val="center"/>
          </w:tcPr>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（1）根据各投标人按照采购需求提供的维保团队的规模、专业度、架构方面进行打分。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人员架构科学合理，数量充足，专业度高的，完全满足项目需求的，得7分；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人员架构基本科学合理，数量一般，专业度普通的，得4分；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人员架构不合理，数量稀少，专业度低的，得1分；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未提供不得分。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（2）根据团队成员的专业能力进行评价：</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1）具有卫生健康部门或指定医疗机构颁发的《健康证》，每提供一人得1分，最高4分。</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b/>
                <w:bCs/>
                <w:highlight w:val="none"/>
                <w:lang w:val="en-US" w:eastAsia="zh-CN"/>
              </w:rPr>
              <w:t>注：以上证书需提供有效的证书复印件，并加盖投标单位公章，否则视为无效</w:t>
            </w:r>
            <w:r>
              <w:rPr>
                <w:rFonts w:hint="eastAsia" w:ascii="幼圆" w:hAnsi="幼圆" w:eastAsia="幼圆" w:cs="幼圆"/>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服务响应时间及质量保障措施</w:t>
            </w:r>
          </w:p>
        </w:tc>
        <w:tc>
          <w:tcPr>
            <w:tcW w:w="5749" w:type="dxa"/>
            <w:vAlign w:val="center"/>
          </w:tcPr>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响应时间及时、保障措施到位、分工明确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得7分；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响应时间基本满足需求、保障措施基本到位、分工较为明确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得4分；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响应时间滞后、保障措施欠缺、分工混乱</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得1分；</w:t>
            </w:r>
          </w:p>
          <w:p>
            <w:pPr>
              <w:keepNext w:val="0"/>
              <w:keepLines w:val="0"/>
              <w:pageBreakBefore w:val="0"/>
              <w:widowControl/>
              <w:kinsoku/>
              <w:wordWrap/>
              <w:overflowPunct/>
              <w:topLinePunct w:val="0"/>
              <w:autoSpaceDE/>
              <w:autoSpaceDN/>
              <w:bidi w:val="0"/>
              <w:snapToGrid/>
              <w:spacing w:line="240" w:lineRule="auto"/>
              <w:rPr>
                <w:rFonts w:hint="eastAsia" w:ascii="幼圆" w:hAnsi="幼圆" w:eastAsia="幼圆" w:cs="幼圆"/>
                <w:highlight w:val="none"/>
              </w:rPr>
            </w:pPr>
            <w:r>
              <w:rPr>
                <w:rFonts w:hint="eastAsia" w:ascii="幼圆" w:hAnsi="幼圆" w:eastAsia="幼圆" w:cs="幼圆"/>
                <w:sz w:val="24"/>
                <w:szCs w:val="24"/>
                <w:highlight w:val="none"/>
                <w:lang w:val="en-US" w:eastAsia="zh-CN"/>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后续服务承诺</w:t>
            </w:r>
          </w:p>
        </w:tc>
        <w:tc>
          <w:tcPr>
            <w:tcW w:w="5749" w:type="dxa"/>
            <w:vAlign w:val="center"/>
          </w:tcPr>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根据投标人提供的服务承诺进行打分：内容应包含但不限于售后服务及其他情况介绍；</w:t>
            </w:r>
            <w:r>
              <w:rPr>
                <w:rFonts w:hint="eastAsia" w:ascii="幼圆" w:hAnsi="幼圆" w:eastAsia="幼圆" w:cs="幼圆"/>
                <w:b/>
                <w:highlight w:val="none"/>
              </w:rPr>
              <w:t>可提供的优惠条件；突发状况服务时间承诺。</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服务承诺完全满足项目需求的，得</w:t>
            </w:r>
            <w:r>
              <w:rPr>
                <w:rFonts w:hint="eastAsia" w:ascii="幼圆" w:hAnsi="幼圆" w:eastAsia="幼圆" w:cs="幼圆"/>
                <w:highlight w:val="none"/>
                <w:lang w:val="en-US" w:eastAsia="zh-CN"/>
              </w:rPr>
              <w:t>7</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服务承诺基本满足项目需求的，得</w:t>
            </w:r>
            <w:r>
              <w:rPr>
                <w:rFonts w:hint="eastAsia" w:ascii="幼圆" w:hAnsi="幼圆" w:eastAsia="幼圆" w:cs="幼圆"/>
                <w:highlight w:val="none"/>
                <w:lang w:val="en-US" w:eastAsia="zh-CN"/>
              </w:rPr>
              <w:t>4</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服务承诺不满足项目需求的，得1分；</w:t>
            </w:r>
          </w:p>
          <w:p>
            <w:pPr>
              <w:widowControl/>
              <w:spacing w:line="240" w:lineRule="auto"/>
              <w:rPr>
                <w:rFonts w:hint="eastAsia" w:ascii="幼圆" w:hAnsi="幼圆" w:eastAsia="幼圆" w:cs="幼圆"/>
                <w:highlight w:val="none"/>
              </w:rPr>
            </w:pPr>
            <w:r>
              <w:rPr>
                <w:rFonts w:hint="eastAsia" w:ascii="幼圆" w:hAnsi="幼圆" w:eastAsia="幼圆" w:cs="幼圆"/>
                <w:highlight w:val="none"/>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其他</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拟投入设备</w:t>
            </w:r>
          </w:p>
        </w:tc>
        <w:tc>
          <w:tcPr>
            <w:tcW w:w="5749" w:type="dxa"/>
            <w:vAlign w:val="center"/>
          </w:tcPr>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设备齐全，完全满足项目需要的，得5分；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设备基本满足项目需要的，得3分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设备无法满足项目需要的，得1分；</w:t>
            </w:r>
          </w:p>
          <w:p>
            <w:pPr>
              <w:widowControl/>
              <w:spacing w:line="240" w:lineRule="auto"/>
              <w:rPr>
                <w:rFonts w:hint="eastAsia" w:ascii="幼圆" w:hAnsi="幼圆" w:eastAsia="幼圆" w:cs="幼圆"/>
                <w:highlight w:val="none"/>
                <w:lang w:eastAsia="zh-CN"/>
              </w:rPr>
            </w:pPr>
            <w:r>
              <w:rPr>
                <w:rFonts w:hint="eastAsia" w:ascii="幼圆" w:hAnsi="幼圆" w:eastAsia="幼圆" w:cs="幼圆"/>
                <w:highlight w:val="none"/>
                <w:lang w:val="en-US" w:eastAsia="zh-CN"/>
              </w:rPr>
              <w:t>不满足项目需要或未提供，不得分。</w:t>
            </w:r>
          </w:p>
        </w:tc>
      </w:tr>
      <w:bookmarkEnd w:id="1"/>
    </w:tbl>
    <w:p>
      <w:pPr>
        <w:keepNext w:val="0"/>
        <w:keepLines w:val="0"/>
        <w:pageBreakBefore w:val="0"/>
        <w:widowControl/>
        <w:wordWrap/>
        <w:topLinePunct w:val="0"/>
        <w:bidi w:val="0"/>
        <w:spacing w:line="240" w:lineRule="auto"/>
        <w:rPr>
          <w:rFonts w:hint="eastAsia" w:ascii="幼圆" w:hAnsi="幼圆" w:eastAsia="幼圆" w:cs="幼圆"/>
          <w:b/>
          <w:bCs/>
          <w:sz w:val="24"/>
          <w:szCs w:val="20"/>
        </w:rPr>
      </w:pPr>
    </w:p>
    <w:p>
      <w:pPr>
        <w:spacing w:line="240" w:lineRule="auto"/>
        <w:rPr>
          <w:rFonts w:hint="eastAsia" w:ascii="幼圆" w:hAnsi="幼圆" w:eastAsia="幼圆" w:cs="幼圆"/>
          <w:color w:val="FF0000"/>
          <w:kern w:val="2"/>
          <w:highlight w:val="none"/>
          <w:lang w:val="en-US" w:eastAsia="zh-CN" w:bidi="zh-CN"/>
        </w:rPr>
      </w:pPr>
      <w:r>
        <w:rPr>
          <w:rFonts w:hint="eastAsia" w:ascii="幼圆" w:hAnsi="幼圆" w:eastAsia="幼圆" w:cs="幼圆"/>
          <w:color w:val="FF0000"/>
          <w:kern w:val="2"/>
          <w:highlight w:val="none"/>
          <w:lang w:val="en-US" w:eastAsia="zh-CN" w:bidi="zh-CN"/>
        </w:rPr>
        <w:br w:type="page"/>
      </w:r>
    </w:p>
    <w:p>
      <w:pPr>
        <w:snapToGrid w:val="0"/>
        <w:spacing w:line="240" w:lineRule="auto"/>
        <w:textAlignment w:val="auto"/>
        <w:outlineLvl w:val="0"/>
        <w:rPr>
          <w:rFonts w:hint="eastAsia" w:ascii="幼圆" w:hAnsi="幼圆" w:eastAsia="幼圆" w:cs="幼圆"/>
          <w:b/>
          <w:szCs w:val="20"/>
          <w:highlight w:val="none"/>
        </w:rPr>
      </w:pPr>
      <w:bookmarkStart w:id="2" w:name="_Toc70433717"/>
      <w:bookmarkStart w:id="3" w:name="_Toc73536577"/>
      <w:bookmarkStart w:id="4" w:name="_Toc955"/>
      <w:r>
        <w:rPr>
          <w:rFonts w:hint="eastAsia" w:ascii="幼圆" w:hAnsi="幼圆" w:eastAsia="幼圆" w:cs="幼圆"/>
          <w:b/>
          <w:szCs w:val="20"/>
          <w:highlight w:val="none"/>
        </w:rPr>
        <w:t>附件</w:t>
      </w:r>
      <w:r>
        <w:rPr>
          <w:rFonts w:hint="eastAsia" w:ascii="幼圆" w:hAnsi="幼圆" w:eastAsia="幼圆" w:cs="幼圆"/>
          <w:b/>
          <w:szCs w:val="20"/>
          <w:highlight w:val="none"/>
          <w:lang w:eastAsia="zh-CN"/>
        </w:rPr>
        <w:t>（</w:t>
      </w:r>
      <w:r>
        <w:rPr>
          <w:rFonts w:hint="eastAsia" w:ascii="幼圆" w:hAnsi="幼圆" w:eastAsia="幼圆" w:cs="幼圆"/>
          <w:b/>
          <w:szCs w:val="20"/>
          <w:highlight w:val="none"/>
          <w:lang w:val="en-US" w:eastAsia="zh-CN"/>
        </w:rPr>
        <w:t>偏离表示例</w:t>
      </w:r>
      <w:r>
        <w:rPr>
          <w:rFonts w:hint="eastAsia" w:ascii="幼圆" w:hAnsi="幼圆" w:eastAsia="幼圆" w:cs="幼圆"/>
          <w:b/>
          <w:szCs w:val="20"/>
          <w:highlight w:val="none"/>
          <w:lang w:eastAsia="zh-CN"/>
        </w:rPr>
        <w:t>）</w:t>
      </w:r>
      <w:r>
        <w:rPr>
          <w:rFonts w:hint="eastAsia" w:ascii="幼圆" w:hAnsi="幼圆" w:eastAsia="幼圆" w:cs="幼圆"/>
          <w:b/>
          <w:szCs w:val="20"/>
          <w:highlight w:val="none"/>
        </w:rPr>
        <w:t>：</w:t>
      </w:r>
      <w:bookmarkEnd w:id="2"/>
      <w:bookmarkEnd w:id="3"/>
      <w:bookmarkEnd w:id="4"/>
    </w:p>
    <w:p>
      <w:pPr>
        <w:widowControl/>
        <w:snapToGrid w:val="0"/>
        <w:spacing w:line="240" w:lineRule="auto"/>
        <w:textAlignment w:val="auto"/>
        <w:rPr>
          <w:rFonts w:hint="eastAsia" w:ascii="幼圆" w:hAnsi="幼圆" w:eastAsia="幼圆" w:cs="幼圆"/>
          <w:b/>
          <w:highlight w:val="none"/>
        </w:rPr>
      </w:pPr>
    </w:p>
    <w:p>
      <w:pPr>
        <w:snapToGrid w:val="0"/>
        <w:spacing w:line="240" w:lineRule="auto"/>
        <w:jc w:val="center"/>
        <w:rPr>
          <w:rFonts w:hint="eastAsia" w:ascii="幼圆" w:hAnsi="幼圆" w:eastAsia="幼圆" w:cs="幼圆"/>
          <w:caps/>
          <w:sz w:val="36"/>
          <w:szCs w:val="36"/>
          <w:highlight w:val="none"/>
        </w:rPr>
      </w:pPr>
      <w:r>
        <w:rPr>
          <w:rFonts w:hint="eastAsia" w:ascii="幼圆" w:hAnsi="幼圆" w:eastAsia="幼圆" w:cs="幼圆"/>
          <w:caps/>
          <w:sz w:val="36"/>
          <w:szCs w:val="36"/>
          <w:highlight w:val="none"/>
        </w:rPr>
        <w:t>技术规格偏离表</w:t>
      </w:r>
    </w:p>
    <w:p>
      <w:pPr>
        <w:snapToGrid w:val="0"/>
        <w:spacing w:before="120" w:beforeLines="50" w:line="240" w:lineRule="auto"/>
        <w:rPr>
          <w:rFonts w:hint="eastAsia" w:ascii="幼圆" w:hAnsi="幼圆" w:eastAsia="幼圆" w:cs="幼圆"/>
          <w:highlight w:val="none"/>
        </w:rPr>
      </w:pPr>
    </w:p>
    <w:p>
      <w:pPr>
        <w:snapToGrid w:val="0"/>
        <w:spacing w:after="120" w:afterLines="50" w:line="240" w:lineRule="auto"/>
        <w:rPr>
          <w:rFonts w:hint="eastAsia" w:ascii="幼圆" w:hAnsi="幼圆" w:eastAsia="幼圆" w:cs="幼圆"/>
          <w:highlight w:val="none"/>
          <w:u w:val="single"/>
        </w:rPr>
      </w:pPr>
      <w:r>
        <w:rPr>
          <w:rFonts w:hint="eastAsia" w:ascii="幼圆" w:hAnsi="幼圆" w:eastAsia="幼圆" w:cs="幼圆"/>
          <w:highlight w:val="none"/>
        </w:rPr>
        <w:t>项目名称：</w:t>
      </w:r>
    </w:p>
    <w:tbl>
      <w:tblPr>
        <w:tblStyle w:val="35"/>
        <w:tblW w:w="850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2977"/>
        <w:gridCol w:w="2586"/>
        <w:gridCol w:w="166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招标文件条目号</w:t>
            </w:r>
          </w:p>
        </w:tc>
        <w:tc>
          <w:tcPr>
            <w:tcW w:w="2977"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招标文件采购需求的内容与数值</w:t>
            </w:r>
          </w:p>
        </w:tc>
        <w:tc>
          <w:tcPr>
            <w:tcW w:w="258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投标人的采购需求响应内容与数值</w:t>
            </w:r>
          </w:p>
        </w:tc>
        <w:tc>
          <w:tcPr>
            <w:tcW w:w="166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偏差说明</w:t>
            </w:r>
          </w:p>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（是否偏离/满足）</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bl>
    <w:p>
      <w:pPr>
        <w:snapToGrid w:val="0"/>
        <w:spacing w:line="240" w:lineRule="auto"/>
        <w:ind w:left="540" w:hanging="495" w:hangingChars="225"/>
        <w:rPr>
          <w:rFonts w:hint="eastAsia" w:ascii="幼圆" w:hAnsi="幼圆" w:eastAsia="幼圆" w:cs="幼圆"/>
          <w:highlight w:val="none"/>
        </w:rPr>
      </w:pP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注：1.投标人应对招标文件第三章采购需求要求的内容给予逐条响应，以投标服务所能达到的内容予以填写，而不应复印采购需求作为响应内容，有具体需求的应填写具体要求。</w:t>
      </w: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ab/>
      </w:r>
      <w:r>
        <w:rPr>
          <w:rFonts w:hint="eastAsia" w:ascii="幼圆" w:hAnsi="幼圆" w:eastAsia="幼圆" w:cs="幼圆"/>
          <w:highlight w:val="none"/>
        </w:rPr>
        <w:t>2. 偏差说明处：技术、服务内容满足招标文件相应要求填写：“满足招标文件要求”、或“无偏离”；技术、服务内容不满足招标文件相应要求填写：“不满足招标文件要求”或“负偏离”。</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投标人名称：（单位公章）</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法定代表人或授权代表：（签字）</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日期：</w:t>
      </w:r>
    </w:p>
    <w:p>
      <w:pPr>
        <w:spacing w:line="240" w:lineRule="auto"/>
        <w:rPr>
          <w:rFonts w:hint="eastAsia" w:ascii="幼圆" w:hAnsi="幼圆" w:eastAsia="幼圆" w:cs="幼圆"/>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panose1 w:val="02060409020205020404"/>
    <w:charset w:val="00"/>
    <w:family w:val="auto"/>
    <w:pitch w:val="default"/>
    <w:sig w:usb0="00000007" w:usb1="00000000" w:usb2="00000000" w:usb3="00000000" w:csb0="00000093"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CA2926"/>
    <w:multiLevelType w:val="multilevel"/>
    <w:tmpl w:val="9ACA292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B801158A"/>
    <w:multiLevelType w:val="singleLevel"/>
    <w:tmpl w:val="B801158A"/>
    <w:lvl w:ilvl="0" w:tentative="0">
      <w:start w:val="2"/>
      <w:numFmt w:val="chineseCounting"/>
      <w:suff w:val="nothing"/>
      <w:lvlText w:val="%1、"/>
      <w:lvlJc w:val="left"/>
      <w:rPr>
        <w:rFonts w:hint="eastAsia"/>
      </w:rPr>
    </w:lvl>
  </w:abstractNum>
  <w:abstractNum w:abstractNumId="2">
    <w:nsid w:val="C4EB9E43"/>
    <w:multiLevelType w:val="multilevel"/>
    <w:tmpl w:val="C4EB9E4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D9953EC6"/>
    <w:multiLevelType w:val="multilevel"/>
    <w:tmpl w:val="D9953EC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FFFFFF7E"/>
    <w:multiLevelType w:val="singleLevel"/>
    <w:tmpl w:val="FFFFFF7E"/>
    <w:lvl w:ilvl="0" w:tentative="0">
      <w:start w:val="1"/>
      <w:numFmt w:val="decimal"/>
      <w:pStyle w:val="24"/>
      <w:lvlText w:val="%1."/>
      <w:lvlJc w:val="left"/>
      <w:pPr>
        <w:tabs>
          <w:tab w:val="left" w:pos="1080"/>
        </w:tabs>
        <w:ind w:left="1080" w:hanging="360"/>
      </w:pPr>
    </w:lvl>
  </w:abstractNum>
  <w:abstractNum w:abstractNumId="5">
    <w:nsid w:val="FFFFFF7F"/>
    <w:multiLevelType w:val="singleLevel"/>
    <w:tmpl w:val="FFFFFF7F"/>
    <w:lvl w:ilvl="0" w:tentative="0">
      <w:start w:val="1"/>
      <w:numFmt w:val="decimal"/>
      <w:pStyle w:val="15"/>
      <w:lvlText w:val="%1."/>
      <w:lvlJc w:val="left"/>
      <w:pPr>
        <w:tabs>
          <w:tab w:val="left" w:pos="720"/>
        </w:tabs>
        <w:ind w:left="720" w:hanging="360"/>
      </w:pPr>
    </w:lvl>
  </w:abstractNum>
  <w:abstractNum w:abstractNumId="6">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7">
    <w:nsid w:val="FFFFFF83"/>
    <w:multiLevelType w:val="singleLevel"/>
    <w:tmpl w:val="FFFFFF83"/>
    <w:lvl w:ilvl="0" w:tentative="0">
      <w:start w:val="1"/>
      <w:numFmt w:val="bullet"/>
      <w:pStyle w:val="27"/>
      <w:lvlText w:val=""/>
      <w:lvlJc w:val="left"/>
      <w:pPr>
        <w:tabs>
          <w:tab w:val="left" w:pos="720"/>
        </w:tabs>
        <w:ind w:left="720" w:hanging="360"/>
      </w:pPr>
      <w:rPr>
        <w:rFonts w:hint="default" w:ascii="Symbol" w:hAnsi="Symbol"/>
      </w:rPr>
    </w:lvl>
  </w:abstractNum>
  <w:abstractNum w:abstractNumId="8">
    <w:nsid w:val="FFFFFF88"/>
    <w:multiLevelType w:val="singleLevel"/>
    <w:tmpl w:val="FFFFFF88"/>
    <w:lvl w:ilvl="0" w:tentative="0">
      <w:start w:val="1"/>
      <w:numFmt w:val="decimal"/>
      <w:pStyle w:val="16"/>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10">
    <w:nsid w:val="433F00E0"/>
    <w:multiLevelType w:val="multilevel"/>
    <w:tmpl w:val="433F00E0"/>
    <w:lvl w:ilvl="0" w:tentative="0">
      <w:start w:val="1"/>
      <w:numFmt w:val="decimal"/>
      <w:pStyle w:val="172"/>
      <w:suff w:val="nothing"/>
      <w:lvlText w:val="（%1）"/>
      <w:lvlJc w:val="left"/>
      <w:pPr>
        <w:ind w:left="1413"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
    <w:nsid w:val="600C3A24"/>
    <w:multiLevelType w:val="multilevel"/>
    <w:tmpl w:val="600C3A2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2">
    <w:nsid w:val="6EE173DB"/>
    <w:multiLevelType w:val="multilevel"/>
    <w:tmpl w:val="6EE173D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3">
    <w:nsid w:val="7496548F"/>
    <w:multiLevelType w:val="multilevel"/>
    <w:tmpl w:val="7496548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4">
    <w:nsid w:val="7A2EAD69"/>
    <w:multiLevelType w:val="multilevel"/>
    <w:tmpl w:val="7A2EAD6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5"/>
  </w:num>
  <w:num w:numId="2">
    <w:abstractNumId w:val="8"/>
  </w:num>
  <w:num w:numId="3">
    <w:abstractNumId w:val="9"/>
  </w:num>
  <w:num w:numId="4">
    <w:abstractNumId w:val="6"/>
  </w:num>
  <w:num w:numId="5">
    <w:abstractNumId w:val="4"/>
  </w:num>
  <w:num w:numId="6">
    <w:abstractNumId w:val="7"/>
  </w:num>
  <w:num w:numId="7">
    <w:abstractNumId w:val="10"/>
  </w:num>
  <w:num w:numId="8">
    <w:abstractNumId w:val="1"/>
  </w:num>
  <w:num w:numId="9">
    <w:abstractNumId w:val="12"/>
  </w:num>
  <w:num w:numId="10">
    <w:abstractNumId w:val="14"/>
  </w:num>
  <w:num w:numId="11">
    <w:abstractNumId w:val="3"/>
  </w:num>
  <w:num w:numId="12">
    <w:abstractNumId w:val="11"/>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39276B"/>
    <w:rsid w:val="005F224A"/>
    <w:rsid w:val="008369C7"/>
    <w:rsid w:val="009C7AE2"/>
    <w:rsid w:val="00AA1D8D"/>
    <w:rsid w:val="00B47730"/>
    <w:rsid w:val="00CB0664"/>
    <w:rsid w:val="00FC693F"/>
    <w:rsid w:val="015A556D"/>
    <w:rsid w:val="039B035C"/>
    <w:rsid w:val="03C142B6"/>
    <w:rsid w:val="03DC6164"/>
    <w:rsid w:val="04BF5B95"/>
    <w:rsid w:val="05B922DB"/>
    <w:rsid w:val="06247180"/>
    <w:rsid w:val="08CA0C86"/>
    <w:rsid w:val="0A4A3DA1"/>
    <w:rsid w:val="0ADE0A96"/>
    <w:rsid w:val="0B9760F9"/>
    <w:rsid w:val="0D32706A"/>
    <w:rsid w:val="0F553938"/>
    <w:rsid w:val="106611D9"/>
    <w:rsid w:val="113329E6"/>
    <w:rsid w:val="117F262B"/>
    <w:rsid w:val="12A90D4E"/>
    <w:rsid w:val="12C56763"/>
    <w:rsid w:val="12EA542F"/>
    <w:rsid w:val="15805B8E"/>
    <w:rsid w:val="15901876"/>
    <w:rsid w:val="15B1627B"/>
    <w:rsid w:val="172A7912"/>
    <w:rsid w:val="17F23B99"/>
    <w:rsid w:val="1990077F"/>
    <w:rsid w:val="1BE71C78"/>
    <w:rsid w:val="1C0973E6"/>
    <w:rsid w:val="1F3C1C4F"/>
    <w:rsid w:val="1F5F6D41"/>
    <w:rsid w:val="1F7B3932"/>
    <w:rsid w:val="202408C8"/>
    <w:rsid w:val="205F522A"/>
    <w:rsid w:val="210C0BC6"/>
    <w:rsid w:val="229B3C09"/>
    <w:rsid w:val="22BF180F"/>
    <w:rsid w:val="22E24F49"/>
    <w:rsid w:val="24392B0D"/>
    <w:rsid w:val="24A75DD1"/>
    <w:rsid w:val="24AB1841"/>
    <w:rsid w:val="24F414B1"/>
    <w:rsid w:val="25AF67D6"/>
    <w:rsid w:val="25D77D3F"/>
    <w:rsid w:val="25E54A8E"/>
    <w:rsid w:val="26B26BA7"/>
    <w:rsid w:val="27372964"/>
    <w:rsid w:val="27BD3A55"/>
    <w:rsid w:val="280264C3"/>
    <w:rsid w:val="28357004"/>
    <w:rsid w:val="2994584A"/>
    <w:rsid w:val="2BE26EA2"/>
    <w:rsid w:val="2C5F3B91"/>
    <w:rsid w:val="2D056703"/>
    <w:rsid w:val="2D26536C"/>
    <w:rsid w:val="2DA44891"/>
    <w:rsid w:val="2F1B706F"/>
    <w:rsid w:val="2F1D0548"/>
    <w:rsid w:val="2F6E5F01"/>
    <w:rsid w:val="2FF57743"/>
    <w:rsid w:val="30286D46"/>
    <w:rsid w:val="31321010"/>
    <w:rsid w:val="313F5CD8"/>
    <w:rsid w:val="3225199F"/>
    <w:rsid w:val="335911B0"/>
    <w:rsid w:val="347B53E1"/>
    <w:rsid w:val="34813790"/>
    <w:rsid w:val="34B64844"/>
    <w:rsid w:val="3543266F"/>
    <w:rsid w:val="35A3178F"/>
    <w:rsid w:val="35BA5B31"/>
    <w:rsid w:val="35C02C5D"/>
    <w:rsid w:val="36710DAA"/>
    <w:rsid w:val="374D3D49"/>
    <w:rsid w:val="377C3B60"/>
    <w:rsid w:val="381A7AE8"/>
    <w:rsid w:val="386E2923"/>
    <w:rsid w:val="39577622"/>
    <w:rsid w:val="397720D5"/>
    <w:rsid w:val="399036C4"/>
    <w:rsid w:val="3AA1560E"/>
    <w:rsid w:val="3B6C1049"/>
    <w:rsid w:val="3D3FEA48"/>
    <w:rsid w:val="3DAB702F"/>
    <w:rsid w:val="3DBFD295"/>
    <w:rsid w:val="3DF35805"/>
    <w:rsid w:val="3E543B04"/>
    <w:rsid w:val="3E9B6EC4"/>
    <w:rsid w:val="3EBA3A53"/>
    <w:rsid w:val="40E40ADC"/>
    <w:rsid w:val="411538B7"/>
    <w:rsid w:val="41536D26"/>
    <w:rsid w:val="41BE02EE"/>
    <w:rsid w:val="41EB7473"/>
    <w:rsid w:val="41F027BE"/>
    <w:rsid w:val="420A5259"/>
    <w:rsid w:val="43F67691"/>
    <w:rsid w:val="440234A3"/>
    <w:rsid w:val="44DB5B25"/>
    <w:rsid w:val="455507B5"/>
    <w:rsid w:val="45A307A5"/>
    <w:rsid w:val="45A40BA1"/>
    <w:rsid w:val="45A73923"/>
    <w:rsid w:val="469F2EE7"/>
    <w:rsid w:val="47091014"/>
    <w:rsid w:val="4709160B"/>
    <w:rsid w:val="472B3D0B"/>
    <w:rsid w:val="476165B4"/>
    <w:rsid w:val="480333C8"/>
    <w:rsid w:val="48153C8D"/>
    <w:rsid w:val="48482E26"/>
    <w:rsid w:val="4875046F"/>
    <w:rsid w:val="48D90193"/>
    <w:rsid w:val="491E21A3"/>
    <w:rsid w:val="49B06B72"/>
    <w:rsid w:val="49F927E9"/>
    <w:rsid w:val="4A695CBB"/>
    <w:rsid w:val="4AEF402B"/>
    <w:rsid w:val="4B5410CE"/>
    <w:rsid w:val="4C0D4686"/>
    <w:rsid w:val="4D5C393A"/>
    <w:rsid w:val="4E737776"/>
    <w:rsid w:val="4F884709"/>
    <w:rsid w:val="4FC375E6"/>
    <w:rsid w:val="502A0955"/>
    <w:rsid w:val="50804497"/>
    <w:rsid w:val="50F81DE0"/>
    <w:rsid w:val="5257047F"/>
    <w:rsid w:val="529C7846"/>
    <w:rsid w:val="537D6985"/>
    <w:rsid w:val="53EB5F0B"/>
    <w:rsid w:val="53ED7FA3"/>
    <w:rsid w:val="548B5756"/>
    <w:rsid w:val="562D069E"/>
    <w:rsid w:val="5656504D"/>
    <w:rsid w:val="56A9ACE5"/>
    <w:rsid w:val="574D52F6"/>
    <w:rsid w:val="57F124B8"/>
    <w:rsid w:val="586B0DA0"/>
    <w:rsid w:val="591029D8"/>
    <w:rsid w:val="5B5150A4"/>
    <w:rsid w:val="5DCB56DF"/>
    <w:rsid w:val="5E4C798F"/>
    <w:rsid w:val="5E75216F"/>
    <w:rsid w:val="5F165949"/>
    <w:rsid w:val="5F1C45FF"/>
    <w:rsid w:val="5FEFBD42"/>
    <w:rsid w:val="606B3E91"/>
    <w:rsid w:val="62BB227D"/>
    <w:rsid w:val="62CE77B1"/>
    <w:rsid w:val="63A6046B"/>
    <w:rsid w:val="64690EAB"/>
    <w:rsid w:val="64F50F92"/>
    <w:rsid w:val="6653074D"/>
    <w:rsid w:val="678C0E2E"/>
    <w:rsid w:val="68860CA5"/>
    <w:rsid w:val="69281BE2"/>
    <w:rsid w:val="6A177E9C"/>
    <w:rsid w:val="6A5C38C9"/>
    <w:rsid w:val="6BBC5FCE"/>
    <w:rsid w:val="6BD25936"/>
    <w:rsid w:val="6D073A6D"/>
    <w:rsid w:val="6FBD2579"/>
    <w:rsid w:val="6FED3F9B"/>
    <w:rsid w:val="701139EA"/>
    <w:rsid w:val="703B2526"/>
    <w:rsid w:val="70712FCD"/>
    <w:rsid w:val="72014FA3"/>
    <w:rsid w:val="720472B3"/>
    <w:rsid w:val="72E4478C"/>
    <w:rsid w:val="74B344DD"/>
    <w:rsid w:val="755F72B5"/>
    <w:rsid w:val="75C51121"/>
    <w:rsid w:val="75DF8964"/>
    <w:rsid w:val="75F106A5"/>
    <w:rsid w:val="761942CF"/>
    <w:rsid w:val="773A2CDF"/>
    <w:rsid w:val="787B4E47"/>
    <w:rsid w:val="78EF290F"/>
    <w:rsid w:val="79EFCB93"/>
    <w:rsid w:val="7B1D2D88"/>
    <w:rsid w:val="7B4D01D8"/>
    <w:rsid w:val="7BBE4424"/>
    <w:rsid w:val="7BEA24DC"/>
    <w:rsid w:val="7CE1176F"/>
    <w:rsid w:val="7D2376AA"/>
    <w:rsid w:val="7DFB6C40"/>
    <w:rsid w:val="7E8A62A7"/>
    <w:rsid w:val="7EDEDA8C"/>
    <w:rsid w:val="7EE782B8"/>
    <w:rsid w:val="7F1BE675"/>
    <w:rsid w:val="7F7794D2"/>
    <w:rsid w:val="7F791B22"/>
    <w:rsid w:val="7F830290"/>
    <w:rsid w:val="7FB72751"/>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imes New Roman" w:hAnsi="Times New Roman" w:eastAsia="宋体" w:cstheme="minorBidi"/>
      <w:sz w:val="22"/>
      <w:szCs w:val="22"/>
      <w:lang w:val="en-US" w:eastAsia="en-US" w:bidi="ar-SA"/>
    </w:rPr>
  </w:style>
  <w:style w:type="paragraph" w:styleId="5">
    <w:name w:val="heading 1"/>
    <w:basedOn w:val="1"/>
    <w:next w:val="1"/>
    <w:link w:val="141"/>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6">
    <w:name w:val="heading 2"/>
    <w:basedOn w:val="1"/>
    <w:next w:val="1"/>
    <w:link w:val="14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7">
    <w:name w:val="heading 3"/>
    <w:basedOn w:val="1"/>
    <w:next w:val="1"/>
    <w:link w:val="14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8">
    <w:name w:val="heading 4"/>
    <w:basedOn w:val="1"/>
    <w:next w:val="1"/>
    <w:link w:val="15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9">
    <w:name w:val="heading 5"/>
    <w:basedOn w:val="1"/>
    <w:next w:val="1"/>
    <w:link w:val="154"/>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0">
    <w:name w:val="heading 6"/>
    <w:basedOn w:val="1"/>
    <w:next w:val="1"/>
    <w:link w:val="155"/>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1">
    <w:name w:val="heading 7"/>
    <w:basedOn w:val="1"/>
    <w:next w:val="1"/>
    <w:link w:val="156"/>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57"/>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58"/>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5">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spacing w:line="360" w:lineRule="auto"/>
      <w:ind w:firstLine="200" w:firstLineChars="200"/>
    </w:pPr>
  </w:style>
  <w:style w:type="paragraph" w:styleId="3">
    <w:name w:val="Body Text Indent"/>
    <w:basedOn w:val="1"/>
    <w:unhideWhenUsed/>
    <w:qFormat/>
    <w:uiPriority w:val="99"/>
    <w:pPr>
      <w:spacing w:after="120"/>
      <w:ind w:left="420" w:leftChars="200"/>
    </w:pPr>
  </w:style>
  <w:style w:type="paragraph" w:styleId="4">
    <w:name w:val="macro"/>
    <w:link w:val="150"/>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3"/>
    <w:basedOn w:val="1"/>
    <w:unhideWhenUsed/>
    <w:qFormat/>
    <w:uiPriority w:val="99"/>
    <w:pPr>
      <w:ind w:left="1080" w:hanging="360"/>
      <w:contextualSpacing/>
    </w:pPr>
  </w:style>
  <w:style w:type="paragraph" w:styleId="15">
    <w:name w:val="List Number 2"/>
    <w:basedOn w:val="1"/>
    <w:unhideWhenUsed/>
    <w:qFormat/>
    <w:uiPriority w:val="99"/>
    <w:pPr>
      <w:numPr>
        <w:ilvl w:val="0"/>
        <w:numId w:val="1"/>
      </w:numPr>
      <w:contextualSpacing/>
    </w:pPr>
  </w:style>
  <w:style w:type="paragraph" w:styleId="16">
    <w:name w:val="List Number"/>
    <w:basedOn w:val="1"/>
    <w:unhideWhenUsed/>
    <w:qFormat/>
    <w:uiPriority w:val="99"/>
    <w:pPr>
      <w:numPr>
        <w:ilvl w:val="0"/>
        <w:numId w:val="2"/>
      </w:numPr>
      <w:contextualSpacing/>
    </w:pPr>
  </w:style>
  <w:style w:type="paragraph" w:styleId="1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8">
    <w:name w:val="List Bullet"/>
    <w:basedOn w:val="1"/>
    <w:unhideWhenUsed/>
    <w:qFormat/>
    <w:uiPriority w:val="99"/>
    <w:pPr>
      <w:numPr>
        <w:ilvl w:val="0"/>
        <w:numId w:val="3"/>
      </w:numPr>
      <w:contextualSpacing/>
    </w:pPr>
  </w:style>
  <w:style w:type="paragraph" w:styleId="19">
    <w:name w:val="annotation text"/>
    <w:basedOn w:val="1"/>
    <w:semiHidden/>
    <w:unhideWhenUsed/>
    <w:qFormat/>
    <w:uiPriority w:val="99"/>
    <w:pPr>
      <w:jc w:val="left"/>
    </w:pPr>
  </w:style>
  <w:style w:type="paragraph" w:styleId="20">
    <w:name w:val="Body Text 3"/>
    <w:basedOn w:val="1"/>
    <w:link w:val="149"/>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Body Text"/>
    <w:basedOn w:val="1"/>
    <w:next w:val="23"/>
    <w:link w:val="147"/>
    <w:unhideWhenUsed/>
    <w:qFormat/>
    <w:uiPriority w:val="99"/>
    <w:pPr>
      <w:spacing w:after="120"/>
    </w:pPr>
  </w:style>
  <w:style w:type="paragraph" w:styleId="23">
    <w:name w:val="Body Text 2"/>
    <w:basedOn w:val="1"/>
    <w:link w:val="148"/>
    <w:unhideWhenUsed/>
    <w:qFormat/>
    <w:uiPriority w:val="99"/>
    <w:pPr>
      <w:spacing w:after="120" w:line="480" w:lineRule="auto"/>
    </w:pPr>
  </w:style>
  <w:style w:type="paragraph" w:styleId="24">
    <w:name w:val="List Number 3"/>
    <w:basedOn w:val="1"/>
    <w:unhideWhenUsed/>
    <w:qFormat/>
    <w:uiPriority w:val="99"/>
    <w:pPr>
      <w:numPr>
        <w:ilvl w:val="0"/>
        <w:numId w:val="5"/>
      </w:numPr>
      <w:contextualSpacing/>
    </w:pPr>
  </w:style>
  <w:style w:type="paragraph" w:styleId="25">
    <w:name w:val="List 2"/>
    <w:basedOn w:val="1"/>
    <w:unhideWhenUsed/>
    <w:qFormat/>
    <w:uiPriority w:val="99"/>
    <w:pPr>
      <w:ind w:left="720" w:hanging="360"/>
      <w:contextualSpacing/>
    </w:pPr>
  </w:style>
  <w:style w:type="paragraph" w:styleId="26">
    <w:name w:val="List Continue"/>
    <w:basedOn w:val="1"/>
    <w:unhideWhenUsed/>
    <w:qFormat/>
    <w:uiPriority w:val="99"/>
    <w:pPr>
      <w:spacing w:after="120"/>
      <w:ind w:left="360"/>
      <w:contextualSpacing/>
    </w:pPr>
  </w:style>
  <w:style w:type="paragraph" w:styleId="27">
    <w:name w:val="List Bullet 2"/>
    <w:basedOn w:val="1"/>
    <w:unhideWhenUsed/>
    <w:qFormat/>
    <w:uiPriority w:val="99"/>
    <w:pPr>
      <w:numPr>
        <w:ilvl w:val="0"/>
        <w:numId w:val="6"/>
      </w:numPr>
      <w:contextualSpacing/>
    </w:pPr>
  </w:style>
  <w:style w:type="paragraph" w:styleId="28">
    <w:name w:val="footer"/>
    <w:basedOn w:val="1"/>
    <w:link w:val="139"/>
    <w:unhideWhenUsed/>
    <w:qFormat/>
    <w:uiPriority w:val="99"/>
    <w:pPr>
      <w:tabs>
        <w:tab w:val="center" w:pos="4680"/>
        <w:tab w:val="right" w:pos="9360"/>
      </w:tabs>
      <w:spacing w:after="0" w:line="240" w:lineRule="auto"/>
    </w:pPr>
  </w:style>
  <w:style w:type="paragraph" w:styleId="29">
    <w:name w:val="header"/>
    <w:basedOn w:val="1"/>
    <w:link w:val="138"/>
    <w:unhideWhenUsed/>
    <w:qFormat/>
    <w:uiPriority w:val="99"/>
    <w:pPr>
      <w:tabs>
        <w:tab w:val="center" w:pos="4680"/>
        <w:tab w:val="right" w:pos="9360"/>
      </w:tabs>
      <w:spacing w:after="0" w:line="240" w:lineRule="auto"/>
    </w:pPr>
  </w:style>
  <w:style w:type="paragraph" w:styleId="30">
    <w:name w:val="Subtitle"/>
    <w:basedOn w:val="1"/>
    <w:next w:val="1"/>
    <w:link w:val="14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31">
    <w:name w:val="List"/>
    <w:basedOn w:val="1"/>
    <w:unhideWhenUsed/>
    <w:qFormat/>
    <w:uiPriority w:val="99"/>
    <w:pPr>
      <w:ind w:left="360" w:hanging="360"/>
      <w:contextualSpacing/>
    </w:pPr>
  </w:style>
  <w:style w:type="paragraph" w:styleId="32">
    <w:name w:val="List Continue 2"/>
    <w:basedOn w:val="1"/>
    <w:unhideWhenUsed/>
    <w:qFormat/>
    <w:uiPriority w:val="99"/>
    <w:pPr>
      <w:spacing w:after="120"/>
      <w:ind w:left="720"/>
      <w:contextualSpacing/>
    </w:pPr>
  </w:style>
  <w:style w:type="paragraph" w:styleId="33">
    <w:name w:val="List Continue 3"/>
    <w:basedOn w:val="1"/>
    <w:unhideWhenUsed/>
    <w:qFormat/>
    <w:uiPriority w:val="99"/>
    <w:pPr>
      <w:spacing w:after="120"/>
      <w:ind w:left="1080"/>
      <w:contextualSpacing/>
    </w:pPr>
  </w:style>
  <w:style w:type="paragraph" w:styleId="34">
    <w:name w:val="Title"/>
    <w:basedOn w:val="1"/>
    <w:next w:val="1"/>
    <w:link w:val="144"/>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6">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7">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35"/>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35"/>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35"/>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35"/>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35"/>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35"/>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35"/>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35"/>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35"/>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35"/>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35"/>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35"/>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35"/>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35"/>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35"/>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35"/>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35"/>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35"/>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35"/>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35"/>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35"/>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6">
    <w:name w:val="Strong"/>
    <w:basedOn w:val="135"/>
    <w:qFormat/>
    <w:uiPriority w:val="22"/>
    <w:rPr>
      <w:b/>
      <w:bCs/>
    </w:rPr>
  </w:style>
  <w:style w:type="character" w:styleId="137">
    <w:name w:val="Emphasis"/>
    <w:basedOn w:val="135"/>
    <w:qFormat/>
    <w:uiPriority w:val="20"/>
    <w:rPr>
      <w:i/>
      <w:iCs/>
    </w:rPr>
  </w:style>
  <w:style w:type="character" w:customStyle="1" w:styleId="138">
    <w:name w:val="Header Char"/>
    <w:basedOn w:val="135"/>
    <w:link w:val="29"/>
    <w:qFormat/>
    <w:uiPriority w:val="99"/>
  </w:style>
  <w:style w:type="character" w:customStyle="1" w:styleId="139">
    <w:name w:val="Footer Char"/>
    <w:basedOn w:val="135"/>
    <w:link w:val="28"/>
    <w:qFormat/>
    <w:uiPriority w:val="99"/>
  </w:style>
  <w:style w:type="paragraph" w:styleId="140">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1">
    <w:name w:val="Heading 1 Char"/>
    <w:basedOn w:val="135"/>
    <w:link w:val="5"/>
    <w:qFormat/>
    <w:uiPriority w:val="9"/>
    <w:rPr>
      <w:rFonts w:asciiTheme="majorHAnsi" w:hAnsiTheme="majorHAnsi" w:eastAsiaTheme="majorEastAsia" w:cstheme="majorBidi"/>
      <w:b/>
      <w:bCs/>
      <w:color w:val="376092" w:themeColor="accent1" w:themeShade="BF"/>
      <w:sz w:val="28"/>
      <w:szCs w:val="28"/>
    </w:rPr>
  </w:style>
  <w:style w:type="character" w:customStyle="1" w:styleId="142">
    <w:name w:val="Heading 2 Char"/>
    <w:basedOn w:val="135"/>
    <w:link w:val="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3">
    <w:name w:val="Heading 3 Char"/>
    <w:basedOn w:val="135"/>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4">
    <w:name w:val="Title Char"/>
    <w:basedOn w:val="135"/>
    <w:link w:val="34"/>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5">
    <w:name w:val="Subtitle Char"/>
    <w:basedOn w:val="135"/>
    <w:link w:val="3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6">
    <w:name w:val="List Paragraph"/>
    <w:basedOn w:val="1"/>
    <w:qFormat/>
    <w:uiPriority w:val="34"/>
    <w:pPr>
      <w:ind w:left="720"/>
      <w:contextualSpacing/>
    </w:pPr>
  </w:style>
  <w:style w:type="character" w:customStyle="1" w:styleId="147">
    <w:name w:val="Body Text Char"/>
    <w:basedOn w:val="135"/>
    <w:link w:val="22"/>
    <w:qFormat/>
    <w:uiPriority w:val="99"/>
  </w:style>
  <w:style w:type="character" w:customStyle="1" w:styleId="148">
    <w:name w:val="Body Text 2 Char"/>
    <w:basedOn w:val="135"/>
    <w:link w:val="23"/>
    <w:qFormat/>
    <w:uiPriority w:val="99"/>
  </w:style>
  <w:style w:type="character" w:customStyle="1" w:styleId="149">
    <w:name w:val="Body Text 3 Char"/>
    <w:basedOn w:val="135"/>
    <w:link w:val="20"/>
    <w:qFormat/>
    <w:uiPriority w:val="99"/>
    <w:rPr>
      <w:sz w:val="16"/>
      <w:szCs w:val="16"/>
    </w:rPr>
  </w:style>
  <w:style w:type="character" w:customStyle="1" w:styleId="150">
    <w:name w:val="Macro Text Char"/>
    <w:basedOn w:val="135"/>
    <w:link w:val="4"/>
    <w:qFormat/>
    <w:uiPriority w:val="99"/>
    <w:rPr>
      <w:rFonts w:ascii="Courier" w:hAnsi="Courier"/>
      <w:sz w:val="20"/>
      <w:szCs w:val="20"/>
    </w:rPr>
  </w:style>
  <w:style w:type="paragraph" w:styleId="151">
    <w:name w:val="Quote"/>
    <w:basedOn w:val="1"/>
    <w:next w:val="1"/>
    <w:link w:val="152"/>
    <w:qFormat/>
    <w:uiPriority w:val="29"/>
    <w:rPr>
      <w:i/>
      <w:iCs/>
      <w:color w:val="000000" w:themeColor="text1"/>
      <w14:textFill>
        <w14:solidFill>
          <w14:schemeClr w14:val="tx1"/>
        </w14:solidFill>
      </w14:textFill>
    </w:rPr>
  </w:style>
  <w:style w:type="character" w:customStyle="1" w:styleId="152">
    <w:name w:val="Quote Char"/>
    <w:basedOn w:val="135"/>
    <w:link w:val="151"/>
    <w:qFormat/>
    <w:uiPriority w:val="29"/>
    <w:rPr>
      <w:i/>
      <w:iCs/>
      <w:color w:val="000000" w:themeColor="text1"/>
      <w14:textFill>
        <w14:solidFill>
          <w14:schemeClr w14:val="tx1"/>
        </w14:solidFill>
      </w14:textFill>
    </w:rPr>
  </w:style>
  <w:style w:type="character" w:customStyle="1" w:styleId="153">
    <w:name w:val="Heading 4 Char"/>
    <w:basedOn w:val="135"/>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4">
    <w:name w:val="Heading 5 Char"/>
    <w:basedOn w:val="135"/>
    <w:link w:val="9"/>
    <w:semiHidden/>
    <w:qFormat/>
    <w:uiPriority w:val="9"/>
    <w:rPr>
      <w:rFonts w:asciiTheme="majorHAnsi" w:hAnsiTheme="majorHAnsi" w:eastAsiaTheme="majorEastAsia" w:cstheme="majorBidi"/>
      <w:color w:val="254061" w:themeColor="accent1" w:themeShade="80"/>
    </w:rPr>
  </w:style>
  <w:style w:type="character" w:customStyle="1" w:styleId="155">
    <w:name w:val="Heading 6 Char"/>
    <w:basedOn w:val="135"/>
    <w:link w:val="10"/>
    <w:semiHidden/>
    <w:qFormat/>
    <w:uiPriority w:val="9"/>
    <w:rPr>
      <w:rFonts w:asciiTheme="majorHAnsi" w:hAnsiTheme="majorHAnsi" w:eastAsiaTheme="majorEastAsia" w:cstheme="majorBidi"/>
      <w:i/>
      <w:iCs/>
      <w:color w:val="254061" w:themeColor="accent1" w:themeShade="80"/>
    </w:rPr>
  </w:style>
  <w:style w:type="character" w:customStyle="1" w:styleId="156">
    <w:name w:val="Heading 7 Char"/>
    <w:basedOn w:val="135"/>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7">
    <w:name w:val="Heading 8 Char"/>
    <w:basedOn w:val="135"/>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8">
    <w:name w:val="Heading 9 Char"/>
    <w:basedOn w:val="135"/>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9">
    <w:name w:val="Intense Quote"/>
    <w:basedOn w:val="1"/>
    <w:next w:val="1"/>
    <w:link w:val="160"/>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0">
    <w:name w:val="Intense Quote Char"/>
    <w:basedOn w:val="135"/>
    <w:link w:val="159"/>
    <w:qFormat/>
    <w:uiPriority w:val="30"/>
    <w:rPr>
      <w:b/>
      <w:bCs/>
      <w:i/>
      <w:iCs/>
      <w:color w:val="4F81BD" w:themeColor="accent1"/>
      <w14:textFill>
        <w14:solidFill>
          <w14:schemeClr w14:val="accent1"/>
        </w14:solidFill>
      </w14:textFill>
    </w:rPr>
  </w:style>
  <w:style w:type="character" w:customStyle="1" w:styleId="161">
    <w:name w:val="Subtle Emphasis"/>
    <w:basedOn w:val="135"/>
    <w:qFormat/>
    <w:uiPriority w:val="19"/>
    <w:rPr>
      <w:i/>
      <w:iCs/>
      <w:color w:val="808080" w:themeColor="text1" w:themeTint="80"/>
      <w14:textFill>
        <w14:solidFill>
          <w14:schemeClr w14:val="tx1">
            <w14:lumMod w14:val="50000"/>
            <w14:lumOff w14:val="50000"/>
          </w14:schemeClr>
        </w14:solidFill>
      </w14:textFill>
    </w:rPr>
  </w:style>
  <w:style w:type="character" w:customStyle="1" w:styleId="162">
    <w:name w:val="Intense Emphasis"/>
    <w:basedOn w:val="135"/>
    <w:qFormat/>
    <w:uiPriority w:val="21"/>
    <w:rPr>
      <w:b/>
      <w:bCs/>
      <w:i/>
      <w:iCs/>
      <w:color w:val="4F81BD" w:themeColor="accent1"/>
      <w14:textFill>
        <w14:solidFill>
          <w14:schemeClr w14:val="accent1"/>
        </w14:solidFill>
      </w14:textFill>
    </w:rPr>
  </w:style>
  <w:style w:type="character" w:customStyle="1" w:styleId="163">
    <w:name w:val="Subtle Reference"/>
    <w:basedOn w:val="135"/>
    <w:qFormat/>
    <w:uiPriority w:val="31"/>
    <w:rPr>
      <w:smallCaps/>
      <w:color w:val="C0504D" w:themeColor="accent2"/>
      <w:u w:val="single"/>
      <w14:textFill>
        <w14:solidFill>
          <w14:schemeClr w14:val="accent2"/>
        </w14:solidFill>
      </w14:textFill>
    </w:rPr>
  </w:style>
  <w:style w:type="character" w:customStyle="1" w:styleId="164">
    <w:name w:val="Intense Reference"/>
    <w:basedOn w:val="135"/>
    <w:qFormat/>
    <w:uiPriority w:val="32"/>
    <w:rPr>
      <w:b/>
      <w:bCs/>
      <w:smallCaps/>
      <w:color w:val="C0504D" w:themeColor="accent2"/>
      <w:spacing w:val="5"/>
      <w:u w:val="single"/>
      <w14:textFill>
        <w14:solidFill>
          <w14:schemeClr w14:val="accent2"/>
        </w14:solidFill>
      </w14:textFill>
    </w:rPr>
  </w:style>
  <w:style w:type="character" w:customStyle="1" w:styleId="165">
    <w:name w:val="Book Title"/>
    <w:basedOn w:val="135"/>
    <w:qFormat/>
    <w:uiPriority w:val="33"/>
    <w:rPr>
      <w:b/>
      <w:bCs/>
      <w:smallCaps/>
      <w:spacing w:val="5"/>
    </w:rPr>
  </w:style>
  <w:style w:type="paragraph" w:customStyle="1" w:styleId="166">
    <w:name w:val="TOC Heading"/>
    <w:basedOn w:val="5"/>
    <w:next w:val="1"/>
    <w:semiHidden/>
    <w:unhideWhenUsed/>
    <w:qFormat/>
    <w:uiPriority w:val="39"/>
    <w:pPr>
      <w:outlineLvl w:val="9"/>
    </w:pPr>
  </w:style>
  <w:style w:type="paragraph" w:customStyle="1" w:styleId="167">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8">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9">
    <w:name w:val="王越的表头"/>
    <w:basedOn w:val="170"/>
    <w:qFormat/>
    <w:uiPriority w:val="0"/>
    <w:pPr>
      <w:spacing w:line="240" w:lineRule="auto"/>
      <w:ind w:firstLine="0" w:firstLineChars="0"/>
      <w:jc w:val="center"/>
    </w:pPr>
    <w:rPr>
      <w:b/>
    </w:rPr>
  </w:style>
  <w:style w:type="paragraph" w:customStyle="1" w:styleId="170">
    <w:name w:val="王越的正文"/>
    <w:basedOn w:val="1"/>
    <w:qFormat/>
    <w:uiPriority w:val="0"/>
    <w:pPr>
      <w:ind w:firstLine="480"/>
      <w:jc w:val="left"/>
    </w:pPr>
    <w:rPr>
      <w:rFonts w:ascii="宋体" w:hAnsi="宋体"/>
    </w:rPr>
  </w:style>
  <w:style w:type="paragraph" w:customStyle="1" w:styleId="171">
    <w:name w:val="王越的表格"/>
    <w:basedOn w:val="170"/>
    <w:qFormat/>
    <w:uiPriority w:val="0"/>
    <w:pPr>
      <w:spacing w:line="240" w:lineRule="auto"/>
      <w:ind w:firstLine="0" w:firstLineChars="0"/>
    </w:pPr>
  </w:style>
  <w:style w:type="paragraph" w:customStyle="1" w:styleId="172">
    <w:name w:val="正文-（1）"/>
    <w:qFormat/>
    <w:uiPriority w:val="0"/>
    <w:pPr>
      <w:widowControl w:val="0"/>
      <w:numPr>
        <w:ilvl w:val="0"/>
        <w:numId w:val="7"/>
      </w:numPr>
      <w:spacing w:line="360" w:lineRule="auto"/>
      <w:ind w:left="0" w:firstLine="200" w:firstLineChars="200"/>
      <w:jc w:val="both"/>
    </w:pPr>
    <w:rPr>
      <w:rFonts w:ascii="Times New Roman" w:hAnsi="Times New Roman" w:eastAsia="宋体" w:cs="Times New Roman"/>
      <w:kern w:val="2"/>
      <w:sz w:val="24"/>
      <w:szCs w:val="22"/>
      <w:lang w:val="en-US" w:eastAsia="zh-CN" w:bidi="ar-SA"/>
    </w:rPr>
  </w:style>
  <w:style w:type="paragraph" w:customStyle="1" w:styleId="173">
    <w:name w:val="首行缩进"/>
    <w:basedOn w:val="1"/>
    <w:qFormat/>
    <w:uiPriority w:val="0"/>
    <w:pPr>
      <w:spacing w:line="360" w:lineRule="auto"/>
      <w:ind w:firstLine="480" w:firstLineChars="200"/>
    </w:pPr>
    <w:rPr>
      <w:rFonts w:ascii="Calibri" w:hAnsi="Calibri"/>
      <w:sz w:val="24"/>
      <w:szCs w:val="22"/>
      <w:lang w:val="zh-CN"/>
    </w:rPr>
  </w:style>
  <w:style w:type="paragraph" w:customStyle="1" w:styleId="174">
    <w:name w:val="列出段落11"/>
    <w:basedOn w:val="1"/>
    <w:qFormat/>
    <w:uiPriority w:val="99"/>
    <w:pPr>
      <w:widowControl/>
      <w:adjustRightInd/>
      <w:spacing w:before="40" w:after="160" w:line="240" w:lineRule="auto"/>
      <w:ind w:firstLine="420" w:firstLineChars="200"/>
      <w:textAlignment w:val="auto"/>
    </w:pPr>
    <w:rPr>
      <w:rFonts w:ascii="Cambria" w:hAnsi="Cambria" w:eastAsia="微软雅黑" w:cs="Cambria"/>
      <w:color w:val="565656"/>
      <w:kern w:val="20"/>
      <w:sz w:val="21"/>
      <w:szCs w:val="21"/>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6</Pages>
  <Words>2950</Words>
  <Characters>2988</Characters>
  <Lines>0</Lines>
  <Paragraphs>0</Paragraphs>
  <TotalTime>1</TotalTime>
  <ScaleCrop>false</ScaleCrop>
  <LinksUpToDate>false</LinksUpToDate>
  <CharactersWithSpaces>3034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还是弱碱水</cp:lastModifiedBy>
  <cp:lastPrinted>2025-12-31T00:47:00Z</cp:lastPrinted>
  <dcterms:modified xsi:type="dcterms:W3CDTF">2026-03-05T08:17:16Z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CA7711085D9D41B8977D8C2D37BEDE9A_13</vt:lpwstr>
  </property>
  <property fmtid="{D5CDD505-2E9C-101B-9397-08002B2CF9AE}" pid="4" name="KSOTemplateDocerSaveRecord">
    <vt:lpwstr>eyJoZGlkIjoiOGU2N2VhZTk2MzYwYzEwZWMxNTExMTc4NzY4Yzk2ZDAiLCJ1c2VySWQiOiI2NjU2NDM0NDQifQ==</vt:lpwstr>
  </property>
</Properties>
</file>