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wordWrap/>
        <w:topLinePunct w:val="0"/>
        <w:bidi w:val="0"/>
        <w:spacing w:line="240" w:lineRule="auto"/>
        <w:jc w:val="center"/>
        <w:rPr>
          <w:rFonts w:hint="eastAsia" w:ascii="幼圆" w:hAnsi="幼圆" w:eastAsia="幼圆" w:cs="幼圆"/>
          <w:b/>
          <w:bCs/>
          <w:sz w:val="56"/>
          <w:szCs w:val="32"/>
          <w:lang w:val="en-US" w:eastAsia="zh-CN"/>
        </w:rPr>
      </w:pPr>
      <w:r>
        <w:rPr>
          <w:rFonts w:hint="eastAsia" w:ascii="幼圆" w:hAnsi="幼圆" w:eastAsia="幼圆" w:cs="幼圆"/>
          <w:b/>
          <w:bCs/>
          <w:sz w:val="36"/>
          <w:szCs w:val="36"/>
        </w:rPr>
        <w:t>【技术要求及评分标准】</w:t>
      </w:r>
    </w:p>
    <w:p>
      <w:pPr>
        <w:keepNext w:val="0"/>
        <w:keepLines w:val="0"/>
        <w:pageBreakBefore w:val="0"/>
        <w:widowControl/>
        <w:wordWrap/>
        <w:topLinePunct w:val="0"/>
        <w:bidi w:val="0"/>
        <w:snapToGrid/>
        <w:spacing w:line="240" w:lineRule="auto"/>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一、项目概况</w:t>
      </w:r>
    </w:p>
    <w:p>
      <w:pPr>
        <w:keepNext w:val="0"/>
        <w:keepLines w:val="0"/>
        <w:pageBreakBefore w:val="0"/>
        <w:widowControl/>
        <w:kinsoku w:val="0"/>
        <w:wordWrap/>
        <w:overflowPunct w:val="0"/>
        <w:topLinePunct w:val="0"/>
        <w:autoSpaceDE w:val="0"/>
        <w:autoSpaceDN w:val="0"/>
        <w:bidi w:val="0"/>
        <w:adjustRightInd w:val="0"/>
        <w:snapToGrid/>
        <w:spacing w:after="0" w:line="360" w:lineRule="auto"/>
        <w:jc w:val="both"/>
        <w:textAlignment w:val="auto"/>
        <w:rPr>
          <w:rFonts w:hint="eastAsia" w:ascii="幼圆" w:hAnsi="幼圆" w:eastAsia="幼圆" w:cs="幼圆"/>
          <w:sz w:val="21"/>
          <w:szCs w:val="20"/>
          <w:lang w:eastAsia="zh-CN"/>
        </w:rPr>
      </w:pPr>
      <w:r>
        <w:rPr>
          <w:rFonts w:hint="eastAsia" w:ascii="幼圆" w:hAnsi="幼圆" w:eastAsia="幼圆" w:cs="幼圆"/>
          <w:sz w:val="21"/>
          <w:szCs w:val="20"/>
          <w:lang w:eastAsia="zh-CN"/>
        </w:rPr>
        <w:t>项目</w:t>
      </w:r>
      <w:r>
        <w:rPr>
          <w:rFonts w:hint="eastAsia" w:ascii="幼圆" w:hAnsi="幼圆" w:eastAsia="幼圆" w:cs="幼圆"/>
          <w:sz w:val="21"/>
          <w:szCs w:val="20"/>
        </w:rPr>
        <w:t>名称：全院化粪池委外清掏服务采购项目</w:t>
      </w:r>
    </w:p>
    <w:p>
      <w:pPr>
        <w:keepNext w:val="0"/>
        <w:keepLines w:val="0"/>
        <w:pageBreakBefore w:val="0"/>
        <w:widowControl/>
        <w:kinsoku w:val="0"/>
        <w:wordWrap/>
        <w:overflowPunct w:val="0"/>
        <w:topLinePunct w:val="0"/>
        <w:autoSpaceDE w:val="0"/>
        <w:autoSpaceDN w:val="0"/>
        <w:bidi w:val="0"/>
        <w:adjustRightInd w:val="0"/>
        <w:snapToGrid/>
        <w:spacing w:after="0" w:line="360" w:lineRule="auto"/>
        <w:jc w:val="both"/>
        <w:textAlignment w:val="auto"/>
        <w:rPr>
          <w:rFonts w:hint="eastAsia" w:ascii="幼圆" w:hAnsi="幼圆" w:eastAsia="幼圆" w:cs="幼圆"/>
          <w:sz w:val="21"/>
          <w:szCs w:val="20"/>
        </w:rPr>
      </w:pPr>
      <w:r>
        <w:rPr>
          <w:rFonts w:hint="eastAsia" w:ascii="幼圆" w:hAnsi="幼圆" w:eastAsia="幼圆" w:cs="幼圆"/>
          <w:sz w:val="21"/>
          <w:szCs w:val="20"/>
        </w:rPr>
        <w:t>建设单位：北京清华长庚医院</w:t>
      </w:r>
    </w:p>
    <w:p>
      <w:pPr>
        <w:keepNext w:val="0"/>
        <w:keepLines w:val="0"/>
        <w:pageBreakBefore w:val="0"/>
        <w:widowControl/>
        <w:kinsoku w:val="0"/>
        <w:wordWrap/>
        <w:overflowPunct w:val="0"/>
        <w:topLinePunct w:val="0"/>
        <w:autoSpaceDE w:val="0"/>
        <w:autoSpaceDN w:val="0"/>
        <w:bidi w:val="0"/>
        <w:adjustRightInd w:val="0"/>
        <w:snapToGrid/>
        <w:spacing w:after="0" w:line="360" w:lineRule="auto"/>
        <w:jc w:val="both"/>
        <w:textAlignment w:val="auto"/>
        <w:rPr>
          <w:rFonts w:hint="eastAsia" w:ascii="幼圆" w:hAnsi="幼圆" w:eastAsia="幼圆" w:cs="幼圆"/>
          <w:sz w:val="21"/>
          <w:szCs w:val="20"/>
        </w:rPr>
      </w:pPr>
      <w:r>
        <w:rPr>
          <w:rFonts w:hint="eastAsia" w:ascii="幼圆" w:hAnsi="幼圆" w:eastAsia="幼圆" w:cs="幼圆"/>
          <w:sz w:val="21"/>
          <w:szCs w:val="20"/>
        </w:rPr>
        <w:t>建设地点：北京市昌平区立汤路168号</w:t>
      </w:r>
    </w:p>
    <w:p>
      <w:pPr>
        <w:keepNext w:val="0"/>
        <w:keepLines w:val="0"/>
        <w:pageBreakBefore w:val="0"/>
        <w:widowControl/>
        <w:numPr>
          <w:ilvl w:val="0"/>
          <w:numId w:val="8"/>
        </w:numPr>
        <w:wordWrap/>
        <w:topLinePunct w:val="0"/>
        <w:bidi w:val="0"/>
        <w:snapToGrid/>
        <w:spacing w:line="240" w:lineRule="auto"/>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项目类型</w:t>
      </w:r>
    </w:p>
    <w:p>
      <w:pPr>
        <w:keepNext w:val="0"/>
        <w:keepLines w:val="0"/>
        <w:pageBreakBefore w:val="0"/>
        <w:widowControl/>
        <w:numPr>
          <w:ilvl w:val="0"/>
          <w:numId w:val="0"/>
        </w:numPr>
        <w:wordWrap/>
        <w:topLinePunct w:val="0"/>
        <w:bidi w:val="0"/>
        <w:snapToGrid/>
        <w:spacing w:line="240" w:lineRule="auto"/>
        <w:textAlignment w:val="auto"/>
        <w:rPr>
          <w:rFonts w:hint="eastAsia" w:ascii="幼圆" w:hAnsi="幼圆" w:eastAsia="幼圆" w:cs="幼圆"/>
          <w:b w:val="0"/>
          <w:bCs w:val="0"/>
          <w:sz w:val="21"/>
          <w:szCs w:val="20"/>
          <w:lang w:val="en-US" w:eastAsia="zh-CN"/>
        </w:rPr>
      </w:pPr>
      <w:r>
        <w:rPr>
          <w:rFonts w:hint="eastAsia" w:ascii="幼圆" w:hAnsi="幼圆" w:eastAsia="幼圆" w:cs="幼圆"/>
          <w:b w:val="0"/>
          <w:bCs w:val="0"/>
          <w:sz w:val="21"/>
          <w:szCs w:val="20"/>
          <w:lang w:val="en-US" w:eastAsia="zh-CN"/>
        </w:rPr>
        <w:t>维保服务类</w:t>
      </w:r>
    </w:p>
    <w:p>
      <w:pPr>
        <w:keepNext w:val="0"/>
        <w:keepLines w:val="0"/>
        <w:pageBreakBefore w:val="0"/>
        <w:widowControl/>
        <w:wordWrap/>
        <w:topLinePunct w:val="0"/>
        <w:bidi w:val="0"/>
        <w:snapToGrid/>
        <w:spacing w:line="240" w:lineRule="auto"/>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三、资质要求</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color w:val="FF0000"/>
          <w:sz w:val="21"/>
          <w:szCs w:val="20"/>
          <w:lang w:val="en-US" w:eastAsia="zh-CN"/>
        </w:rPr>
      </w:pPr>
      <w:r>
        <w:rPr>
          <w:rFonts w:hint="eastAsia" w:ascii="幼圆" w:hAnsi="幼圆" w:eastAsia="幼圆" w:cs="幼圆"/>
          <w:sz w:val="21"/>
          <w:szCs w:val="20"/>
          <w:lang w:val="en-US" w:eastAsia="zh-CN"/>
        </w:rPr>
        <w:t>1、具有有效的企业营业执照；</w:t>
      </w:r>
      <w:r>
        <w:rPr>
          <w:rFonts w:hint="eastAsia" w:ascii="幼圆" w:hAnsi="幼圆" w:eastAsia="幼圆" w:cs="幼圆"/>
          <w:b/>
          <w:bCs/>
          <w:color w:val="FF0000"/>
          <w:sz w:val="21"/>
          <w:szCs w:val="20"/>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2、在中华人民共和国境内注册登记，有生产或供应能力的本国供应商，包括法人、其他组织和个人；</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3、投标人在近三年内（2023年2月-至今） 没有骗取中标和严重违约及重大项目质量问题；参加本采购活动前三年内，在经营活动中没有重大违法记录；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4、具有良好的商业信誉和健全的财务会计制度；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5、具有依法缴纳税收和社会保障资金的良好记录；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6、本项目不接受联合体投标。 </w:t>
      </w:r>
    </w:p>
    <w:p>
      <w:pPr>
        <w:pStyle w:val="2"/>
        <w:ind w:left="0" w:leftChars="0" w:firstLine="0" w:firstLineChars="0"/>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7、供应商须具有有效的《道路运输经营许可证》。</w:t>
      </w:r>
      <w:r>
        <w:rPr>
          <w:rFonts w:hint="eastAsia" w:ascii="幼圆" w:hAnsi="幼圆" w:eastAsia="幼圆" w:cs="幼圆"/>
          <w:b/>
          <w:bCs/>
          <w:color w:val="FF0000"/>
          <w:sz w:val="21"/>
          <w:szCs w:val="20"/>
          <w:lang w:val="en-US" w:eastAsia="zh-CN"/>
        </w:rPr>
        <w:t>(*资格条件必须满足，废标项）</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四、服务期要求</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sz w:val="28"/>
          <w:szCs w:val="24"/>
          <w:lang w:val="en-US" w:eastAsia="zh-CN"/>
        </w:rPr>
      </w:pPr>
      <w:r>
        <w:rPr>
          <w:rFonts w:hint="eastAsia" w:ascii="幼圆" w:hAnsi="幼圆" w:eastAsia="幼圆" w:cs="幼圆"/>
          <w:b/>
          <w:bCs/>
          <w:sz w:val="21"/>
          <w:szCs w:val="20"/>
          <w:lang w:val="en-US" w:eastAsia="zh-CN"/>
        </w:rPr>
        <w:t>合同履行期限：一年</w:t>
      </w:r>
      <w:r>
        <w:rPr>
          <w:rFonts w:hint="eastAsia" w:ascii="幼圆" w:hAnsi="幼圆" w:eastAsia="幼圆" w:cs="幼圆"/>
          <w:b/>
          <w:bCs/>
          <w:color w:val="FF0000"/>
          <w:sz w:val="21"/>
          <w:szCs w:val="20"/>
          <w:lang w:val="en-US" w:eastAsia="zh-CN"/>
        </w:rPr>
        <w:t>（*必须响应，废标项）</w:t>
      </w:r>
      <w:bookmarkStart w:id="0" w:name="_Toc195775598"/>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default" w:ascii="幼圆" w:hAnsi="幼圆" w:eastAsia="幼圆" w:cs="幼圆"/>
          <w:b/>
          <w:bCs/>
          <w:sz w:val="28"/>
          <w:szCs w:val="24"/>
          <w:lang w:val="en-US" w:eastAsia="zh-CN"/>
        </w:rPr>
      </w:pPr>
      <w:r>
        <w:rPr>
          <w:rFonts w:hint="eastAsia" w:ascii="幼圆" w:hAnsi="幼圆" w:eastAsia="幼圆" w:cs="幼圆"/>
          <w:b/>
          <w:bCs/>
          <w:sz w:val="28"/>
          <w:szCs w:val="24"/>
          <w:lang w:val="en-US" w:eastAsia="zh-CN"/>
        </w:rPr>
        <w:t>五、维保内容</w:t>
      </w:r>
    </w:p>
    <w:p>
      <w:pPr>
        <w:pStyle w:val="171"/>
        <w:numPr>
          <w:ilvl w:val="0"/>
          <w:numId w:val="9"/>
        </w:numPr>
        <w:ind w:left="105" w:leftChars="0" w:firstLine="0" w:firstLineChars="0"/>
        <w:rPr>
          <w:rFonts w:hint="eastAsia" w:ascii="幼圆" w:hAnsi="幼圆" w:eastAsia="幼圆" w:cs="幼圆"/>
          <w:sz w:val="22"/>
          <w:szCs w:val="22"/>
          <w:lang w:val="en-US" w:eastAsia="zh-CN"/>
        </w:rPr>
      </w:pPr>
      <w:r>
        <w:rPr>
          <w:rFonts w:hint="eastAsia" w:ascii="幼圆" w:hAnsi="幼圆" w:eastAsia="幼圆" w:cs="幼圆"/>
          <w:sz w:val="22"/>
          <w:szCs w:val="22"/>
          <w:lang w:val="en-US" w:eastAsia="zh-CN"/>
        </w:rPr>
        <w:t>清掏标准 清掏完工后应做到 "三通二无一净" ：即进、出水口及排水管道通畅，池内无块状粪渣、无沉积物，作业场地干净。  对于池内清掏程度，可要求"见池底清水"。</w:t>
      </w:r>
    </w:p>
    <w:p>
      <w:pPr>
        <w:pStyle w:val="171"/>
        <w:numPr>
          <w:ilvl w:val="0"/>
          <w:numId w:val="9"/>
        </w:numPr>
        <w:ind w:left="105" w:leftChars="0" w:firstLine="0" w:firstLineChars="0"/>
        <w:rPr>
          <w:rFonts w:hint="eastAsia" w:ascii="幼圆" w:hAnsi="幼圆" w:eastAsia="幼圆" w:cs="幼圆"/>
          <w:sz w:val="22"/>
          <w:szCs w:val="22"/>
          <w:lang w:val="en-US" w:eastAsia="zh-CN"/>
        </w:rPr>
      </w:pPr>
      <w:r>
        <w:rPr>
          <w:rFonts w:hint="eastAsia" w:ascii="幼圆" w:hAnsi="幼圆" w:eastAsia="幼圆" w:cs="幼圆"/>
          <w:sz w:val="22"/>
          <w:szCs w:val="22"/>
          <w:lang w:val="en-US" w:eastAsia="zh-CN"/>
        </w:rPr>
        <w:t>作业方式 优先采用机械清掏。若情况特殊必须人工下池，需严格执行有限空间作业规定。</w:t>
      </w:r>
    </w:p>
    <w:p>
      <w:pPr>
        <w:pStyle w:val="171"/>
        <w:numPr>
          <w:ilvl w:val="0"/>
          <w:numId w:val="9"/>
        </w:numPr>
        <w:ind w:left="105" w:leftChars="0" w:firstLine="0" w:firstLineChars="0"/>
        <w:rPr>
          <w:rFonts w:hint="eastAsia" w:ascii="幼圆" w:hAnsi="幼圆" w:eastAsia="幼圆" w:cs="幼圆"/>
          <w:sz w:val="22"/>
          <w:szCs w:val="22"/>
          <w:lang w:val="en-US" w:eastAsia="zh-CN"/>
        </w:rPr>
      </w:pPr>
      <w:r>
        <w:rPr>
          <w:rFonts w:hint="eastAsia" w:ascii="幼圆" w:hAnsi="幼圆" w:eastAsia="幼圆" w:cs="幼圆"/>
          <w:sz w:val="22"/>
          <w:szCs w:val="22"/>
          <w:lang w:val="en-US" w:eastAsia="zh-CN"/>
        </w:rPr>
        <w:t>安全防护 下井人员必须持有限空间作业证。 应配备齐全的安全防护设备，包括但不限于：气体检测仪、防毒面具、防爆照明与通风设备等。  清掏作业前必须进行强制通风，并使用气体检测仪对池内硫化氢等有毒有害气体进行检测，确认安全后方可作业。</w:t>
      </w:r>
    </w:p>
    <w:p>
      <w:pPr>
        <w:pStyle w:val="171"/>
        <w:numPr>
          <w:ilvl w:val="0"/>
          <w:numId w:val="9"/>
        </w:numPr>
        <w:ind w:left="105" w:leftChars="0" w:firstLine="0" w:firstLineChars="0"/>
        <w:rPr>
          <w:rFonts w:hint="eastAsia" w:ascii="幼圆" w:hAnsi="幼圆" w:eastAsia="幼圆" w:cs="幼圆"/>
          <w:sz w:val="22"/>
          <w:szCs w:val="22"/>
          <w:lang w:val="en-US" w:eastAsia="zh-CN"/>
        </w:rPr>
      </w:pPr>
      <w:r>
        <w:rPr>
          <w:rFonts w:hint="eastAsia" w:ascii="幼圆" w:hAnsi="幼圆" w:eastAsia="幼圆" w:cs="幼圆"/>
          <w:sz w:val="22"/>
          <w:szCs w:val="22"/>
          <w:lang w:val="en-US" w:eastAsia="zh-CN"/>
        </w:rPr>
        <w:t>车辆与设备 需自备吸污车（例如容量不低于5立方米）、高压清洗机等专业设备。  运输车辆必须密闭完好，无滴漏、洒落。</w:t>
      </w:r>
    </w:p>
    <w:p>
      <w:pPr>
        <w:pStyle w:val="171"/>
        <w:numPr>
          <w:ilvl w:val="0"/>
          <w:numId w:val="9"/>
        </w:numPr>
        <w:ind w:left="105" w:leftChars="0" w:firstLine="0" w:firstLineChars="0"/>
        <w:rPr>
          <w:rFonts w:hint="eastAsia" w:ascii="幼圆" w:hAnsi="幼圆" w:eastAsia="幼圆" w:cs="幼圆"/>
          <w:sz w:val="22"/>
          <w:szCs w:val="22"/>
          <w:lang w:val="en-US" w:eastAsia="zh-CN"/>
        </w:rPr>
      </w:pPr>
      <w:r>
        <w:rPr>
          <w:rFonts w:hint="eastAsia" w:ascii="幼圆" w:hAnsi="幼圆" w:eastAsia="幼圆" w:cs="幼圆"/>
          <w:sz w:val="22"/>
          <w:szCs w:val="22"/>
          <w:lang w:val="en-US" w:eastAsia="zh-CN"/>
        </w:rPr>
        <w:t>废弃物处理 清掏出的粪渣必须运到专业的粪便处理厂或交由有资质的公司进行处置。  严禁随意倾倒，违者将按有关规定处罚并追究责任。</w:t>
      </w:r>
    </w:p>
    <w:p>
      <w:pPr>
        <w:pStyle w:val="171"/>
        <w:numPr>
          <w:ilvl w:val="0"/>
          <w:numId w:val="9"/>
        </w:numPr>
        <w:ind w:left="105" w:leftChars="0" w:firstLine="0" w:firstLineChars="0"/>
        <w:rPr>
          <w:rFonts w:hint="eastAsia" w:ascii="幼圆" w:hAnsi="幼圆" w:eastAsia="幼圆" w:cs="幼圆"/>
          <w:sz w:val="22"/>
          <w:szCs w:val="22"/>
          <w:lang w:val="en-US" w:eastAsia="zh-CN"/>
        </w:rPr>
      </w:pPr>
      <w:r>
        <w:rPr>
          <w:rFonts w:hint="eastAsia" w:ascii="幼圆" w:hAnsi="幼圆" w:eastAsia="幼圆" w:cs="幼圆"/>
          <w:sz w:val="22"/>
          <w:szCs w:val="22"/>
          <w:lang w:val="en-US" w:eastAsia="zh-CN"/>
        </w:rPr>
        <w:t>现场管理 施工时间应服从甲方安排，不能影响正常工作秩序。  结束当日工程时，必须将施工现场全部清理完毕，恢复原状。</w:t>
      </w:r>
    </w:p>
    <w:p>
      <w:pPr>
        <w:pStyle w:val="171"/>
        <w:numPr>
          <w:ilvl w:val="0"/>
          <w:numId w:val="9"/>
        </w:numPr>
        <w:ind w:left="105" w:leftChars="0" w:firstLine="0" w:firstLineChars="0"/>
        <w:rPr>
          <w:rFonts w:hint="eastAsia" w:ascii="幼圆" w:hAnsi="幼圆" w:eastAsia="幼圆" w:cs="幼圆"/>
          <w:sz w:val="22"/>
          <w:szCs w:val="22"/>
          <w:lang w:val="en-US" w:eastAsia="zh-CN"/>
        </w:rPr>
      </w:pPr>
      <w:r>
        <w:rPr>
          <w:rFonts w:hint="eastAsia" w:ascii="幼圆" w:hAnsi="幼圆" w:eastAsia="幼圆" w:cs="幼圆"/>
          <w:sz w:val="22"/>
          <w:szCs w:val="22"/>
          <w:lang w:val="en-US" w:eastAsia="zh-CN"/>
        </w:rPr>
        <w:t>院区内污水、雨水管道清理疏通。</w:t>
      </w:r>
    </w:p>
    <w:p>
      <w:pPr>
        <w:pStyle w:val="171"/>
        <w:numPr>
          <w:ilvl w:val="0"/>
          <w:numId w:val="9"/>
        </w:numPr>
        <w:ind w:left="105" w:leftChars="0" w:firstLine="0" w:firstLineChars="0"/>
        <w:rPr>
          <w:rFonts w:hint="eastAsia" w:ascii="幼圆" w:hAnsi="幼圆" w:eastAsia="幼圆" w:cs="幼圆"/>
          <w:sz w:val="22"/>
          <w:szCs w:val="22"/>
          <w:lang w:val="en-US" w:eastAsia="zh-CN"/>
        </w:rPr>
      </w:pPr>
      <w:r>
        <w:rPr>
          <w:rFonts w:hint="eastAsia" w:ascii="幼圆" w:hAnsi="幼圆" w:eastAsia="幼圆" w:cs="幼圆"/>
          <w:sz w:val="22"/>
          <w:szCs w:val="22"/>
          <w:lang w:val="en-US" w:eastAsia="zh-CN"/>
        </w:rPr>
        <w:t>每次清掏完成后，向院方出具合法有效的“转移联单”。</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六、安全与应急管理</w:t>
      </w:r>
    </w:p>
    <w:p>
      <w:pPr>
        <w:numPr>
          <w:ilvl w:val="0"/>
          <w:numId w:val="0"/>
        </w:numPr>
        <w:spacing w:line="240" w:lineRule="auto"/>
        <w:ind w:leftChars="0"/>
        <w:rPr>
          <w:rFonts w:hint="eastAsia" w:ascii="幼圆" w:hAnsi="幼圆" w:eastAsia="幼圆" w:cs="幼圆"/>
          <w:bCs/>
          <w:snapToGrid w:val="0"/>
          <w:kern w:val="21"/>
          <w:sz w:val="22"/>
          <w:szCs w:val="22"/>
          <w:lang w:val="en-US" w:eastAsia="zh-CN"/>
        </w:rPr>
      </w:pPr>
      <w:r>
        <w:rPr>
          <w:rFonts w:hint="eastAsia" w:ascii="幼圆" w:hAnsi="幼圆" w:eastAsia="幼圆" w:cs="幼圆"/>
          <w:bCs/>
          <w:snapToGrid w:val="0"/>
          <w:kern w:val="21"/>
          <w:sz w:val="22"/>
          <w:szCs w:val="22"/>
          <w:lang w:val="en-US" w:eastAsia="zh-CN"/>
        </w:rPr>
        <w:t>1、工作许可：任何维保作业必须执行严格的动火作业、有限空间作业、高空作业、临时用电许可证制度。</w:t>
      </w:r>
    </w:p>
    <w:p>
      <w:pPr>
        <w:numPr>
          <w:ilvl w:val="0"/>
          <w:numId w:val="0"/>
        </w:numPr>
        <w:spacing w:line="240" w:lineRule="auto"/>
        <w:ind w:leftChars="0"/>
        <w:rPr>
          <w:rFonts w:hint="eastAsia" w:ascii="幼圆" w:hAnsi="幼圆" w:eastAsia="幼圆" w:cs="幼圆"/>
          <w:bCs/>
          <w:snapToGrid w:val="0"/>
          <w:kern w:val="21"/>
          <w:sz w:val="22"/>
          <w:szCs w:val="22"/>
          <w:lang w:val="en-US" w:eastAsia="zh-CN"/>
        </w:rPr>
      </w:pPr>
      <w:r>
        <w:rPr>
          <w:rFonts w:hint="eastAsia" w:ascii="幼圆" w:hAnsi="幼圆" w:eastAsia="幼圆" w:cs="幼圆"/>
          <w:bCs/>
          <w:snapToGrid w:val="0"/>
          <w:kern w:val="21"/>
          <w:sz w:val="22"/>
          <w:szCs w:val="22"/>
          <w:lang w:val="en-US" w:eastAsia="zh-CN"/>
        </w:rPr>
        <w:t>2、应急预案： 制定针对排水管道突发事件的应急预案，并定期组织演练。</w:t>
      </w:r>
    </w:p>
    <w:p>
      <w:pPr>
        <w:numPr>
          <w:ilvl w:val="0"/>
          <w:numId w:val="0"/>
        </w:numPr>
        <w:spacing w:line="240" w:lineRule="auto"/>
        <w:ind w:leftChars="0"/>
        <w:rPr>
          <w:rFonts w:hint="eastAsia" w:ascii="幼圆" w:hAnsi="幼圆" w:eastAsia="幼圆" w:cs="幼圆"/>
          <w:bCs/>
          <w:snapToGrid w:val="0"/>
          <w:kern w:val="21"/>
          <w:sz w:val="22"/>
          <w:szCs w:val="22"/>
          <w:lang w:val="en-US" w:eastAsia="zh-CN"/>
        </w:rPr>
      </w:pPr>
      <w:r>
        <w:rPr>
          <w:rFonts w:hint="eastAsia" w:ascii="幼圆" w:hAnsi="幼圆" w:eastAsia="幼圆" w:cs="幼圆"/>
          <w:bCs/>
          <w:snapToGrid w:val="0"/>
          <w:kern w:val="21"/>
          <w:sz w:val="22"/>
          <w:szCs w:val="22"/>
          <w:lang w:val="en-US" w:eastAsia="zh-CN"/>
        </w:rPr>
        <w:t>3、个人防护： 作业人员必须配备合格的工服、手套、安全鞋等个人防护装备。</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七、验收及考核</w:t>
      </w:r>
    </w:p>
    <w:p>
      <w:pPr>
        <w:numPr>
          <w:ilvl w:val="0"/>
          <w:numId w:val="0"/>
        </w:numPr>
        <w:spacing w:line="240" w:lineRule="auto"/>
        <w:ind w:leftChars="0"/>
        <w:rPr>
          <w:rFonts w:hint="eastAsia" w:ascii="幼圆" w:hAnsi="幼圆" w:eastAsia="幼圆" w:cs="幼圆"/>
          <w:spacing w:val="14"/>
          <w:sz w:val="22"/>
          <w:szCs w:val="22"/>
        </w:rPr>
      </w:pPr>
      <w:r>
        <w:rPr>
          <w:rFonts w:hint="eastAsia" w:ascii="幼圆" w:hAnsi="幼圆" w:eastAsia="幼圆" w:cs="幼圆"/>
          <w:bCs/>
          <w:snapToGrid w:val="0"/>
          <w:kern w:val="21"/>
          <w:sz w:val="22"/>
          <w:szCs w:val="22"/>
          <w:lang w:val="en-US" w:eastAsia="zh-CN"/>
        </w:rPr>
        <w:t>1、</w:t>
      </w:r>
      <w:r>
        <w:rPr>
          <w:rFonts w:hint="eastAsia" w:ascii="幼圆" w:hAnsi="幼圆" w:eastAsia="幼圆" w:cs="幼圆"/>
          <w:spacing w:val="14"/>
          <w:sz w:val="22"/>
          <w:szCs w:val="22"/>
        </w:rPr>
        <w:t>服务时间安排：</w:t>
      </w:r>
    </w:p>
    <w:p>
      <w:pPr>
        <w:numPr>
          <w:ilvl w:val="0"/>
          <w:numId w:val="0"/>
        </w:numPr>
        <w:spacing w:line="240" w:lineRule="auto"/>
        <w:ind w:left="420" w:leftChars="0"/>
        <w:rPr>
          <w:rFonts w:hint="eastAsia" w:ascii="幼圆" w:hAnsi="幼圆" w:eastAsia="幼圆" w:cs="幼圆"/>
          <w:spacing w:val="14"/>
          <w:sz w:val="22"/>
          <w:szCs w:val="22"/>
        </w:rPr>
      </w:pPr>
      <w:r>
        <w:rPr>
          <w:rFonts w:hint="eastAsia" w:ascii="幼圆" w:hAnsi="幼圆" w:eastAsia="幼圆" w:cs="幼圆"/>
          <w:spacing w:val="14"/>
          <w:sz w:val="22"/>
          <w:szCs w:val="22"/>
          <w:lang w:val="en-US" w:eastAsia="zh-CN"/>
        </w:rPr>
        <w:t>A</w:t>
      </w:r>
      <w:r>
        <w:rPr>
          <w:rFonts w:hint="eastAsia" w:ascii="幼圆" w:hAnsi="幼圆" w:eastAsia="幼圆" w:cs="幼圆"/>
          <w:spacing w:val="14"/>
          <w:sz w:val="22"/>
          <w:szCs w:val="22"/>
        </w:rPr>
        <w:t>周一至周日，7天24小时包括法定节假日。</w:t>
      </w:r>
    </w:p>
    <w:p>
      <w:pPr>
        <w:numPr>
          <w:ilvl w:val="0"/>
          <w:numId w:val="0"/>
        </w:numPr>
        <w:spacing w:line="240" w:lineRule="auto"/>
        <w:ind w:left="420" w:leftChars="0"/>
        <w:rPr>
          <w:rFonts w:hint="eastAsia" w:ascii="幼圆" w:hAnsi="幼圆" w:eastAsia="幼圆" w:cs="幼圆"/>
          <w:spacing w:val="14"/>
          <w:sz w:val="22"/>
          <w:szCs w:val="22"/>
        </w:rPr>
      </w:pPr>
      <w:r>
        <w:rPr>
          <w:rFonts w:hint="eastAsia" w:ascii="幼圆" w:hAnsi="幼圆" w:eastAsia="幼圆" w:cs="幼圆"/>
          <w:spacing w:val="14"/>
          <w:sz w:val="22"/>
          <w:szCs w:val="22"/>
          <w:lang w:val="en-US" w:eastAsia="zh-CN"/>
        </w:rPr>
        <w:t>B</w:t>
      </w:r>
      <w:r>
        <w:rPr>
          <w:rFonts w:hint="eastAsia" w:ascii="幼圆" w:hAnsi="幼圆" w:eastAsia="幼圆" w:cs="幼圆"/>
          <w:spacing w:val="14"/>
          <w:sz w:val="22"/>
          <w:szCs w:val="22"/>
        </w:rPr>
        <w:t xml:space="preserve">电话响应时间 </w:t>
      </w:r>
      <w:r>
        <w:rPr>
          <w:rFonts w:hint="eastAsia" w:ascii="幼圆" w:hAnsi="幼圆" w:eastAsia="幼圆" w:cs="幼圆"/>
          <w:spacing w:val="14"/>
          <w:sz w:val="22"/>
          <w:szCs w:val="22"/>
          <w:lang w:val="en-US" w:eastAsia="zh-CN"/>
        </w:rPr>
        <w:t xml:space="preserve">2 </w:t>
      </w:r>
      <w:r>
        <w:rPr>
          <w:rFonts w:hint="eastAsia" w:ascii="幼圆" w:hAnsi="幼圆" w:eastAsia="幼圆" w:cs="幼圆"/>
          <w:spacing w:val="14"/>
          <w:sz w:val="22"/>
          <w:szCs w:val="22"/>
        </w:rPr>
        <w:t>小时内；</w:t>
      </w:r>
    </w:p>
    <w:p>
      <w:pPr>
        <w:numPr>
          <w:ilvl w:val="0"/>
          <w:numId w:val="0"/>
        </w:numPr>
        <w:spacing w:line="240" w:lineRule="auto"/>
        <w:ind w:left="420" w:leftChars="0"/>
        <w:rPr>
          <w:rFonts w:hint="eastAsia" w:ascii="幼圆" w:hAnsi="幼圆" w:eastAsia="幼圆" w:cs="幼圆"/>
          <w:sz w:val="22"/>
          <w:szCs w:val="22"/>
          <w:lang w:val="en-US" w:eastAsia="zh-CN"/>
        </w:rPr>
      </w:pPr>
      <w:r>
        <w:rPr>
          <w:rFonts w:hint="eastAsia" w:ascii="幼圆" w:hAnsi="幼圆" w:eastAsia="幼圆" w:cs="幼圆"/>
          <w:spacing w:val="14"/>
          <w:sz w:val="22"/>
          <w:szCs w:val="22"/>
          <w:lang w:val="en-US" w:eastAsia="zh-CN"/>
        </w:rPr>
        <w:t>C</w:t>
      </w:r>
      <w:r>
        <w:rPr>
          <w:rFonts w:hint="eastAsia" w:ascii="幼圆" w:hAnsi="幼圆" w:eastAsia="幼圆" w:cs="幼圆"/>
          <w:spacing w:val="14"/>
          <w:sz w:val="22"/>
          <w:szCs w:val="22"/>
        </w:rPr>
        <w:t xml:space="preserve">到达现场时间 </w:t>
      </w:r>
      <w:r>
        <w:rPr>
          <w:rFonts w:hint="eastAsia" w:ascii="幼圆" w:hAnsi="幼圆" w:eastAsia="幼圆" w:cs="幼圆"/>
          <w:spacing w:val="14"/>
          <w:sz w:val="22"/>
          <w:szCs w:val="22"/>
          <w:lang w:val="en-US" w:eastAsia="zh-CN"/>
        </w:rPr>
        <w:t>4</w:t>
      </w:r>
      <w:r>
        <w:rPr>
          <w:rFonts w:hint="eastAsia" w:ascii="幼圆" w:hAnsi="幼圆" w:eastAsia="幼圆" w:cs="幼圆"/>
          <w:spacing w:val="14"/>
          <w:sz w:val="22"/>
          <w:szCs w:val="22"/>
        </w:rPr>
        <w:t xml:space="preserve"> 小时内</w:t>
      </w:r>
    </w:p>
    <w:p>
      <w:pPr>
        <w:numPr>
          <w:ilvl w:val="0"/>
          <w:numId w:val="0"/>
        </w:numPr>
        <w:spacing w:line="240" w:lineRule="auto"/>
        <w:ind w:left="420" w:leftChars="0"/>
        <w:rPr>
          <w:rFonts w:hint="eastAsia" w:ascii="幼圆" w:hAnsi="幼圆" w:eastAsia="幼圆" w:cs="幼圆"/>
          <w:sz w:val="22"/>
          <w:szCs w:val="22"/>
          <w:lang w:val="en-US" w:eastAsia="zh-CN"/>
        </w:rPr>
      </w:pPr>
      <w:r>
        <w:rPr>
          <w:rFonts w:hint="eastAsia" w:ascii="幼圆" w:hAnsi="幼圆" w:eastAsia="幼圆" w:cs="幼圆"/>
          <w:sz w:val="22"/>
          <w:szCs w:val="22"/>
          <w:lang w:val="en-US" w:eastAsia="zh-CN"/>
        </w:rPr>
        <w:t>D乙方清掏疏通车辆、设备应充足，紧急故障应</w:t>
      </w:r>
      <w:r>
        <w:rPr>
          <w:rFonts w:hint="eastAsia" w:ascii="幼圆" w:hAnsi="幼圆" w:eastAsia="幼圆" w:cs="幼圆"/>
          <w:sz w:val="22"/>
          <w:szCs w:val="22"/>
          <w:u w:val="single"/>
          <w:lang w:val="en-US" w:eastAsia="zh-CN"/>
        </w:rPr>
        <w:t xml:space="preserve">   0.5   </w:t>
      </w:r>
      <w:r>
        <w:rPr>
          <w:rFonts w:hint="eastAsia" w:ascii="幼圆" w:hAnsi="幼圆" w:eastAsia="幼圆" w:cs="幼圆"/>
          <w:sz w:val="22"/>
          <w:szCs w:val="22"/>
          <w:lang w:val="en-US" w:eastAsia="zh-CN"/>
        </w:rPr>
        <w:t>小时内维修完成；</w:t>
      </w:r>
    </w:p>
    <w:p>
      <w:pPr>
        <w:numPr>
          <w:ilvl w:val="0"/>
          <w:numId w:val="0"/>
        </w:numPr>
        <w:spacing w:line="240" w:lineRule="auto"/>
        <w:ind w:left="420" w:leftChars="0"/>
        <w:rPr>
          <w:rFonts w:hint="eastAsia" w:ascii="幼圆" w:hAnsi="幼圆" w:eastAsia="幼圆" w:cs="幼圆"/>
          <w:spacing w:val="14"/>
          <w:sz w:val="22"/>
          <w:szCs w:val="22"/>
        </w:rPr>
      </w:pPr>
      <w:r>
        <w:rPr>
          <w:rFonts w:hint="eastAsia" w:ascii="幼圆" w:hAnsi="幼圆" w:eastAsia="幼圆" w:cs="幼圆"/>
          <w:sz w:val="22"/>
          <w:szCs w:val="22"/>
          <w:lang w:val="en-US" w:eastAsia="zh-CN"/>
        </w:rPr>
        <w:t>E一般故障自报修起</w:t>
      </w:r>
      <w:r>
        <w:rPr>
          <w:rFonts w:hint="eastAsia" w:ascii="幼圆" w:hAnsi="幼圆" w:eastAsia="幼圆" w:cs="幼圆"/>
          <w:sz w:val="22"/>
          <w:szCs w:val="22"/>
          <w:u w:val="single"/>
          <w:lang w:val="en-US" w:eastAsia="zh-CN"/>
        </w:rPr>
        <w:t xml:space="preserve">   2   </w:t>
      </w:r>
      <w:r>
        <w:rPr>
          <w:rFonts w:hint="eastAsia" w:ascii="幼圆" w:hAnsi="幼圆" w:eastAsia="幼圆" w:cs="幼圆"/>
          <w:sz w:val="22"/>
          <w:szCs w:val="22"/>
          <w:lang w:val="en-US" w:eastAsia="zh-CN"/>
        </w:rPr>
        <w:t>小时内维修完成。</w:t>
      </w:r>
    </w:p>
    <w:p>
      <w:pPr>
        <w:numPr>
          <w:ilvl w:val="0"/>
          <w:numId w:val="10"/>
        </w:numPr>
        <w:spacing w:line="240" w:lineRule="auto"/>
        <w:ind w:leftChars="0"/>
        <w:rPr>
          <w:rFonts w:hint="eastAsia" w:ascii="幼圆" w:hAnsi="幼圆" w:eastAsia="幼圆" w:cs="幼圆"/>
          <w:spacing w:val="14"/>
          <w:sz w:val="22"/>
          <w:szCs w:val="22"/>
        </w:rPr>
      </w:pPr>
      <w:r>
        <w:rPr>
          <w:rFonts w:hint="eastAsia" w:ascii="幼圆" w:hAnsi="幼圆" w:eastAsia="幼圆" w:cs="幼圆"/>
          <w:spacing w:val="14"/>
          <w:sz w:val="22"/>
          <w:szCs w:val="22"/>
          <w:lang w:eastAsia="zh-CN"/>
        </w:rPr>
        <w:t>乙方</w:t>
      </w:r>
      <w:r>
        <w:rPr>
          <w:rFonts w:hint="eastAsia" w:ascii="幼圆" w:hAnsi="幼圆" w:eastAsia="幼圆" w:cs="幼圆"/>
          <w:spacing w:val="14"/>
          <w:sz w:val="22"/>
          <w:szCs w:val="22"/>
        </w:rPr>
        <w:t>负责对</w:t>
      </w:r>
      <w:r>
        <w:rPr>
          <w:rFonts w:hint="eastAsia" w:ascii="幼圆" w:hAnsi="幼圆" w:eastAsia="幼圆" w:cs="幼圆"/>
          <w:spacing w:val="14"/>
          <w:sz w:val="22"/>
          <w:szCs w:val="22"/>
          <w:lang w:eastAsia="zh-CN"/>
        </w:rPr>
        <w:t>院区</w:t>
      </w:r>
      <w:r>
        <w:rPr>
          <w:rFonts w:hint="eastAsia" w:ascii="幼圆" w:hAnsi="幼圆" w:eastAsia="幼圆" w:cs="幼圆"/>
          <w:spacing w:val="14"/>
          <w:sz w:val="22"/>
          <w:szCs w:val="22"/>
        </w:rPr>
        <w:t>所包括的所有</w:t>
      </w:r>
      <w:r>
        <w:rPr>
          <w:rFonts w:hint="eastAsia" w:ascii="幼圆" w:hAnsi="幼圆" w:eastAsia="幼圆" w:cs="幼圆"/>
          <w:spacing w:val="14"/>
          <w:sz w:val="22"/>
          <w:szCs w:val="22"/>
          <w:lang w:eastAsia="zh-CN"/>
        </w:rPr>
        <w:t>化粪池进行清掏，外围管线进行进行疏通</w:t>
      </w:r>
      <w:r>
        <w:rPr>
          <w:rFonts w:hint="eastAsia" w:ascii="幼圆" w:hAnsi="幼圆" w:eastAsia="幼圆" w:cs="幼圆"/>
          <w:spacing w:val="14"/>
          <w:sz w:val="22"/>
          <w:szCs w:val="22"/>
        </w:rPr>
        <w:t>。</w:t>
      </w:r>
    </w:p>
    <w:p>
      <w:pPr>
        <w:numPr>
          <w:ilvl w:val="0"/>
          <w:numId w:val="10"/>
        </w:numPr>
        <w:spacing w:line="240" w:lineRule="auto"/>
        <w:ind w:leftChars="0"/>
        <w:rPr>
          <w:rFonts w:hint="eastAsia" w:ascii="幼圆" w:hAnsi="幼圆" w:eastAsia="幼圆" w:cs="幼圆"/>
          <w:sz w:val="22"/>
          <w:szCs w:val="22"/>
          <w:lang w:val="en-US" w:eastAsia="zh-CN"/>
        </w:rPr>
      </w:pPr>
      <w:r>
        <w:rPr>
          <w:rFonts w:hint="eastAsia" w:ascii="幼圆" w:hAnsi="幼圆" w:eastAsia="幼圆" w:cs="幼圆"/>
          <w:spacing w:val="14"/>
          <w:sz w:val="22"/>
          <w:szCs w:val="22"/>
        </w:rPr>
        <w:t>人员均应持有与该项目相匹配的特种作业证书方可上岗，如不符合要求条件，甲方有权提出</w:t>
      </w:r>
      <w:r>
        <w:rPr>
          <w:rFonts w:hint="eastAsia" w:ascii="幼圆" w:hAnsi="幼圆" w:eastAsia="幼圆" w:cs="幼圆"/>
          <w:b w:val="0"/>
          <w:bCs w:val="0"/>
          <w:sz w:val="22"/>
          <w:szCs w:val="22"/>
        </w:rPr>
        <w:t>更换。</w:t>
      </w:r>
    </w:p>
    <w:p>
      <w:pPr>
        <w:numPr>
          <w:ilvl w:val="0"/>
          <w:numId w:val="10"/>
        </w:numPr>
        <w:spacing w:line="240" w:lineRule="auto"/>
        <w:ind w:leftChars="0"/>
        <w:rPr>
          <w:rFonts w:hint="eastAsia" w:ascii="幼圆" w:hAnsi="幼圆" w:eastAsia="幼圆" w:cs="幼圆"/>
          <w:sz w:val="20"/>
          <w:szCs w:val="20"/>
          <w:lang w:val="en-US" w:eastAsia="zh-CN"/>
        </w:rPr>
      </w:pPr>
      <w:r>
        <w:rPr>
          <w:rFonts w:hint="eastAsia" w:ascii="幼圆" w:hAnsi="幼圆" w:eastAsia="幼圆" w:cs="幼圆"/>
          <w:spacing w:val="14"/>
          <w:sz w:val="20"/>
          <w:szCs w:val="20"/>
          <w:lang w:eastAsia="zh-CN"/>
        </w:rPr>
        <w:t>乙方</w:t>
      </w:r>
      <w:r>
        <w:rPr>
          <w:rFonts w:hint="eastAsia" w:ascii="幼圆" w:hAnsi="幼圆" w:eastAsia="幼圆" w:cs="幼圆"/>
          <w:b w:val="0"/>
          <w:bCs w:val="0"/>
          <w:spacing w:val="14"/>
          <w:sz w:val="20"/>
          <w:szCs w:val="20"/>
          <w:lang w:eastAsia="zh-CN"/>
        </w:rPr>
        <w:t>若有上述违约情况之一的，</w:t>
      </w:r>
      <w:r>
        <w:rPr>
          <w:rFonts w:hint="eastAsia" w:ascii="幼圆" w:hAnsi="幼圆" w:eastAsia="幼圆" w:cs="幼圆"/>
          <w:spacing w:val="14"/>
          <w:sz w:val="20"/>
          <w:szCs w:val="20"/>
        </w:rPr>
        <w:t>将视为违约</w:t>
      </w:r>
      <w:r>
        <w:rPr>
          <w:rFonts w:hint="eastAsia" w:ascii="幼圆" w:hAnsi="幼圆" w:eastAsia="幼圆" w:cs="幼圆"/>
          <w:spacing w:val="14"/>
          <w:sz w:val="20"/>
          <w:szCs w:val="20"/>
          <w:lang w:eastAsia="zh-CN"/>
        </w:rPr>
        <w:t>，</w:t>
      </w:r>
      <w:r>
        <w:rPr>
          <w:rFonts w:hint="eastAsia" w:ascii="幼圆" w:hAnsi="幼圆" w:eastAsia="幼圆" w:cs="幼圆"/>
          <w:b w:val="0"/>
          <w:bCs w:val="0"/>
          <w:spacing w:val="14"/>
          <w:sz w:val="20"/>
          <w:szCs w:val="20"/>
          <w:lang w:eastAsia="zh-CN"/>
        </w:rPr>
        <w:t>罚扣当年维保合同金额的</w:t>
      </w:r>
      <w:r>
        <w:rPr>
          <w:rFonts w:hint="eastAsia" w:ascii="幼圆" w:hAnsi="幼圆" w:eastAsia="幼圆" w:cs="幼圆"/>
          <w:b w:val="0"/>
          <w:bCs w:val="0"/>
          <w:spacing w:val="14"/>
          <w:sz w:val="20"/>
          <w:szCs w:val="20"/>
        </w:rPr>
        <w:t>10%</w:t>
      </w:r>
      <w:r>
        <w:rPr>
          <w:rFonts w:hint="eastAsia" w:ascii="幼圆" w:hAnsi="幼圆" w:eastAsia="幼圆" w:cs="幼圆"/>
          <w:b w:val="0"/>
          <w:bCs w:val="0"/>
          <w:spacing w:val="14"/>
          <w:sz w:val="20"/>
          <w:szCs w:val="20"/>
          <w:lang w:eastAsia="zh-CN"/>
        </w:rPr>
        <w:t>。拒不改正的，合约解除，并赔偿甲方所有损失。</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八、人员要求</w:t>
      </w:r>
    </w:p>
    <w:p>
      <w:pPr>
        <w:numPr>
          <w:ilvl w:val="0"/>
          <w:numId w:val="0"/>
        </w:numPr>
        <w:spacing w:line="240" w:lineRule="auto"/>
        <w:rPr>
          <w:rFonts w:hint="eastAsia" w:ascii="幼圆" w:hAnsi="幼圆" w:eastAsia="幼圆" w:cs="幼圆"/>
          <w:spacing w:val="14"/>
          <w:sz w:val="20"/>
          <w:szCs w:val="20"/>
          <w:lang w:val="en-US" w:eastAsia="zh-CN"/>
        </w:rPr>
      </w:pPr>
      <w:r>
        <w:rPr>
          <w:rFonts w:hint="eastAsia" w:ascii="幼圆" w:hAnsi="幼圆" w:eastAsia="幼圆" w:cs="幼圆"/>
          <w:spacing w:val="14"/>
          <w:sz w:val="20"/>
          <w:szCs w:val="20"/>
          <w:lang w:val="en-US" w:eastAsia="zh-CN"/>
        </w:rPr>
        <w:t>1、</w:t>
      </w:r>
      <w:r>
        <w:rPr>
          <w:rFonts w:hint="eastAsia" w:ascii="幼圆" w:hAnsi="幼圆" w:eastAsia="幼圆" w:cs="幼圆"/>
          <w:spacing w:val="14"/>
          <w:sz w:val="20"/>
          <w:szCs w:val="20"/>
        </w:rPr>
        <w:t>应建立人员行为规范（包括统一着装、佩戴标识、仪表仪容整洁等）、职业素质与技能培训机制、从业人员保密制度、人员激励及处罚机制等。</w:t>
      </w:r>
    </w:p>
    <w:p>
      <w:pPr>
        <w:numPr>
          <w:ilvl w:val="0"/>
          <w:numId w:val="0"/>
        </w:numPr>
        <w:spacing w:line="240" w:lineRule="auto"/>
        <w:rPr>
          <w:rFonts w:hint="eastAsia" w:ascii="幼圆" w:hAnsi="幼圆" w:eastAsia="幼圆" w:cs="幼圆"/>
          <w:spacing w:val="14"/>
          <w:sz w:val="20"/>
          <w:szCs w:val="20"/>
        </w:rPr>
      </w:pPr>
      <w:r>
        <w:rPr>
          <w:rFonts w:hint="eastAsia" w:ascii="幼圆" w:hAnsi="幼圆" w:eastAsia="幼圆" w:cs="幼圆"/>
          <w:spacing w:val="14"/>
          <w:sz w:val="20"/>
          <w:szCs w:val="20"/>
          <w:lang w:val="en-US" w:eastAsia="zh-CN"/>
        </w:rPr>
        <w:t>2、</w:t>
      </w:r>
      <w:r>
        <w:rPr>
          <w:rFonts w:hint="eastAsia" w:ascii="幼圆" w:hAnsi="幼圆" w:eastAsia="幼圆" w:cs="幼圆"/>
          <w:spacing w:val="14"/>
          <w:sz w:val="20"/>
          <w:szCs w:val="20"/>
          <w:lang w:eastAsia="zh-CN"/>
        </w:rPr>
        <w:t>乙方</w:t>
      </w:r>
      <w:r>
        <w:rPr>
          <w:rFonts w:hint="eastAsia" w:ascii="幼圆" w:hAnsi="幼圆" w:eastAsia="幼圆" w:cs="幼圆"/>
          <w:spacing w:val="14"/>
          <w:sz w:val="20"/>
          <w:szCs w:val="20"/>
        </w:rPr>
        <w:t>人员应经过专业技术培训且考核合格，具有相应的工作实践经验的操作人员。应熟悉并掌握设备结构、性能、工作原理、操作方法及使用维修保养知识。</w:t>
      </w:r>
    </w:p>
    <w:p>
      <w:pPr>
        <w:numPr>
          <w:ilvl w:val="0"/>
          <w:numId w:val="0"/>
        </w:numPr>
        <w:spacing w:line="240" w:lineRule="auto"/>
        <w:rPr>
          <w:rFonts w:hint="eastAsia" w:ascii="幼圆" w:hAnsi="幼圆" w:eastAsia="幼圆" w:cs="幼圆"/>
          <w:spacing w:val="14"/>
          <w:sz w:val="20"/>
          <w:szCs w:val="20"/>
        </w:rPr>
      </w:pPr>
      <w:r>
        <w:rPr>
          <w:rFonts w:hint="eastAsia" w:ascii="幼圆" w:hAnsi="幼圆" w:eastAsia="幼圆" w:cs="幼圆"/>
          <w:spacing w:val="14"/>
          <w:sz w:val="20"/>
          <w:szCs w:val="20"/>
          <w:lang w:val="en-US" w:eastAsia="zh-CN"/>
        </w:rPr>
        <w:t>3、</w:t>
      </w:r>
      <w:r>
        <w:rPr>
          <w:rFonts w:hint="eastAsia" w:ascii="幼圆" w:hAnsi="幼圆" w:eastAsia="幼圆" w:cs="幼圆"/>
          <w:spacing w:val="14"/>
          <w:sz w:val="20"/>
          <w:szCs w:val="20"/>
        </w:rPr>
        <w:t>工程经理</w:t>
      </w:r>
      <w:r>
        <w:rPr>
          <w:rFonts w:hint="eastAsia" w:ascii="幼圆" w:hAnsi="幼圆" w:eastAsia="幼圆" w:cs="幼圆"/>
          <w:spacing w:val="14"/>
          <w:sz w:val="20"/>
          <w:szCs w:val="20"/>
          <w:lang w:eastAsia="zh-CN"/>
        </w:rPr>
        <w:t>：</w:t>
      </w:r>
      <w:r>
        <w:rPr>
          <w:rFonts w:hint="eastAsia" w:ascii="幼圆" w:hAnsi="幼圆" w:eastAsia="幼圆" w:cs="幼圆"/>
          <w:spacing w:val="14"/>
          <w:sz w:val="20"/>
          <w:szCs w:val="20"/>
        </w:rPr>
        <w:t>年龄不足55周岁</w:t>
      </w:r>
      <w:r>
        <w:rPr>
          <w:rFonts w:hint="eastAsia" w:ascii="幼圆" w:hAnsi="幼圆" w:eastAsia="幼圆" w:cs="幼圆"/>
          <w:spacing w:val="14"/>
          <w:sz w:val="20"/>
          <w:szCs w:val="20"/>
          <w:lang w:eastAsia="zh-CN"/>
        </w:rPr>
        <w:t>，</w:t>
      </w:r>
      <w:r>
        <w:rPr>
          <w:rFonts w:hint="eastAsia" w:ascii="幼圆" w:hAnsi="幼圆" w:eastAsia="幼圆" w:cs="幼圆"/>
          <w:spacing w:val="14"/>
          <w:sz w:val="20"/>
          <w:szCs w:val="20"/>
        </w:rPr>
        <w:t>具有大专及以上学历</w:t>
      </w:r>
    </w:p>
    <w:p>
      <w:pPr>
        <w:numPr>
          <w:ilvl w:val="0"/>
          <w:numId w:val="0"/>
        </w:numPr>
        <w:spacing w:line="240" w:lineRule="auto"/>
        <w:rPr>
          <w:rFonts w:hint="eastAsia" w:ascii="幼圆" w:hAnsi="幼圆" w:eastAsia="幼圆" w:cs="幼圆"/>
          <w:spacing w:val="14"/>
          <w:sz w:val="20"/>
          <w:szCs w:val="20"/>
          <w:lang w:eastAsia="zh-CN"/>
        </w:rPr>
      </w:pPr>
      <w:r>
        <w:rPr>
          <w:rFonts w:hint="eastAsia" w:ascii="幼圆" w:hAnsi="幼圆" w:eastAsia="幼圆" w:cs="幼圆"/>
          <w:spacing w:val="14"/>
          <w:sz w:val="20"/>
          <w:szCs w:val="20"/>
          <w:lang w:val="en-US" w:eastAsia="zh-CN"/>
        </w:rPr>
        <w:t>4、</w:t>
      </w:r>
      <w:r>
        <w:rPr>
          <w:rFonts w:hint="eastAsia" w:ascii="幼圆" w:hAnsi="幼圆" w:eastAsia="幼圆" w:cs="幼圆"/>
          <w:spacing w:val="14"/>
          <w:sz w:val="20"/>
          <w:szCs w:val="20"/>
          <w:lang w:eastAsia="zh-CN"/>
        </w:rPr>
        <w:t>操作人员需具有下述证照：</w:t>
      </w:r>
    </w:p>
    <w:p>
      <w:pPr>
        <w:numPr>
          <w:ilvl w:val="0"/>
          <w:numId w:val="0"/>
        </w:numPr>
        <w:spacing w:line="240" w:lineRule="auto"/>
        <w:ind w:left="420" w:leftChars="0"/>
        <w:rPr>
          <w:rFonts w:hint="eastAsia" w:ascii="幼圆" w:hAnsi="幼圆" w:eastAsia="幼圆" w:cs="幼圆"/>
          <w:spacing w:val="14"/>
          <w:sz w:val="20"/>
          <w:szCs w:val="20"/>
          <w:lang w:val="en-US" w:eastAsia="zh-CN"/>
        </w:rPr>
      </w:pPr>
      <w:r>
        <w:rPr>
          <w:rFonts w:hint="eastAsia" w:ascii="幼圆" w:hAnsi="幼圆" w:eastAsia="幼圆" w:cs="幼圆"/>
          <w:spacing w:val="14"/>
          <w:sz w:val="20"/>
          <w:szCs w:val="20"/>
        </w:rPr>
        <w:t>《中华人民共和国特种作业操作证（</w:t>
      </w:r>
      <w:r>
        <w:rPr>
          <w:rFonts w:hint="eastAsia" w:ascii="幼圆" w:hAnsi="幼圆" w:eastAsia="幼圆" w:cs="幼圆"/>
          <w:spacing w:val="14"/>
          <w:sz w:val="20"/>
          <w:szCs w:val="20"/>
          <w:lang w:val="en-US" w:eastAsia="zh-CN"/>
        </w:rPr>
        <w:t>有限空间作业</w:t>
      </w:r>
      <w:r>
        <w:rPr>
          <w:rFonts w:hint="eastAsia" w:ascii="幼圆" w:hAnsi="幼圆" w:eastAsia="幼圆" w:cs="幼圆"/>
          <w:spacing w:val="14"/>
          <w:sz w:val="20"/>
          <w:szCs w:val="20"/>
        </w:rPr>
        <w:t>）》</w:t>
      </w:r>
      <w:r>
        <w:rPr>
          <w:rFonts w:hint="eastAsia" w:ascii="幼圆" w:hAnsi="幼圆" w:eastAsia="幼圆" w:cs="幼圆"/>
          <w:spacing w:val="14"/>
          <w:sz w:val="20"/>
          <w:szCs w:val="20"/>
          <w:lang w:eastAsia="zh-CN"/>
        </w:rPr>
        <w:t>；</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九、维保设备清单</w:t>
      </w:r>
    </w:p>
    <w:tbl>
      <w:tblPr>
        <w:tblStyle w:val="35"/>
        <w:tblW w:w="5235" w:type="pct"/>
        <w:tblInd w:w="0" w:type="dxa"/>
        <w:tblLayout w:type="autofit"/>
        <w:tblCellMar>
          <w:top w:w="0" w:type="dxa"/>
          <w:left w:w="108" w:type="dxa"/>
          <w:bottom w:w="0" w:type="dxa"/>
          <w:right w:w="108" w:type="dxa"/>
        </w:tblCellMar>
      </w:tblPr>
      <w:tblGrid>
        <w:gridCol w:w="935"/>
        <w:gridCol w:w="2962"/>
        <w:gridCol w:w="1950"/>
        <w:gridCol w:w="883"/>
        <w:gridCol w:w="1061"/>
        <w:gridCol w:w="1481"/>
      </w:tblGrid>
      <w:tr>
        <w:tblPrEx>
          <w:tblCellMar>
            <w:top w:w="0" w:type="dxa"/>
            <w:left w:w="108" w:type="dxa"/>
            <w:bottom w:w="0" w:type="dxa"/>
            <w:right w:w="108" w:type="dxa"/>
          </w:tblCellMar>
        </w:tblPrEx>
        <w:trPr>
          <w:trHeight w:val="450" w:hRule="atLeast"/>
        </w:trPr>
        <w:tc>
          <w:tcPr>
            <w:tcW w:w="50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幼圆" w:hAnsi="幼圆" w:eastAsia="幼圆" w:cs="幼圆"/>
                <w:b/>
                <w:bCs/>
                <w:kern w:val="0"/>
                <w:sz w:val="22"/>
                <w:szCs w:val="22"/>
              </w:rPr>
            </w:pPr>
            <w:r>
              <w:rPr>
                <w:rFonts w:hint="eastAsia" w:ascii="幼圆" w:hAnsi="幼圆" w:eastAsia="幼圆" w:cs="幼圆"/>
                <w:b/>
                <w:bCs/>
                <w:kern w:val="0"/>
                <w:sz w:val="22"/>
                <w:szCs w:val="22"/>
              </w:rPr>
              <w:t>序号</w:t>
            </w:r>
          </w:p>
        </w:tc>
        <w:tc>
          <w:tcPr>
            <w:tcW w:w="1596"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幼圆" w:hAnsi="幼圆" w:eastAsia="幼圆" w:cs="幼圆"/>
                <w:b/>
                <w:bCs/>
                <w:kern w:val="0"/>
                <w:sz w:val="22"/>
                <w:szCs w:val="22"/>
              </w:rPr>
            </w:pPr>
            <w:r>
              <w:rPr>
                <w:rFonts w:hint="eastAsia" w:ascii="幼圆" w:hAnsi="幼圆" w:eastAsia="幼圆" w:cs="幼圆"/>
                <w:b/>
                <w:bCs/>
                <w:kern w:val="0"/>
                <w:sz w:val="22"/>
                <w:szCs w:val="22"/>
              </w:rPr>
              <w:t>名称</w:t>
            </w:r>
          </w:p>
        </w:tc>
        <w:tc>
          <w:tcPr>
            <w:tcW w:w="1051"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幼圆" w:hAnsi="幼圆" w:eastAsia="幼圆" w:cs="幼圆"/>
                <w:b/>
                <w:bCs/>
                <w:kern w:val="0"/>
                <w:sz w:val="22"/>
                <w:szCs w:val="22"/>
              </w:rPr>
            </w:pPr>
            <w:r>
              <w:rPr>
                <w:rFonts w:hint="eastAsia" w:ascii="幼圆" w:hAnsi="幼圆" w:eastAsia="幼圆" w:cs="幼圆"/>
                <w:b/>
                <w:bCs/>
                <w:kern w:val="0"/>
                <w:sz w:val="22"/>
                <w:szCs w:val="22"/>
              </w:rPr>
              <w:t>型号</w:t>
            </w:r>
          </w:p>
        </w:tc>
        <w:tc>
          <w:tcPr>
            <w:tcW w:w="476"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幼圆" w:hAnsi="幼圆" w:eastAsia="幼圆" w:cs="幼圆"/>
                <w:b/>
                <w:bCs/>
                <w:kern w:val="0"/>
                <w:sz w:val="22"/>
                <w:szCs w:val="22"/>
              </w:rPr>
            </w:pPr>
            <w:r>
              <w:rPr>
                <w:rFonts w:hint="eastAsia" w:ascii="幼圆" w:hAnsi="幼圆" w:eastAsia="幼圆" w:cs="幼圆"/>
                <w:b/>
                <w:bCs/>
                <w:kern w:val="0"/>
                <w:sz w:val="22"/>
                <w:szCs w:val="22"/>
              </w:rPr>
              <w:t>数量</w:t>
            </w:r>
          </w:p>
        </w:tc>
        <w:tc>
          <w:tcPr>
            <w:tcW w:w="572"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幼圆" w:hAnsi="幼圆" w:eastAsia="幼圆" w:cs="幼圆"/>
                <w:b/>
                <w:bCs/>
                <w:kern w:val="0"/>
                <w:sz w:val="22"/>
                <w:szCs w:val="22"/>
              </w:rPr>
            </w:pPr>
            <w:r>
              <w:rPr>
                <w:rFonts w:hint="eastAsia" w:ascii="幼圆" w:hAnsi="幼圆" w:eastAsia="幼圆" w:cs="幼圆"/>
                <w:b/>
                <w:bCs/>
                <w:kern w:val="0"/>
                <w:sz w:val="22"/>
                <w:szCs w:val="22"/>
              </w:rPr>
              <w:t>单位</w:t>
            </w:r>
          </w:p>
        </w:tc>
        <w:tc>
          <w:tcPr>
            <w:tcW w:w="798"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幼圆" w:hAnsi="幼圆" w:eastAsia="幼圆" w:cs="幼圆"/>
                <w:b/>
                <w:bCs/>
                <w:kern w:val="0"/>
                <w:sz w:val="22"/>
                <w:szCs w:val="22"/>
                <w:lang w:val="en-US" w:eastAsia="zh-CN"/>
              </w:rPr>
            </w:pPr>
            <w:r>
              <w:rPr>
                <w:rFonts w:hint="eastAsia" w:ascii="幼圆" w:hAnsi="幼圆" w:eastAsia="幼圆" w:cs="幼圆"/>
                <w:b/>
                <w:bCs/>
                <w:kern w:val="0"/>
                <w:sz w:val="22"/>
                <w:szCs w:val="22"/>
                <w:lang w:val="en-US" w:eastAsia="zh-CN"/>
              </w:rPr>
              <w:t>频次</w:t>
            </w:r>
          </w:p>
        </w:tc>
      </w:tr>
      <w:tr>
        <w:tblPrEx>
          <w:tblCellMar>
            <w:top w:w="0" w:type="dxa"/>
            <w:left w:w="108" w:type="dxa"/>
            <w:bottom w:w="0" w:type="dxa"/>
            <w:right w:w="108" w:type="dxa"/>
          </w:tblCellMar>
        </w:tblPrEx>
        <w:trPr>
          <w:trHeight w:val="770" w:hRule="atLeast"/>
        </w:trPr>
        <w:tc>
          <w:tcPr>
            <w:tcW w:w="504" w:type="pct"/>
            <w:tcBorders>
              <w:top w:val="nil"/>
              <w:left w:val="single" w:color="auto" w:sz="4" w:space="0"/>
              <w:bottom w:val="single" w:color="auto" w:sz="4" w:space="0"/>
              <w:right w:val="single" w:color="auto" w:sz="4" w:space="0"/>
            </w:tcBorders>
            <w:shd w:val="clear" w:color="000000" w:fill="CCFFCC"/>
            <w:noWrap/>
            <w:vAlign w:val="center"/>
          </w:tcPr>
          <w:p>
            <w:pPr>
              <w:widowControl/>
              <w:jc w:val="center"/>
              <w:rPr>
                <w:rFonts w:hint="eastAsia" w:ascii="幼圆" w:hAnsi="幼圆" w:eastAsia="幼圆" w:cs="幼圆"/>
                <w:b/>
                <w:bCs/>
                <w:kern w:val="0"/>
                <w:sz w:val="22"/>
                <w:szCs w:val="22"/>
              </w:rPr>
            </w:pPr>
            <w:r>
              <w:rPr>
                <w:rFonts w:hint="eastAsia" w:ascii="幼圆" w:hAnsi="幼圆" w:eastAsia="幼圆" w:cs="幼圆"/>
                <w:b/>
                <w:bCs/>
                <w:kern w:val="0"/>
                <w:sz w:val="22"/>
                <w:szCs w:val="22"/>
              </w:rPr>
              <w:t>1</w:t>
            </w:r>
          </w:p>
        </w:tc>
        <w:tc>
          <w:tcPr>
            <w:tcW w:w="1596" w:type="pct"/>
            <w:tcBorders>
              <w:top w:val="nil"/>
              <w:left w:val="nil"/>
              <w:bottom w:val="single" w:color="auto" w:sz="4" w:space="0"/>
              <w:right w:val="single" w:color="auto" w:sz="4" w:space="0"/>
            </w:tcBorders>
            <w:shd w:val="clear" w:color="000000" w:fill="CCFFCC"/>
            <w:vAlign w:val="center"/>
          </w:tcPr>
          <w:p>
            <w:pPr>
              <w:widowControl/>
              <w:jc w:val="center"/>
              <w:rPr>
                <w:rFonts w:hint="eastAsia" w:ascii="幼圆" w:hAnsi="幼圆" w:eastAsia="幼圆" w:cs="幼圆"/>
                <w:b/>
                <w:bCs/>
                <w:kern w:val="0"/>
                <w:sz w:val="22"/>
                <w:szCs w:val="22"/>
              </w:rPr>
            </w:pPr>
            <w:r>
              <w:rPr>
                <w:rFonts w:hint="eastAsia" w:ascii="幼圆" w:hAnsi="幼圆" w:eastAsia="幼圆" w:cs="幼圆"/>
                <w:b/>
                <w:bCs/>
                <w:kern w:val="0"/>
                <w:sz w:val="22"/>
                <w:szCs w:val="22"/>
              </w:rPr>
              <w:t>化粪池</w:t>
            </w:r>
            <w:r>
              <w:rPr>
                <w:rFonts w:hint="eastAsia" w:ascii="幼圆" w:hAnsi="幼圆" w:eastAsia="幼圆" w:cs="幼圆"/>
                <w:b/>
                <w:bCs/>
                <w:kern w:val="0"/>
                <w:sz w:val="22"/>
                <w:szCs w:val="22"/>
                <w:lang w:val="en-US" w:eastAsia="zh-CN"/>
              </w:rPr>
              <w:t>清掏</w:t>
            </w:r>
          </w:p>
        </w:tc>
        <w:tc>
          <w:tcPr>
            <w:tcW w:w="1051" w:type="pct"/>
            <w:tcBorders>
              <w:top w:val="nil"/>
              <w:left w:val="nil"/>
              <w:bottom w:val="single" w:color="auto" w:sz="4" w:space="0"/>
              <w:right w:val="single" w:color="auto" w:sz="4" w:space="0"/>
            </w:tcBorders>
            <w:shd w:val="clear" w:color="000000" w:fill="CCFFCC"/>
            <w:vAlign w:val="center"/>
          </w:tcPr>
          <w:p>
            <w:pPr>
              <w:widowControl/>
              <w:jc w:val="center"/>
              <w:rPr>
                <w:rFonts w:hint="eastAsia" w:ascii="幼圆" w:hAnsi="幼圆" w:eastAsia="幼圆" w:cs="幼圆"/>
                <w:b/>
                <w:bCs/>
                <w:kern w:val="0"/>
                <w:sz w:val="22"/>
                <w:szCs w:val="22"/>
              </w:rPr>
            </w:pPr>
            <w:r>
              <w:rPr>
                <w:rFonts w:hint="eastAsia" w:ascii="幼圆" w:hAnsi="幼圆" w:eastAsia="幼圆" w:cs="幼圆"/>
                <w:b/>
                <w:bCs/>
                <w:kern w:val="0"/>
                <w:sz w:val="22"/>
                <w:szCs w:val="22"/>
                <w:lang w:val="en-US" w:eastAsia="zh-CN"/>
              </w:rPr>
              <w:t>100m³</w:t>
            </w:r>
          </w:p>
        </w:tc>
        <w:tc>
          <w:tcPr>
            <w:tcW w:w="476" w:type="pct"/>
            <w:tcBorders>
              <w:top w:val="nil"/>
              <w:left w:val="nil"/>
              <w:bottom w:val="single" w:color="auto" w:sz="4" w:space="0"/>
              <w:right w:val="single" w:color="auto" w:sz="4" w:space="0"/>
            </w:tcBorders>
            <w:shd w:val="clear" w:color="000000" w:fill="CCFFCC"/>
            <w:vAlign w:val="center"/>
          </w:tcPr>
          <w:p>
            <w:pPr>
              <w:widowControl/>
              <w:jc w:val="center"/>
              <w:rPr>
                <w:rFonts w:hint="eastAsia" w:ascii="幼圆" w:hAnsi="幼圆" w:eastAsia="幼圆" w:cs="幼圆"/>
                <w:b/>
                <w:bCs/>
                <w:kern w:val="0"/>
                <w:sz w:val="22"/>
                <w:szCs w:val="22"/>
                <w:lang w:val="en-US" w:eastAsia="zh-CN"/>
              </w:rPr>
            </w:pPr>
            <w:r>
              <w:rPr>
                <w:rFonts w:hint="eastAsia" w:ascii="幼圆" w:hAnsi="幼圆" w:eastAsia="幼圆" w:cs="幼圆"/>
                <w:b/>
                <w:bCs/>
                <w:kern w:val="0"/>
                <w:sz w:val="22"/>
                <w:szCs w:val="22"/>
                <w:lang w:val="en-US" w:eastAsia="zh-CN"/>
              </w:rPr>
              <w:t>10</w:t>
            </w:r>
          </w:p>
        </w:tc>
        <w:tc>
          <w:tcPr>
            <w:tcW w:w="572" w:type="pct"/>
            <w:tcBorders>
              <w:top w:val="nil"/>
              <w:left w:val="nil"/>
              <w:bottom w:val="single" w:color="auto" w:sz="4" w:space="0"/>
              <w:right w:val="single" w:color="auto" w:sz="4" w:space="0"/>
            </w:tcBorders>
            <w:shd w:val="clear" w:color="000000" w:fill="CCFFCC"/>
            <w:vAlign w:val="center"/>
          </w:tcPr>
          <w:p>
            <w:pPr>
              <w:widowControl/>
              <w:jc w:val="center"/>
              <w:rPr>
                <w:rFonts w:hint="eastAsia" w:ascii="幼圆" w:hAnsi="幼圆" w:eastAsia="幼圆" w:cs="幼圆"/>
                <w:b/>
                <w:bCs/>
                <w:kern w:val="0"/>
                <w:sz w:val="22"/>
                <w:szCs w:val="22"/>
                <w:lang w:val="en-US" w:eastAsia="zh-CN"/>
              </w:rPr>
            </w:pPr>
            <w:r>
              <w:rPr>
                <w:rFonts w:hint="eastAsia" w:ascii="幼圆" w:hAnsi="幼圆" w:eastAsia="幼圆" w:cs="幼圆"/>
                <w:b/>
                <w:bCs/>
                <w:kern w:val="0"/>
                <w:sz w:val="22"/>
                <w:szCs w:val="22"/>
                <w:lang w:val="en-US" w:eastAsia="zh-CN"/>
              </w:rPr>
              <w:t>座</w:t>
            </w:r>
          </w:p>
        </w:tc>
        <w:tc>
          <w:tcPr>
            <w:tcW w:w="798" w:type="pct"/>
            <w:tcBorders>
              <w:top w:val="nil"/>
              <w:left w:val="nil"/>
              <w:bottom w:val="single" w:color="auto" w:sz="4" w:space="0"/>
              <w:right w:val="single" w:color="auto" w:sz="4" w:space="0"/>
            </w:tcBorders>
            <w:shd w:val="clear" w:color="000000" w:fill="CCFFCC"/>
            <w:vAlign w:val="center"/>
          </w:tcPr>
          <w:p>
            <w:pPr>
              <w:widowControl/>
              <w:jc w:val="center"/>
              <w:rPr>
                <w:rFonts w:hint="eastAsia" w:ascii="幼圆" w:hAnsi="幼圆" w:eastAsia="幼圆" w:cs="幼圆"/>
                <w:b/>
                <w:bCs/>
                <w:kern w:val="0"/>
                <w:sz w:val="22"/>
                <w:szCs w:val="22"/>
                <w:lang w:val="en-US" w:eastAsia="zh-CN"/>
              </w:rPr>
            </w:pPr>
            <w:r>
              <w:rPr>
                <w:rFonts w:hint="eastAsia" w:ascii="幼圆" w:hAnsi="幼圆" w:eastAsia="幼圆" w:cs="幼圆"/>
                <w:b/>
                <w:bCs/>
                <w:kern w:val="0"/>
                <w:sz w:val="22"/>
                <w:szCs w:val="22"/>
                <w:lang w:val="en-US" w:eastAsia="zh-CN"/>
              </w:rPr>
              <w:t>6</w:t>
            </w:r>
          </w:p>
        </w:tc>
      </w:tr>
      <w:tr>
        <w:tblPrEx>
          <w:tblCellMar>
            <w:top w:w="0" w:type="dxa"/>
            <w:left w:w="108" w:type="dxa"/>
            <w:bottom w:w="0" w:type="dxa"/>
            <w:right w:w="108" w:type="dxa"/>
          </w:tblCellMar>
        </w:tblPrEx>
        <w:trPr>
          <w:trHeight w:val="690" w:hRule="atLeast"/>
        </w:trPr>
        <w:tc>
          <w:tcPr>
            <w:tcW w:w="504" w:type="pct"/>
            <w:tcBorders>
              <w:top w:val="nil"/>
              <w:left w:val="single" w:color="auto" w:sz="4" w:space="0"/>
              <w:bottom w:val="nil"/>
              <w:right w:val="single" w:color="auto" w:sz="4" w:space="0"/>
            </w:tcBorders>
            <w:shd w:val="clear" w:color="000000" w:fill="CCFFCC"/>
            <w:noWrap/>
            <w:vAlign w:val="center"/>
          </w:tcPr>
          <w:p>
            <w:pPr>
              <w:widowControl/>
              <w:jc w:val="center"/>
              <w:rPr>
                <w:rFonts w:hint="eastAsia" w:ascii="幼圆" w:hAnsi="幼圆" w:eastAsia="幼圆" w:cs="幼圆"/>
                <w:b/>
                <w:bCs/>
                <w:kern w:val="0"/>
                <w:sz w:val="22"/>
                <w:szCs w:val="22"/>
              </w:rPr>
            </w:pPr>
            <w:r>
              <w:rPr>
                <w:rFonts w:hint="eastAsia" w:ascii="幼圆" w:hAnsi="幼圆" w:eastAsia="幼圆" w:cs="幼圆"/>
                <w:b/>
                <w:bCs/>
                <w:kern w:val="0"/>
                <w:sz w:val="22"/>
                <w:szCs w:val="22"/>
              </w:rPr>
              <w:t>2</w:t>
            </w:r>
          </w:p>
        </w:tc>
        <w:tc>
          <w:tcPr>
            <w:tcW w:w="1596" w:type="pct"/>
            <w:tcBorders>
              <w:top w:val="nil"/>
              <w:left w:val="nil"/>
              <w:bottom w:val="nil"/>
              <w:right w:val="single" w:color="auto" w:sz="4" w:space="0"/>
            </w:tcBorders>
            <w:shd w:val="clear" w:color="000000" w:fill="CCFFCC"/>
            <w:vAlign w:val="center"/>
          </w:tcPr>
          <w:p>
            <w:pPr>
              <w:widowControl/>
              <w:jc w:val="center"/>
              <w:rPr>
                <w:rFonts w:hint="eastAsia" w:ascii="幼圆" w:hAnsi="幼圆" w:eastAsia="幼圆" w:cs="幼圆"/>
                <w:b/>
                <w:bCs/>
                <w:kern w:val="0"/>
                <w:sz w:val="22"/>
                <w:szCs w:val="22"/>
              </w:rPr>
            </w:pPr>
            <w:r>
              <w:rPr>
                <w:rFonts w:hint="eastAsia" w:ascii="幼圆" w:hAnsi="幼圆" w:eastAsia="幼圆" w:cs="幼圆"/>
                <w:b/>
                <w:bCs/>
                <w:kern w:val="0"/>
                <w:sz w:val="22"/>
                <w:szCs w:val="22"/>
                <w:lang w:val="en-US" w:eastAsia="zh-CN"/>
              </w:rPr>
              <w:t>管道清洗</w:t>
            </w:r>
          </w:p>
        </w:tc>
        <w:tc>
          <w:tcPr>
            <w:tcW w:w="1051" w:type="pct"/>
            <w:tcBorders>
              <w:top w:val="nil"/>
              <w:left w:val="nil"/>
              <w:bottom w:val="nil"/>
              <w:right w:val="single" w:color="auto" w:sz="4" w:space="0"/>
            </w:tcBorders>
            <w:shd w:val="clear" w:color="000000" w:fill="CCFFCC"/>
            <w:vAlign w:val="center"/>
          </w:tcPr>
          <w:p>
            <w:pPr>
              <w:widowControl/>
              <w:jc w:val="center"/>
              <w:rPr>
                <w:rFonts w:hint="eastAsia" w:ascii="幼圆" w:hAnsi="幼圆" w:eastAsia="幼圆" w:cs="幼圆"/>
                <w:b/>
                <w:bCs/>
                <w:kern w:val="0"/>
                <w:sz w:val="22"/>
                <w:szCs w:val="22"/>
              </w:rPr>
            </w:pPr>
            <w:r>
              <w:rPr>
                <w:rFonts w:hint="eastAsia" w:ascii="幼圆" w:hAnsi="幼圆" w:eastAsia="幼圆" w:cs="幼圆"/>
                <w:b/>
                <w:bCs/>
                <w:kern w:val="0"/>
                <w:sz w:val="22"/>
                <w:szCs w:val="22"/>
                <w:lang w:val="en-US" w:eastAsia="zh-CN"/>
              </w:rPr>
              <w:t>/</w:t>
            </w:r>
          </w:p>
        </w:tc>
        <w:tc>
          <w:tcPr>
            <w:tcW w:w="476" w:type="pct"/>
            <w:tcBorders>
              <w:top w:val="nil"/>
              <w:left w:val="nil"/>
              <w:bottom w:val="nil"/>
              <w:right w:val="single" w:color="auto" w:sz="4" w:space="0"/>
            </w:tcBorders>
            <w:shd w:val="clear" w:color="000000" w:fill="CCFFCC"/>
            <w:vAlign w:val="center"/>
          </w:tcPr>
          <w:p>
            <w:pPr>
              <w:widowControl/>
              <w:jc w:val="center"/>
              <w:rPr>
                <w:rFonts w:hint="eastAsia" w:ascii="幼圆" w:hAnsi="幼圆" w:eastAsia="幼圆" w:cs="幼圆"/>
                <w:b/>
                <w:bCs/>
                <w:kern w:val="0"/>
                <w:sz w:val="22"/>
                <w:szCs w:val="22"/>
                <w:lang w:eastAsia="zh-CN"/>
              </w:rPr>
            </w:pPr>
            <w:r>
              <w:rPr>
                <w:rFonts w:hint="eastAsia" w:ascii="幼圆" w:hAnsi="幼圆" w:eastAsia="幼圆" w:cs="幼圆"/>
                <w:b/>
                <w:bCs/>
                <w:kern w:val="0"/>
                <w:sz w:val="22"/>
                <w:szCs w:val="22"/>
                <w:lang w:val="en-US" w:eastAsia="zh-CN"/>
              </w:rPr>
              <w:t>1</w:t>
            </w:r>
          </w:p>
        </w:tc>
        <w:tc>
          <w:tcPr>
            <w:tcW w:w="572" w:type="pct"/>
            <w:tcBorders>
              <w:top w:val="nil"/>
              <w:left w:val="nil"/>
              <w:bottom w:val="nil"/>
              <w:right w:val="single" w:color="auto" w:sz="4" w:space="0"/>
            </w:tcBorders>
            <w:shd w:val="clear" w:color="000000" w:fill="CCFFCC"/>
            <w:vAlign w:val="center"/>
          </w:tcPr>
          <w:p>
            <w:pPr>
              <w:widowControl/>
              <w:jc w:val="center"/>
              <w:rPr>
                <w:rFonts w:hint="eastAsia" w:ascii="幼圆" w:hAnsi="幼圆" w:eastAsia="幼圆" w:cs="幼圆"/>
                <w:b/>
                <w:bCs/>
                <w:kern w:val="0"/>
                <w:sz w:val="22"/>
                <w:szCs w:val="22"/>
                <w:lang w:val="en-US" w:eastAsia="zh-CN"/>
              </w:rPr>
            </w:pPr>
            <w:r>
              <w:rPr>
                <w:rFonts w:hint="eastAsia" w:ascii="幼圆" w:hAnsi="幼圆" w:eastAsia="幼圆" w:cs="幼圆"/>
                <w:b/>
                <w:bCs/>
                <w:kern w:val="0"/>
                <w:sz w:val="22"/>
                <w:szCs w:val="22"/>
                <w:lang w:val="en-US" w:eastAsia="zh-CN"/>
              </w:rPr>
              <w:t>项</w:t>
            </w:r>
          </w:p>
        </w:tc>
        <w:tc>
          <w:tcPr>
            <w:tcW w:w="798" w:type="pct"/>
            <w:tcBorders>
              <w:top w:val="nil"/>
              <w:left w:val="nil"/>
              <w:bottom w:val="nil"/>
              <w:right w:val="single" w:color="auto" w:sz="4" w:space="0"/>
            </w:tcBorders>
            <w:shd w:val="clear" w:color="000000" w:fill="CCFFCC"/>
            <w:vAlign w:val="center"/>
          </w:tcPr>
          <w:p>
            <w:pPr>
              <w:widowControl/>
              <w:jc w:val="center"/>
              <w:rPr>
                <w:rFonts w:hint="eastAsia" w:ascii="幼圆" w:hAnsi="幼圆" w:eastAsia="幼圆" w:cs="幼圆"/>
                <w:b/>
                <w:bCs/>
                <w:kern w:val="0"/>
                <w:sz w:val="22"/>
                <w:szCs w:val="22"/>
                <w:lang w:val="en-US" w:eastAsia="zh-CN"/>
              </w:rPr>
            </w:pPr>
            <w:r>
              <w:rPr>
                <w:rFonts w:hint="eastAsia" w:ascii="幼圆" w:hAnsi="幼圆" w:eastAsia="幼圆" w:cs="幼圆"/>
                <w:b/>
                <w:bCs/>
                <w:kern w:val="0"/>
                <w:sz w:val="22"/>
                <w:szCs w:val="22"/>
                <w:lang w:val="en-US" w:eastAsia="zh-CN"/>
              </w:rPr>
              <w:t>2</w:t>
            </w:r>
          </w:p>
        </w:tc>
      </w:tr>
      <w:tr>
        <w:tblPrEx>
          <w:tblCellMar>
            <w:top w:w="0" w:type="dxa"/>
            <w:left w:w="108" w:type="dxa"/>
            <w:bottom w:w="0" w:type="dxa"/>
            <w:right w:w="108" w:type="dxa"/>
          </w:tblCellMar>
        </w:tblPrEx>
        <w:trPr>
          <w:trHeight w:val="690" w:hRule="atLeast"/>
        </w:trPr>
        <w:tc>
          <w:tcPr>
            <w:tcW w:w="504" w:type="pct"/>
            <w:tcBorders>
              <w:top w:val="nil"/>
              <w:left w:val="single" w:color="auto" w:sz="4" w:space="0"/>
              <w:bottom w:val="single" w:color="auto" w:sz="4" w:space="0"/>
              <w:right w:val="single" w:color="auto" w:sz="4" w:space="0"/>
            </w:tcBorders>
            <w:shd w:val="clear" w:color="000000" w:fill="CCFFCC"/>
            <w:noWrap/>
            <w:vAlign w:val="center"/>
          </w:tcPr>
          <w:p>
            <w:pPr>
              <w:widowControl/>
              <w:jc w:val="center"/>
              <w:rPr>
                <w:rFonts w:hint="eastAsia" w:ascii="幼圆" w:hAnsi="幼圆" w:eastAsia="幼圆" w:cs="幼圆"/>
                <w:b/>
                <w:bCs/>
                <w:kern w:val="0"/>
                <w:sz w:val="22"/>
                <w:szCs w:val="22"/>
                <w:lang w:val="en-US" w:eastAsia="zh-CN"/>
              </w:rPr>
            </w:pPr>
            <w:r>
              <w:rPr>
                <w:rFonts w:hint="eastAsia" w:ascii="幼圆" w:hAnsi="幼圆" w:eastAsia="幼圆" w:cs="幼圆"/>
                <w:b/>
                <w:bCs/>
                <w:kern w:val="0"/>
                <w:sz w:val="22"/>
                <w:szCs w:val="22"/>
                <w:lang w:val="en-US" w:eastAsia="zh-CN"/>
              </w:rPr>
              <w:t>3</w:t>
            </w:r>
          </w:p>
        </w:tc>
        <w:tc>
          <w:tcPr>
            <w:tcW w:w="1596" w:type="pct"/>
            <w:tcBorders>
              <w:top w:val="nil"/>
              <w:left w:val="nil"/>
              <w:bottom w:val="single" w:color="auto" w:sz="4" w:space="0"/>
              <w:right w:val="single" w:color="auto" w:sz="4" w:space="0"/>
            </w:tcBorders>
            <w:shd w:val="clear" w:color="000000" w:fill="CCFFCC"/>
            <w:vAlign w:val="center"/>
          </w:tcPr>
          <w:p>
            <w:pPr>
              <w:widowControl/>
              <w:jc w:val="center"/>
              <w:rPr>
                <w:rFonts w:hint="eastAsia" w:ascii="幼圆" w:hAnsi="幼圆" w:eastAsia="幼圆" w:cs="幼圆"/>
                <w:b/>
                <w:bCs/>
                <w:kern w:val="0"/>
                <w:sz w:val="22"/>
                <w:szCs w:val="22"/>
                <w:lang w:val="en-US" w:eastAsia="zh-CN"/>
              </w:rPr>
            </w:pPr>
            <w:r>
              <w:rPr>
                <w:rFonts w:hint="eastAsia" w:ascii="幼圆" w:hAnsi="幼圆" w:eastAsia="幼圆" w:cs="幼圆"/>
                <w:b/>
                <w:bCs/>
                <w:kern w:val="0"/>
                <w:sz w:val="22"/>
                <w:szCs w:val="22"/>
                <w:lang w:val="en-US" w:eastAsia="zh-CN"/>
              </w:rPr>
              <w:t>污水站污泥池清掏</w:t>
            </w:r>
          </w:p>
        </w:tc>
        <w:tc>
          <w:tcPr>
            <w:tcW w:w="1051" w:type="pct"/>
            <w:tcBorders>
              <w:top w:val="nil"/>
              <w:left w:val="nil"/>
              <w:bottom w:val="single" w:color="auto" w:sz="4" w:space="0"/>
              <w:right w:val="single" w:color="auto" w:sz="4" w:space="0"/>
            </w:tcBorders>
            <w:shd w:val="clear" w:color="000000" w:fill="CCFFCC"/>
            <w:vAlign w:val="center"/>
          </w:tcPr>
          <w:p>
            <w:pPr>
              <w:widowControl/>
              <w:jc w:val="center"/>
              <w:rPr>
                <w:rFonts w:hint="eastAsia" w:ascii="幼圆" w:hAnsi="幼圆" w:eastAsia="幼圆" w:cs="幼圆"/>
                <w:b/>
                <w:bCs/>
                <w:kern w:val="0"/>
                <w:sz w:val="22"/>
                <w:szCs w:val="22"/>
                <w:lang w:val="en-US" w:eastAsia="zh-CN"/>
              </w:rPr>
            </w:pPr>
            <w:r>
              <w:rPr>
                <w:rFonts w:hint="eastAsia" w:ascii="幼圆" w:hAnsi="幼圆" w:eastAsia="幼圆" w:cs="幼圆"/>
                <w:b/>
                <w:bCs/>
                <w:kern w:val="0"/>
                <w:sz w:val="22"/>
                <w:szCs w:val="22"/>
                <w:lang w:val="en-US" w:eastAsia="zh-CN"/>
              </w:rPr>
              <w:t>100</w:t>
            </w:r>
          </w:p>
        </w:tc>
        <w:tc>
          <w:tcPr>
            <w:tcW w:w="476" w:type="pct"/>
            <w:tcBorders>
              <w:top w:val="nil"/>
              <w:left w:val="nil"/>
              <w:bottom w:val="single" w:color="auto" w:sz="4" w:space="0"/>
              <w:right w:val="single" w:color="auto" w:sz="4" w:space="0"/>
            </w:tcBorders>
            <w:shd w:val="clear" w:color="000000" w:fill="CCFFCC"/>
            <w:vAlign w:val="center"/>
          </w:tcPr>
          <w:p>
            <w:pPr>
              <w:widowControl/>
              <w:jc w:val="center"/>
              <w:rPr>
                <w:rFonts w:hint="eastAsia" w:ascii="幼圆" w:hAnsi="幼圆" w:eastAsia="幼圆" w:cs="幼圆"/>
                <w:b/>
                <w:bCs/>
                <w:kern w:val="0"/>
                <w:sz w:val="22"/>
                <w:szCs w:val="22"/>
                <w:lang w:val="en-US" w:eastAsia="zh-CN"/>
              </w:rPr>
            </w:pPr>
            <w:r>
              <w:rPr>
                <w:rFonts w:hint="eastAsia" w:ascii="幼圆" w:hAnsi="幼圆" w:eastAsia="幼圆" w:cs="幼圆"/>
                <w:b/>
                <w:bCs/>
                <w:kern w:val="0"/>
                <w:sz w:val="22"/>
                <w:szCs w:val="22"/>
                <w:lang w:val="en-US" w:eastAsia="zh-CN"/>
              </w:rPr>
              <w:t>2</w:t>
            </w:r>
          </w:p>
        </w:tc>
        <w:tc>
          <w:tcPr>
            <w:tcW w:w="572" w:type="pct"/>
            <w:tcBorders>
              <w:top w:val="nil"/>
              <w:left w:val="nil"/>
              <w:bottom w:val="single" w:color="auto" w:sz="4" w:space="0"/>
              <w:right w:val="single" w:color="auto" w:sz="4" w:space="0"/>
            </w:tcBorders>
            <w:shd w:val="clear" w:color="000000" w:fill="CCFFCC"/>
            <w:vAlign w:val="center"/>
          </w:tcPr>
          <w:p>
            <w:pPr>
              <w:widowControl/>
              <w:jc w:val="center"/>
              <w:rPr>
                <w:rFonts w:hint="eastAsia" w:ascii="幼圆" w:hAnsi="幼圆" w:eastAsia="幼圆" w:cs="幼圆"/>
                <w:b/>
                <w:bCs/>
                <w:kern w:val="0"/>
                <w:sz w:val="22"/>
                <w:szCs w:val="22"/>
                <w:lang w:val="en-US" w:eastAsia="zh-CN"/>
              </w:rPr>
            </w:pPr>
            <w:r>
              <w:rPr>
                <w:rFonts w:hint="eastAsia" w:ascii="幼圆" w:hAnsi="幼圆" w:eastAsia="幼圆" w:cs="幼圆"/>
                <w:b/>
                <w:bCs/>
                <w:kern w:val="0"/>
                <w:sz w:val="22"/>
                <w:szCs w:val="22"/>
                <w:lang w:val="en-US" w:eastAsia="zh-CN"/>
              </w:rPr>
              <w:t>座</w:t>
            </w:r>
          </w:p>
        </w:tc>
        <w:tc>
          <w:tcPr>
            <w:tcW w:w="798" w:type="pct"/>
            <w:tcBorders>
              <w:top w:val="nil"/>
              <w:left w:val="nil"/>
              <w:bottom w:val="single" w:color="auto" w:sz="4" w:space="0"/>
              <w:right w:val="single" w:color="auto" w:sz="4" w:space="0"/>
            </w:tcBorders>
            <w:shd w:val="clear" w:color="000000" w:fill="CCFFCC"/>
            <w:vAlign w:val="center"/>
          </w:tcPr>
          <w:p>
            <w:pPr>
              <w:widowControl/>
              <w:jc w:val="center"/>
              <w:rPr>
                <w:rFonts w:hint="eastAsia" w:ascii="幼圆" w:hAnsi="幼圆" w:eastAsia="幼圆" w:cs="幼圆"/>
                <w:b/>
                <w:bCs/>
                <w:kern w:val="0"/>
                <w:sz w:val="22"/>
                <w:szCs w:val="22"/>
                <w:lang w:val="en-US" w:eastAsia="zh-CN"/>
              </w:rPr>
            </w:pPr>
            <w:r>
              <w:rPr>
                <w:rFonts w:hint="eastAsia" w:ascii="幼圆" w:hAnsi="幼圆" w:eastAsia="幼圆" w:cs="幼圆"/>
                <w:b/>
                <w:bCs/>
                <w:kern w:val="0"/>
                <w:sz w:val="22"/>
                <w:szCs w:val="22"/>
                <w:lang w:val="en-US" w:eastAsia="zh-CN"/>
              </w:rPr>
              <w:t>4</w:t>
            </w:r>
          </w:p>
        </w:tc>
      </w:tr>
    </w:tbl>
    <w:p>
      <w:pPr>
        <w:pStyle w:val="2"/>
        <w:numPr>
          <w:ilvl w:val="0"/>
          <w:numId w:val="0"/>
        </w:numPr>
        <w:rPr>
          <w:rFonts w:hint="eastAsia" w:ascii="幼圆" w:hAnsi="幼圆" w:eastAsia="幼圆" w:cs="幼圆"/>
          <w:lang w:val="en-US" w:eastAsia="zh-CN"/>
        </w:rPr>
      </w:pPr>
    </w:p>
    <w:p>
      <w:pPr>
        <w:keepNext w:val="0"/>
        <w:keepLines w:val="0"/>
        <w:pageBreakBefore w:val="0"/>
        <w:widowControl/>
        <w:numPr>
          <w:ilvl w:val="0"/>
          <w:numId w:val="0"/>
        </w:numPr>
        <w:kinsoku w:val="0"/>
        <w:wordWrap/>
        <w:overflowPunct w:val="0"/>
        <w:topLinePunct w:val="0"/>
        <w:autoSpaceDE w:val="0"/>
        <w:autoSpaceDN w:val="0"/>
        <w:bidi w:val="0"/>
        <w:adjustRightInd w:val="0"/>
        <w:spacing w:after="0" w:line="24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十、评标方法和评审标准</w:t>
      </w:r>
      <w:bookmarkEnd w:id="0"/>
    </w:p>
    <w:p>
      <w:pPr>
        <w:keepNext w:val="0"/>
        <w:keepLines w:val="0"/>
        <w:pageBreakBefore w:val="0"/>
        <w:widowControl/>
        <w:numPr>
          <w:ilvl w:val="0"/>
          <w:numId w:val="0"/>
        </w:numPr>
        <w:wordWrap/>
        <w:topLinePunct w:val="0"/>
        <w:bidi w:val="0"/>
        <w:spacing w:after="0" w:line="240" w:lineRule="auto"/>
        <w:ind w:leftChars="0"/>
        <w:jc w:val="both"/>
        <w:rPr>
          <w:rFonts w:hint="eastAsia" w:ascii="幼圆" w:hAnsi="幼圆" w:eastAsia="幼圆" w:cs="幼圆"/>
          <w:b/>
          <w:bCs/>
          <w:sz w:val="24"/>
          <w:szCs w:val="20"/>
          <w:lang w:val="en-US" w:eastAsia="zh-CN"/>
        </w:rPr>
      </w:pPr>
      <w:r>
        <w:rPr>
          <w:rFonts w:hint="eastAsia" w:ascii="幼圆" w:hAnsi="幼圆" w:eastAsia="幼圆" w:cs="幼圆"/>
          <w:b/>
          <w:bCs/>
          <w:sz w:val="24"/>
          <w:szCs w:val="20"/>
          <w:lang w:val="en-US" w:eastAsia="zh-CN"/>
        </w:rPr>
        <w:t>1.评标方法</w:t>
      </w:r>
    </w:p>
    <w:p>
      <w:pPr>
        <w:pStyle w:val="22"/>
        <w:spacing w:line="240" w:lineRule="auto"/>
        <w:ind w:firstLine="440" w:firstLineChars="200"/>
        <w:rPr>
          <w:rFonts w:hint="eastAsia" w:ascii="幼圆" w:hAnsi="幼圆" w:eastAsia="幼圆" w:cs="幼圆"/>
          <w:lang w:val="en-US" w:eastAsia="zh-CN"/>
        </w:rPr>
      </w:pPr>
      <w:r>
        <w:rPr>
          <w:rFonts w:hint="eastAsia" w:ascii="幼圆" w:hAnsi="幼圆" w:eastAsia="幼圆" w:cs="幼圆"/>
          <w:lang w:val="en-US" w:eastAsia="zh-CN"/>
        </w:rPr>
        <w:t>本次评标采用</w:t>
      </w:r>
      <w:r>
        <w:rPr>
          <w:rFonts w:hint="eastAsia" w:ascii="幼圆" w:hAnsi="幼圆" w:eastAsia="幼圆" w:cs="幼圆"/>
          <w:b/>
          <w:bCs/>
          <w:lang w:val="en-US" w:eastAsia="zh-CN"/>
        </w:rPr>
        <w:t>综合评分法</w:t>
      </w:r>
      <w:r>
        <w:rPr>
          <w:rFonts w:hint="eastAsia" w:ascii="幼圆" w:hAnsi="幼圆" w:eastAsia="幼圆" w:cs="幼圆"/>
          <w:lang w:val="en-US" w:eastAsia="zh-CN"/>
        </w:rPr>
        <w:t>，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keepNext w:val="0"/>
        <w:keepLines w:val="0"/>
        <w:pageBreakBefore w:val="0"/>
        <w:widowControl/>
        <w:numPr>
          <w:ilvl w:val="0"/>
          <w:numId w:val="0"/>
        </w:numPr>
        <w:wordWrap/>
        <w:topLinePunct w:val="0"/>
        <w:bidi w:val="0"/>
        <w:spacing w:after="0" w:line="240" w:lineRule="auto"/>
        <w:ind w:leftChars="0" w:firstLine="482" w:firstLineChars="200"/>
        <w:jc w:val="both"/>
        <w:rPr>
          <w:rFonts w:hint="eastAsia" w:ascii="幼圆" w:hAnsi="幼圆" w:eastAsia="幼圆" w:cs="幼圆"/>
          <w:b/>
          <w:bCs/>
          <w:color w:val="FF0000"/>
          <w:sz w:val="24"/>
          <w:szCs w:val="20"/>
        </w:rPr>
      </w:pPr>
      <w:r>
        <w:rPr>
          <w:rFonts w:hint="eastAsia" w:ascii="幼圆" w:hAnsi="幼圆" w:eastAsia="幼圆" w:cs="幼圆"/>
          <w:b/>
          <w:bCs/>
          <w:color w:val="FF0000"/>
          <w:sz w:val="24"/>
          <w:szCs w:val="20"/>
        </w:rPr>
        <w:t>投标最低报价不作为中标的唯一理由</w:t>
      </w:r>
    </w:p>
    <w:p>
      <w:pPr>
        <w:keepNext w:val="0"/>
        <w:keepLines w:val="0"/>
        <w:pageBreakBefore w:val="0"/>
        <w:widowControl/>
        <w:numPr>
          <w:ilvl w:val="0"/>
          <w:numId w:val="0"/>
        </w:numPr>
        <w:wordWrap/>
        <w:topLinePunct w:val="0"/>
        <w:bidi w:val="0"/>
        <w:spacing w:after="0" w:line="240" w:lineRule="auto"/>
        <w:ind w:leftChars="0"/>
        <w:jc w:val="both"/>
        <w:rPr>
          <w:rFonts w:hint="eastAsia" w:ascii="幼圆" w:hAnsi="幼圆" w:eastAsia="幼圆" w:cs="幼圆"/>
          <w:b/>
          <w:bCs/>
          <w:sz w:val="24"/>
          <w:szCs w:val="20"/>
          <w:lang w:val="en-US" w:eastAsia="zh-CN"/>
        </w:rPr>
      </w:pPr>
      <w:r>
        <w:rPr>
          <w:rFonts w:hint="eastAsia" w:ascii="幼圆" w:hAnsi="幼圆" w:eastAsia="幼圆" w:cs="幼圆"/>
          <w:b/>
          <w:bCs/>
          <w:sz w:val="24"/>
          <w:szCs w:val="20"/>
          <w:lang w:val="en-US" w:eastAsia="zh-CN"/>
        </w:rPr>
        <w:t>2</w:t>
      </w:r>
      <w:r>
        <w:rPr>
          <w:rFonts w:hint="eastAsia" w:ascii="幼圆" w:hAnsi="幼圆" w:eastAsia="幼圆" w:cs="幼圆"/>
          <w:b/>
          <w:bCs/>
          <w:sz w:val="24"/>
          <w:szCs w:val="20"/>
        </w:rPr>
        <w:t>.</w:t>
      </w:r>
      <w:r>
        <w:rPr>
          <w:rFonts w:hint="eastAsia" w:ascii="幼圆" w:hAnsi="幼圆" w:eastAsia="幼圆" w:cs="幼圆"/>
          <w:b/>
          <w:bCs/>
          <w:sz w:val="24"/>
          <w:szCs w:val="20"/>
          <w:lang w:val="en-US" w:eastAsia="zh-CN"/>
        </w:rPr>
        <w:t>评分标准</w:t>
      </w:r>
    </w:p>
    <w:tbl>
      <w:tblPr>
        <w:tblStyle w:val="35"/>
        <w:tblW w:w="940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12"/>
        <w:gridCol w:w="776"/>
        <w:gridCol w:w="1665"/>
        <w:gridCol w:w="574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Align w:val="center"/>
          </w:tcPr>
          <w:p>
            <w:pPr>
              <w:widowControl/>
              <w:spacing w:line="240" w:lineRule="auto"/>
              <w:jc w:val="center"/>
              <w:rPr>
                <w:rFonts w:hint="eastAsia" w:ascii="幼圆" w:hAnsi="幼圆" w:eastAsia="幼圆" w:cs="幼圆"/>
                <w:b/>
                <w:bCs/>
                <w:highlight w:val="none"/>
              </w:rPr>
            </w:pPr>
            <w:bookmarkStart w:id="1" w:name="_Hlk536608376"/>
            <w:r>
              <w:rPr>
                <w:rFonts w:hint="eastAsia" w:ascii="幼圆" w:hAnsi="幼圆" w:eastAsia="幼圆" w:cs="幼圆"/>
                <w:b/>
                <w:bCs/>
                <w:highlight w:val="none"/>
              </w:rPr>
              <w:t>内容</w:t>
            </w:r>
          </w:p>
        </w:tc>
        <w:tc>
          <w:tcPr>
            <w:tcW w:w="776" w:type="dxa"/>
            <w:vAlign w:val="center"/>
          </w:tcPr>
          <w:p>
            <w:pPr>
              <w:widowControl/>
              <w:spacing w:line="240" w:lineRule="auto"/>
              <w:jc w:val="center"/>
              <w:rPr>
                <w:rFonts w:hint="eastAsia" w:ascii="幼圆" w:hAnsi="幼圆" w:eastAsia="幼圆" w:cs="幼圆"/>
                <w:b/>
                <w:bCs/>
                <w:highlight w:val="none"/>
              </w:rPr>
            </w:pPr>
            <w:r>
              <w:rPr>
                <w:rFonts w:hint="eastAsia" w:ascii="幼圆" w:hAnsi="幼圆" w:eastAsia="幼圆" w:cs="幼圆"/>
                <w:b/>
                <w:bCs/>
                <w:highlight w:val="none"/>
              </w:rPr>
              <w:t>分值</w:t>
            </w:r>
          </w:p>
        </w:tc>
        <w:tc>
          <w:tcPr>
            <w:tcW w:w="1665" w:type="dxa"/>
            <w:vAlign w:val="center"/>
          </w:tcPr>
          <w:p>
            <w:pPr>
              <w:widowControl/>
              <w:spacing w:line="240" w:lineRule="auto"/>
              <w:jc w:val="center"/>
              <w:rPr>
                <w:rFonts w:hint="eastAsia" w:ascii="幼圆" w:hAnsi="幼圆" w:eastAsia="幼圆" w:cs="幼圆"/>
                <w:b/>
                <w:bCs/>
                <w:highlight w:val="none"/>
              </w:rPr>
            </w:pPr>
            <w:r>
              <w:rPr>
                <w:rFonts w:hint="eastAsia" w:ascii="幼圆" w:hAnsi="幼圆" w:eastAsia="幼圆" w:cs="幼圆"/>
                <w:b/>
                <w:bCs/>
                <w:highlight w:val="none"/>
              </w:rPr>
              <w:t>评分因素分项</w:t>
            </w:r>
          </w:p>
        </w:tc>
        <w:tc>
          <w:tcPr>
            <w:tcW w:w="5749" w:type="dxa"/>
            <w:vAlign w:val="center"/>
          </w:tcPr>
          <w:p>
            <w:pPr>
              <w:widowControl/>
              <w:spacing w:line="240" w:lineRule="auto"/>
              <w:jc w:val="center"/>
              <w:rPr>
                <w:rFonts w:hint="eastAsia" w:ascii="幼圆" w:hAnsi="幼圆" w:eastAsia="幼圆" w:cs="幼圆"/>
                <w:b/>
                <w:bCs/>
                <w:highlight w:val="none"/>
              </w:rPr>
            </w:pPr>
            <w:r>
              <w:rPr>
                <w:rFonts w:hint="eastAsia" w:ascii="幼圆" w:hAnsi="幼圆" w:eastAsia="幼圆" w:cs="幼圆"/>
                <w:b/>
                <w:bCs/>
                <w:highlight w:val="none"/>
              </w:rPr>
              <w:t>评分标准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价格部分</w:t>
            </w:r>
          </w:p>
        </w:tc>
        <w:tc>
          <w:tcPr>
            <w:tcW w:w="776" w:type="dxa"/>
            <w:vAlign w:val="center"/>
          </w:tcPr>
          <w:p>
            <w:pPr>
              <w:widowControl/>
              <w:spacing w:line="240" w:lineRule="auto"/>
              <w:jc w:val="center"/>
              <w:rPr>
                <w:rFonts w:hint="eastAsia" w:ascii="幼圆" w:hAnsi="幼圆" w:eastAsia="幼圆" w:cs="幼圆"/>
                <w:highlight w:val="none"/>
                <w:lang w:eastAsia="zh-CN"/>
              </w:rPr>
            </w:pPr>
            <w:r>
              <w:rPr>
                <w:rFonts w:hint="eastAsia" w:ascii="幼圆" w:hAnsi="幼圆" w:eastAsia="幼圆" w:cs="幼圆"/>
                <w:highlight w:val="none"/>
                <w:lang w:val="en-US" w:eastAsia="zh-CN"/>
              </w:rPr>
              <w:t>20</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评标价格</w:t>
            </w:r>
          </w:p>
        </w:tc>
        <w:tc>
          <w:tcPr>
            <w:tcW w:w="5749" w:type="dxa"/>
            <w:vAlign w:val="center"/>
          </w:tcPr>
          <w:p>
            <w:pPr>
              <w:pStyle w:val="22"/>
              <w:keepNext w:val="0"/>
              <w:keepLines w:val="0"/>
              <w:pageBreakBefore w:val="0"/>
              <w:tabs>
                <w:tab w:val="left" w:pos="567"/>
              </w:tabs>
              <w:kinsoku/>
              <w:wordWrap/>
              <w:overflowPunct/>
              <w:topLinePunct w:val="0"/>
              <w:autoSpaceDE/>
              <w:autoSpaceDN/>
              <w:bidi w:val="0"/>
              <w:snapToGrid/>
              <w:spacing w:before="0" w:line="240" w:lineRule="auto"/>
              <w:rPr>
                <w:rFonts w:hint="eastAsia" w:ascii="幼圆" w:hAnsi="幼圆" w:eastAsia="幼圆" w:cs="幼圆"/>
                <w:highlight w:val="none"/>
                <w:lang w:eastAsia="zh-CN"/>
              </w:rPr>
            </w:pPr>
            <w:r>
              <w:rPr>
                <w:rFonts w:hint="eastAsia" w:ascii="幼圆" w:hAnsi="幼圆" w:eastAsia="幼圆" w:cs="幼圆"/>
                <w:highlight w:val="none"/>
                <w:lang w:eastAsia="zh-CN"/>
              </w:rPr>
              <w:t>满足招标文件要求且投标价格最低的投标报价为评标基准价，其价格分为满分。其他投标人的价格分统一按照下列公式计算：</w:t>
            </w:r>
          </w:p>
          <w:p>
            <w:pPr>
              <w:pStyle w:val="22"/>
              <w:keepNext w:val="0"/>
              <w:keepLines w:val="0"/>
              <w:pageBreakBefore w:val="0"/>
              <w:tabs>
                <w:tab w:val="left" w:pos="567"/>
              </w:tabs>
              <w:kinsoku/>
              <w:wordWrap/>
              <w:overflowPunct/>
              <w:topLinePunct w:val="0"/>
              <w:autoSpaceDE/>
              <w:autoSpaceDN/>
              <w:bidi w:val="0"/>
              <w:snapToGrid/>
              <w:spacing w:before="0" w:line="240" w:lineRule="auto"/>
              <w:rPr>
                <w:rFonts w:hint="eastAsia" w:ascii="幼圆" w:hAnsi="幼圆" w:eastAsia="幼圆" w:cs="幼圆"/>
                <w:highlight w:val="none"/>
              </w:rPr>
            </w:pPr>
            <w:r>
              <w:rPr>
                <w:rFonts w:hint="eastAsia" w:ascii="幼圆" w:hAnsi="幼圆" w:eastAsia="幼圆" w:cs="幼圆"/>
                <w:highlight w:val="none"/>
                <w:lang w:eastAsia="zh-CN"/>
              </w:rPr>
              <w:t>投标报价得分=(评标基准价／投标报价)×</w:t>
            </w:r>
            <w:r>
              <w:rPr>
                <w:rFonts w:hint="eastAsia" w:ascii="幼圆" w:hAnsi="幼圆" w:eastAsia="幼圆" w:cs="幼圆"/>
                <w:highlight w:val="none"/>
                <w:lang w:val="en-US" w:eastAsia="zh-CN"/>
              </w:rPr>
              <w:t>20</w:t>
            </w:r>
            <w:r>
              <w:rPr>
                <w:rFonts w:hint="eastAsia" w:ascii="幼圆" w:hAnsi="幼圆" w:eastAsia="幼圆" w:cs="幼圆"/>
                <w:highlight w:val="none"/>
                <w:lang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3" w:hRule="atLeast"/>
          <w:jc w:val="center"/>
        </w:trPr>
        <w:tc>
          <w:tcPr>
            <w:tcW w:w="1212"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商务部分</w:t>
            </w: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10</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类似业绩</w:t>
            </w:r>
          </w:p>
        </w:tc>
        <w:tc>
          <w:tcPr>
            <w:tcW w:w="5749" w:type="dxa"/>
            <w:vAlign w:val="center"/>
          </w:tcPr>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自202</w:t>
            </w:r>
            <w:r>
              <w:rPr>
                <w:rFonts w:hint="eastAsia" w:ascii="幼圆" w:hAnsi="幼圆" w:eastAsia="幼圆" w:cs="幼圆"/>
                <w:highlight w:val="none"/>
                <w:lang w:val="en-US" w:eastAsia="zh-CN"/>
              </w:rPr>
              <w:t>3</w:t>
            </w:r>
            <w:r>
              <w:rPr>
                <w:rFonts w:hint="eastAsia" w:ascii="幼圆" w:hAnsi="幼圆" w:eastAsia="幼圆" w:cs="幼圆"/>
                <w:highlight w:val="none"/>
                <w:lang w:eastAsia="zh-CN"/>
              </w:rPr>
              <w:t>年</w:t>
            </w:r>
            <w:r>
              <w:rPr>
                <w:rFonts w:hint="eastAsia" w:ascii="幼圆" w:hAnsi="幼圆" w:eastAsia="幼圆" w:cs="幼圆"/>
                <w:highlight w:val="none"/>
                <w:lang w:val="en-US" w:eastAsia="zh-CN"/>
              </w:rPr>
              <w:t>2</w:t>
            </w:r>
            <w:r>
              <w:rPr>
                <w:rFonts w:hint="eastAsia" w:ascii="幼圆" w:hAnsi="幼圆" w:eastAsia="幼圆" w:cs="幼圆"/>
                <w:highlight w:val="none"/>
                <w:lang w:eastAsia="zh-CN"/>
              </w:rPr>
              <w:t>月1日至今（按合同签订时间计算），投标人每提供一个</w:t>
            </w:r>
            <w:r>
              <w:rPr>
                <w:rFonts w:hint="eastAsia" w:ascii="幼圆" w:hAnsi="幼圆" w:eastAsia="幼圆" w:cs="幼圆"/>
                <w:highlight w:val="none"/>
                <w:lang w:val="en-US" w:eastAsia="zh-CN"/>
              </w:rPr>
              <w:t>同类</w:t>
            </w:r>
            <w:r>
              <w:rPr>
                <w:rFonts w:hint="eastAsia" w:ascii="幼圆" w:hAnsi="幼圆" w:eastAsia="幼圆" w:cs="幼圆"/>
                <w:highlight w:val="none"/>
                <w:lang w:eastAsia="zh-CN"/>
              </w:rPr>
              <w:t>项目</w:t>
            </w:r>
            <w:r>
              <w:rPr>
                <w:rFonts w:hint="eastAsia" w:ascii="幼圆" w:hAnsi="幼圆" w:eastAsia="幼圆" w:cs="幼圆"/>
                <w:highlight w:val="none"/>
                <w:lang w:val="en-US" w:eastAsia="zh-CN"/>
              </w:rPr>
              <w:t>的</w:t>
            </w:r>
            <w:r>
              <w:rPr>
                <w:rFonts w:hint="eastAsia" w:ascii="幼圆" w:hAnsi="幼圆" w:eastAsia="幼圆" w:cs="幼圆"/>
                <w:highlight w:val="none"/>
                <w:lang w:eastAsia="zh-CN"/>
              </w:rPr>
              <w:t>业绩，得</w:t>
            </w:r>
            <w:r>
              <w:rPr>
                <w:rFonts w:hint="eastAsia" w:ascii="幼圆" w:hAnsi="幼圆" w:eastAsia="幼圆" w:cs="幼圆"/>
                <w:highlight w:val="none"/>
                <w:lang w:val="en-US" w:eastAsia="zh-CN"/>
              </w:rPr>
              <w:t>2</w:t>
            </w:r>
            <w:r>
              <w:rPr>
                <w:rFonts w:hint="eastAsia" w:ascii="幼圆" w:hAnsi="幼圆" w:eastAsia="幼圆" w:cs="幼圆"/>
                <w:highlight w:val="none"/>
                <w:lang w:eastAsia="zh-CN"/>
              </w:rPr>
              <w:t>分，最高得</w:t>
            </w:r>
            <w:r>
              <w:rPr>
                <w:rFonts w:hint="eastAsia" w:ascii="幼圆" w:hAnsi="幼圆" w:eastAsia="幼圆" w:cs="幼圆"/>
                <w:highlight w:val="none"/>
                <w:lang w:val="en-US" w:eastAsia="zh-CN"/>
              </w:rPr>
              <w:t>10</w:t>
            </w:r>
            <w:r>
              <w:rPr>
                <w:rFonts w:hint="eastAsia" w:ascii="幼圆" w:hAnsi="幼圆" w:eastAsia="幼圆" w:cs="幼圆"/>
                <w:highlight w:val="none"/>
                <w:lang w:eastAsia="zh-CN"/>
              </w:rPr>
              <w:t>分。须提供合同复印件，内容能体现合同名称、主要服务内容以及双方签字盖章页。未按上述要求提供合同复印件的不得分。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restart"/>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技术部分</w:t>
            </w:r>
          </w:p>
        </w:tc>
        <w:tc>
          <w:tcPr>
            <w:tcW w:w="776" w:type="dxa"/>
            <w:shd w:val="clear" w:color="auto" w:fill="auto"/>
            <w:vAlign w:val="center"/>
          </w:tcPr>
          <w:p>
            <w:pPr>
              <w:widowControl/>
              <w:spacing w:line="240" w:lineRule="auto"/>
              <w:jc w:val="center"/>
              <w:rPr>
                <w:rFonts w:hint="eastAsia" w:ascii="幼圆" w:hAnsi="幼圆" w:eastAsia="幼圆" w:cs="幼圆"/>
                <w:sz w:val="24"/>
                <w:szCs w:val="24"/>
                <w:highlight w:val="none"/>
                <w:lang w:val="en-US" w:eastAsia="zh-CN" w:bidi="ar-SA"/>
              </w:rPr>
            </w:pPr>
            <w:r>
              <w:rPr>
                <w:rFonts w:hint="eastAsia" w:ascii="幼圆" w:hAnsi="幼圆" w:eastAsia="幼圆" w:cs="幼圆"/>
                <w:highlight w:val="none"/>
                <w:lang w:val="en-US" w:eastAsia="zh-CN"/>
              </w:rPr>
              <w:t>26</w:t>
            </w:r>
          </w:p>
        </w:tc>
        <w:tc>
          <w:tcPr>
            <w:tcW w:w="1665" w:type="dxa"/>
            <w:shd w:val="clear" w:color="auto" w:fill="auto"/>
            <w:vAlign w:val="center"/>
          </w:tcPr>
          <w:p>
            <w:pPr>
              <w:widowControl/>
              <w:spacing w:line="240" w:lineRule="auto"/>
              <w:jc w:val="center"/>
              <w:rPr>
                <w:rFonts w:hint="eastAsia" w:ascii="幼圆" w:hAnsi="幼圆" w:eastAsia="幼圆" w:cs="幼圆"/>
                <w:sz w:val="24"/>
                <w:szCs w:val="24"/>
                <w:highlight w:val="none"/>
                <w:lang w:val="en-US" w:eastAsia="zh-CN" w:bidi="ar-SA"/>
              </w:rPr>
            </w:pPr>
            <w:r>
              <w:rPr>
                <w:rFonts w:hint="eastAsia" w:ascii="幼圆" w:hAnsi="幼圆" w:eastAsia="幼圆" w:cs="幼圆"/>
                <w:highlight w:val="none"/>
              </w:rPr>
              <w:t>对文件技术要求的响应程度</w:t>
            </w:r>
          </w:p>
        </w:tc>
        <w:tc>
          <w:tcPr>
            <w:tcW w:w="5749" w:type="dxa"/>
            <w:shd w:val="clear" w:color="auto" w:fill="auto"/>
            <w:vAlign w:val="center"/>
          </w:tcPr>
          <w:p>
            <w:pPr>
              <w:widowControl/>
              <w:spacing w:line="240" w:lineRule="auto"/>
              <w:jc w:val="both"/>
              <w:rPr>
                <w:rFonts w:hint="eastAsia" w:ascii="幼圆" w:hAnsi="幼圆" w:eastAsia="幼圆" w:cs="幼圆"/>
                <w:highlight w:val="none"/>
              </w:rPr>
            </w:pPr>
            <w:r>
              <w:rPr>
                <w:rFonts w:hint="eastAsia" w:ascii="幼圆" w:hAnsi="幼圆" w:eastAsia="幼圆" w:cs="幼圆"/>
                <w:highlight w:val="none"/>
              </w:rPr>
              <w:t>投标人完全满足第三章采购需求中“</w:t>
            </w:r>
            <w:r>
              <w:rPr>
                <w:rFonts w:hint="eastAsia" w:ascii="幼圆" w:hAnsi="幼圆" w:eastAsia="幼圆" w:cs="幼圆"/>
                <w:highlight w:val="none"/>
                <w:lang w:val="en-US" w:eastAsia="zh-CN"/>
              </w:rPr>
              <w:t>五</w:t>
            </w:r>
            <w:r>
              <w:rPr>
                <w:rFonts w:hint="eastAsia" w:ascii="幼圆" w:hAnsi="幼圆" w:eastAsia="幼圆" w:cs="幼圆"/>
                <w:highlight w:val="none"/>
              </w:rPr>
              <w:t>、</w:t>
            </w:r>
            <w:r>
              <w:rPr>
                <w:rFonts w:hint="eastAsia" w:ascii="幼圆" w:hAnsi="幼圆" w:eastAsia="幼圆" w:cs="幼圆"/>
                <w:highlight w:val="none"/>
                <w:lang w:val="en-US" w:eastAsia="zh-CN"/>
              </w:rPr>
              <w:t>维保内容</w:t>
            </w:r>
            <w:r>
              <w:rPr>
                <w:rFonts w:hint="eastAsia" w:ascii="幼圆" w:hAnsi="幼圆" w:eastAsia="幼圆" w:cs="幼圆"/>
                <w:highlight w:val="none"/>
              </w:rPr>
              <w:t>”的得</w:t>
            </w:r>
            <w:r>
              <w:rPr>
                <w:rFonts w:hint="eastAsia" w:ascii="幼圆" w:hAnsi="幼圆" w:eastAsia="幼圆" w:cs="幼圆"/>
                <w:highlight w:val="none"/>
                <w:lang w:val="en-US" w:eastAsia="zh-CN"/>
              </w:rPr>
              <w:t>26</w:t>
            </w:r>
            <w:r>
              <w:rPr>
                <w:rFonts w:hint="eastAsia" w:ascii="幼圆" w:hAnsi="幼圆" w:eastAsia="幼圆" w:cs="幼圆"/>
                <w:highlight w:val="none"/>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rPr>
              <w:t>共有</w:t>
            </w:r>
            <w:r>
              <w:rPr>
                <w:rFonts w:hint="eastAsia" w:ascii="幼圆" w:hAnsi="幼圆" w:eastAsia="幼圆" w:cs="幼圆"/>
                <w:highlight w:val="none"/>
                <w:lang w:val="en-US" w:eastAsia="zh-CN"/>
              </w:rPr>
              <w:t>8</w:t>
            </w:r>
            <w:r>
              <w:rPr>
                <w:rFonts w:hint="eastAsia" w:ascii="幼圆" w:hAnsi="幼圆" w:eastAsia="幼圆" w:cs="幼圆"/>
                <w:highlight w:val="none"/>
              </w:rPr>
              <w:t>项指标，每满足一项得</w:t>
            </w:r>
            <w:r>
              <w:rPr>
                <w:rFonts w:hint="eastAsia" w:ascii="幼圆" w:hAnsi="幼圆" w:eastAsia="幼圆" w:cs="幼圆"/>
                <w:highlight w:val="none"/>
                <w:lang w:val="en-US" w:eastAsia="zh-CN"/>
              </w:rPr>
              <w:t>3.25</w:t>
            </w:r>
            <w:r>
              <w:rPr>
                <w:rFonts w:hint="eastAsia" w:ascii="幼圆" w:hAnsi="幼圆" w:eastAsia="幼圆" w:cs="幼圆"/>
                <w:highlight w:val="none"/>
              </w:rPr>
              <w:t>分，共</w:t>
            </w:r>
            <w:r>
              <w:rPr>
                <w:rFonts w:hint="eastAsia" w:ascii="幼圆" w:hAnsi="幼圆" w:eastAsia="幼圆" w:cs="幼圆"/>
                <w:highlight w:val="none"/>
                <w:lang w:val="en-US" w:eastAsia="zh-CN"/>
              </w:rPr>
              <w:t>26</w:t>
            </w:r>
            <w:r>
              <w:rPr>
                <w:rFonts w:hint="eastAsia" w:ascii="幼圆" w:hAnsi="幼圆" w:eastAsia="幼圆" w:cs="幼圆"/>
                <w:highlight w:val="none"/>
              </w:rPr>
              <w:t>分</w:t>
            </w:r>
            <w:r>
              <w:rPr>
                <w:rFonts w:hint="eastAsia" w:ascii="幼圆" w:hAnsi="幼圆" w:eastAsia="幼圆" w:cs="幼圆"/>
                <w:highlight w:val="none"/>
                <w:lang w:eastAsia="zh-CN"/>
              </w:rPr>
              <w:t>。</w:t>
            </w:r>
          </w:p>
          <w:p>
            <w:pPr>
              <w:widowControl/>
              <w:spacing w:line="240" w:lineRule="auto"/>
              <w:jc w:val="both"/>
              <w:rPr>
                <w:rFonts w:hint="eastAsia" w:ascii="幼圆" w:hAnsi="幼圆" w:eastAsia="幼圆" w:cs="幼圆"/>
                <w:b/>
                <w:bCs/>
                <w:highlight w:val="none"/>
                <w:lang w:eastAsia="zh-CN"/>
              </w:rPr>
            </w:pPr>
            <w:r>
              <w:rPr>
                <w:rFonts w:hint="eastAsia" w:ascii="幼圆" w:hAnsi="幼圆" w:eastAsia="幼圆" w:cs="幼圆"/>
                <w:b/>
                <w:bCs/>
                <w:highlight w:val="none"/>
                <w:lang w:eastAsia="zh-CN"/>
              </w:rPr>
              <w:t>注：</w:t>
            </w:r>
            <w:r>
              <w:rPr>
                <w:rFonts w:hint="eastAsia" w:ascii="幼圆" w:hAnsi="幼圆" w:eastAsia="幼圆" w:cs="幼圆"/>
                <w:b/>
                <w:bCs/>
                <w:highlight w:val="none"/>
                <w:lang w:val="en-US" w:eastAsia="zh-CN"/>
              </w:rPr>
              <w:t>1</w:t>
            </w:r>
            <w:r>
              <w:rPr>
                <w:rFonts w:hint="eastAsia" w:ascii="幼圆" w:hAnsi="幼圆" w:eastAsia="幼圆" w:cs="幼圆"/>
                <w:b/>
                <w:bCs/>
                <w:highlight w:val="none"/>
                <w:lang w:eastAsia="zh-CN"/>
              </w:rPr>
              <w:t>）“</w:t>
            </w:r>
            <w:r>
              <w:rPr>
                <w:rFonts w:hint="eastAsia" w:ascii="幼圆" w:hAnsi="幼圆" w:eastAsia="幼圆" w:cs="幼圆"/>
                <w:b/>
                <w:bCs/>
                <w:highlight w:val="none"/>
                <w:lang w:val="en-US" w:eastAsia="zh-CN"/>
              </w:rPr>
              <w:t>维保内容</w:t>
            </w:r>
            <w:r>
              <w:rPr>
                <w:rFonts w:hint="eastAsia" w:ascii="幼圆" w:hAnsi="幼圆" w:eastAsia="幼圆" w:cs="幼圆"/>
                <w:b/>
                <w:bCs/>
                <w:highlight w:val="none"/>
                <w:lang w:eastAsia="zh-CN"/>
              </w:rPr>
              <w:t>”以“ 附件《技术规格偏离表》”响应为准，否则不得分。</w:t>
            </w:r>
          </w:p>
          <w:p>
            <w:pPr>
              <w:spacing w:line="240" w:lineRule="auto"/>
              <w:jc w:val="both"/>
              <w:rPr>
                <w:rFonts w:hint="eastAsia" w:ascii="幼圆" w:hAnsi="幼圆" w:eastAsia="幼圆" w:cs="幼圆"/>
                <w:b/>
                <w:bCs/>
                <w:highlight w:val="none"/>
                <w:lang w:val="en-US" w:eastAsia="zh-CN"/>
              </w:rPr>
            </w:pPr>
            <w:r>
              <w:rPr>
                <w:rFonts w:hint="eastAsia" w:ascii="幼圆" w:hAnsi="幼圆" w:eastAsia="幼圆" w:cs="幼圆"/>
                <w:b/>
                <w:bCs/>
                <w:highlight w:val="none"/>
              </w:rPr>
              <w:t>2）以“</w:t>
            </w:r>
            <w:r>
              <w:rPr>
                <w:rFonts w:hint="eastAsia" w:ascii="幼圆" w:hAnsi="幼圆" w:eastAsia="幼圆" w:cs="幼圆"/>
                <w:b/>
                <w:bCs/>
                <w:highlight w:val="none"/>
                <w:lang w:val="en-US" w:eastAsia="zh-CN"/>
              </w:rPr>
              <w:t>维保内容</w:t>
            </w:r>
            <w:r>
              <w:rPr>
                <w:rFonts w:hint="eastAsia" w:ascii="幼圆" w:hAnsi="幼圆" w:eastAsia="幼圆" w:cs="幼圆"/>
                <w:b/>
                <w:bCs/>
                <w:highlight w:val="none"/>
              </w:rPr>
              <w:t>”中的“序号”作为指标项的计算依据，无论该指标项包含几条技术参数。如该指标项中有任意一条指标不满足招标文件要求或负偏离，则该项不得分；漏报该项不得分。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rPr>
            </w:pPr>
          </w:p>
        </w:tc>
        <w:tc>
          <w:tcPr>
            <w:tcW w:w="776" w:type="dxa"/>
            <w:shd w:val="clear" w:color="auto" w:fill="auto"/>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5</w:t>
            </w:r>
          </w:p>
        </w:tc>
        <w:tc>
          <w:tcPr>
            <w:tcW w:w="1665" w:type="dxa"/>
            <w:shd w:val="clear" w:color="auto" w:fill="auto"/>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内部管理制度及培训方案</w:t>
            </w:r>
          </w:p>
        </w:tc>
        <w:tc>
          <w:tcPr>
            <w:tcW w:w="5749" w:type="dxa"/>
            <w:shd w:val="clear" w:color="auto" w:fill="auto"/>
            <w:vAlign w:val="center"/>
          </w:tcPr>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val="en-US" w:eastAsia="zh-CN"/>
              </w:rPr>
              <w:t>内部管理制度及培训方案</w:t>
            </w:r>
            <w:r>
              <w:rPr>
                <w:rFonts w:hint="eastAsia" w:ascii="幼圆" w:hAnsi="幼圆" w:eastAsia="幼圆" w:cs="幼圆"/>
                <w:highlight w:val="none"/>
                <w:lang w:eastAsia="zh-CN"/>
              </w:rPr>
              <w:t>合理、详细，</w:t>
            </w:r>
            <w:r>
              <w:rPr>
                <w:rFonts w:hint="eastAsia" w:ascii="幼圆" w:hAnsi="幼圆" w:eastAsia="幼圆" w:cs="幼圆"/>
                <w:highlight w:val="none"/>
                <w:lang w:val="en-US" w:eastAsia="zh-CN"/>
              </w:rPr>
              <w:t>培训</w:t>
            </w:r>
            <w:r>
              <w:rPr>
                <w:rFonts w:hint="eastAsia" w:ascii="幼圆" w:hAnsi="幼圆" w:eastAsia="幼圆" w:cs="幼圆"/>
                <w:highlight w:val="none"/>
                <w:lang w:eastAsia="zh-CN"/>
              </w:rPr>
              <w:t>服务承诺周到，具有完善的</w:t>
            </w:r>
            <w:r>
              <w:rPr>
                <w:rFonts w:hint="eastAsia" w:ascii="幼圆" w:hAnsi="幼圆" w:eastAsia="幼圆" w:cs="幼圆"/>
                <w:highlight w:val="none"/>
                <w:lang w:val="en-US" w:eastAsia="zh-CN"/>
              </w:rPr>
              <w:t>管理</w:t>
            </w:r>
            <w:r>
              <w:rPr>
                <w:rFonts w:hint="eastAsia" w:ascii="幼圆" w:hAnsi="幼圆" w:eastAsia="幼圆" w:cs="幼圆"/>
                <w:highlight w:val="none"/>
                <w:lang w:eastAsia="zh-CN"/>
              </w:rPr>
              <w:t>体系：</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方案合理、</w:t>
            </w:r>
            <w:r>
              <w:rPr>
                <w:rFonts w:hint="eastAsia" w:ascii="幼圆" w:hAnsi="幼圆" w:eastAsia="幼圆" w:cs="幼圆"/>
                <w:highlight w:val="none"/>
                <w:lang w:val="en-US" w:eastAsia="zh-CN"/>
              </w:rPr>
              <w:t>详细，体系完善的，</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5</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方案</w:t>
            </w:r>
            <w:r>
              <w:rPr>
                <w:rFonts w:hint="eastAsia" w:ascii="幼圆" w:hAnsi="幼圆" w:eastAsia="幼圆" w:cs="幼圆"/>
                <w:highlight w:val="none"/>
                <w:lang w:val="en-US" w:eastAsia="zh-CN"/>
              </w:rPr>
              <w:t>较为</w:t>
            </w:r>
            <w:r>
              <w:rPr>
                <w:rFonts w:hint="eastAsia" w:ascii="幼圆" w:hAnsi="幼圆" w:eastAsia="幼圆" w:cs="幼圆"/>
                <w:highlight w:val="none"/>
                <w:lang w:eastAsia="zh-CN"/>
              </w:rPr>
              <w:t>合理、</w:t>
            </w:r>
            <w:r>
              <w:rPr>
                <w:rFonts w:hint="eastAsia" w:ascii="幼圆" w:hAnsi="幼圆" w:eastAsia="幼圆" w:cs="幼圆"/>
                <w:highlight w:val="none"/>
                <w:lang w:val="en-US" w:eastAsia="zh-CN"/>
              </w:rPr>
              <w:t>详细，体系较为完善的，</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3</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方案</w:t>
            </w:r>
            <w:r>
              <w:rPr>
                <w:rFonts w:hint="eastAsia" w:ascii="幼圆" w:hAnsi="幼圆" w:eastAsia="幼圆" w:cs="幼圆"/>
                <w:highlight w:val="none"/>
                <w:lang w:val="en-US" w:eastAsia="zh-CN"/>
              </w:rPr>
              <w:t>一般，体系基本完善的，</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1</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b/>
                <w:bCs/>
                <w:highlight w:val="none"/>
                <w:lang w:eastAsia="zh-CN"/>
              </w:rPr>
            </w:pPr>
            <w:r>
              <w:rPr>
                <w:rFonts w:hint="eastAsia" w:ascii="幼圆" w:hAnsi="幼圆" w:eastAsia="幼圆" w:cs="幼圆"/>
                <w:highlight w:val="none"/>
                <w:lang w:val="en-US" w:eastAsia="zh-CN"/>
              </w:rPr>
              <w:t>未提供，</w:t>
            </w:r>
            <w:r>
              <w:rPr>
                <w:rFonts w:hint="eastAsia" w:ascii="幼圆" w:hAnsi="幼圆" w:eastAsia="幼圆" w:cs="幼圆"/>
                <w:highlight w:val="none"/>
                <w:lang w:eastAsia="zh-CN"/>
              </w:rPr>
              <w:t>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restart"/>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服务部分</w:t>
            </w: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7</w:t>
            </w:r>
          </w:p>
        </w:tc>
        <w:tc>
          <w:tcPr>
            <w:tcW w:w="1665" w:type="dxa"/>
            <w:vMerge w:val="restart"/>
            <w:vAlign w:val="center"/>
          </w:tcPr>
          <w:p>
            <w:pPr>
              <w:widowControl/>
              <w:spacing w:line="240" w:lineRule="auto"/>
              <w:jc w:val="center"/>
              <w:rPr>
                <w:rFonts w:hint="eastAsia" w:ascii="幼圆" w:hAnsi="幼圆" w:eastAsia="幼圆" w:cs="幼圆"/>
                <w:highlight w:val="none"/>
                <w:lang w:eastAsia="zh-CN"/>
              </w:rPr>
            </w:pPr>
            <w:r>
              <w:rPr>
                <w:rFonts w:hint="eastAsia" w:ascii="幼圆" w:hAnsi="幼圆" w:eastAsia="幼圆" w:cs="幼圆"/>
                <w:highlight w:val="none"/>
              </w:rPr>
              <w:t>服务方案及人员配备方案</w:t>
            </w:r>
          </w:p>
        </w:tc>
        <w:tc>
          <w:tcPr>
            <w:tcW w:w="5749" w:type="dxa"/>
            <w:vAlign w:val="center"/>
          </w:tcPr>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根据投标人提供的</w:t>
            </w:r>
            <w:r>
              <w:rPr>
                <w:rFonts w:hint="eastAsia" w:ascii="幼圆" w:hAnsi="幼圆" w:eastAsia="幼圆" w:cs="幼圆"/>
                <w:highlight w:val="none"/>
                <w:lang w:val="en-US" w:eastAsia="zh-CN"/>
              </w:rPr>
              <w:t>总体设计方案进行评价</w:t>
            </w:r>
            <w:r>
              <w:rPr>
                <w:rFonts w:hint="eastAsia" w:ascii="幼圆" w:hAnsi="幼圆" w:eastAsia="幼圆" w:cs="幼圆"/>
                <w:highlight w:val="none"/>
                <w:lang w:eastAsia="zh-CN"/>
              </w:rPr>
              <w:t>：</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设计方案亮点突出、针对性强、内容全面、规划统筹考虑充分，得</w:t>
            </w:r>
            <w:r>
              <w:rPr>
                <w:rFonts w:hint="eastAsia" w:ascii="幼圆" w:hAnsi="幼圆" w:eastAsia="幼圆" w:cs="幼圆"/>
                <w:highlight w:val="none"/>
                <w:lang w:val="en-US" w:eastAsia="zh-CN"/>
              </w:rPr>
              <w:t>7</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设计方案</w:t>
            </w:r>
            <w:r>
              <w:rPr>
                <w:rFonts w:hint="eastAsia" w:ascii="幼圆" w:hAnsi="幼圆" w:eastAsia="幼圆" w:cs="幼圆"/>
                <w:highlight w:val="none"/>
                <w:lang w:val="en-US" w:eastAsia="zh-CN"/>
              </w:rPr>
              <w:t>基本全面</w:t>
            </w:r>
            <w:r>
              <w:rPr>
                <w:rFonts w:hint="eastAsia" w:ascii="幼圆" w:hAnsi="幼圆" w:eastAsia="幼圆" w:cs="幼圆"/>
                <w:highlight w:val="none"/>
                <w:lang w:eastAsia="zh-CN"/>
              </w:rPr>
              <w:t>、针对性</w:t>
            </w:r>
            <w:r>
              <w:rPr>
                <w:rFonts w:hint="eastAsia" w:ascii="幼圆" w:hAnsi="幼圆" w:eastAsia="幼圆" w:cs="幼圆"/>
                <w:highlight w:val="none"/>
                <w:lang w:val="en-US" w:eastAsia="zh-CN"/>
              </w:rPr>
              <w:t>一般</w:t>
            </w:r>
            <w:r>
              <w:rPr>
                <w:rFonts w:hint="eastAsia" w:ascii="幼圆" w:hAnsi="幼圆" w:eastAsia="幼圆" w:cs="幼圆"/>
                <w:highlight w:val="none"/>
                <w:lang w:eastAsia="zh-CN"/>
              </w:rPr>
              <w:t>、规划统筹考虑</w:t>
            </w:r>
            <w:r>
              <w:rPr>
                <w:rFonts w:hint="eastAsia" w:ascii="幼圆" w:hAnsi="幼圆" w:eastAsia="幼圆" w:cs="幼圆"/>
                <w:highlight w:val="none"/>
                <w:lang w:val="en-US" w:eastAsia="zh-CN"/>
              </w:rPr>
              <w:t>中规中矩</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4</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设计方案</w:t>
            </w:r>
            <w:r>
              <w:rPr>
                <w:rFonts w:hint="eastAsia" w:ascii="幼圆" w:hAnsi="幼圆" w:eastAsia="幼圆" w:cs="幼圆"/>
                <w:highlight w:val="none"/>
                <w:lang w:val="en-US" w:eastAsia="zh-CN"/>
              </w:rPr>
              <w:t>简单</w:t>
            </w:r>
            <w:r>
              <w:rPr>
                <w:rFonts w:hint="eastAsia" w:ascii="幼圆" w:hAnsi="幼圆" w:eastAsia="幼圆" w:cs="幼圆"/>
                <w:highlight w:val="none"/>
                <w:lang w:eastAsia="zh-CN"/>
              </w:rPr>
              <w:t>、针对性</w:t>
            </w:r>
            <w:r>
              <w:rPr>
                <w:rFonts w:hint="eastAsia" w:ascii="幼圆" w:hAnsi="幼圆" w:eastAsia="幼圆" w:cs="幼圆"/>
                <w:highlight w:val="none"/>
                <w:lang w:val="en-US" w:eastAsia="zh-CN"/>
              </w:rPr>
              <w:t>欠妥</w:t>
            </w:r>
            <w:r>
              <w:rPr>
                <w:rFonts w:hint="eastAsia" w:ascii="幼圆" w:hAnsi="幼圆" w:eastAsia="幼圆" w:cs="幼圆"/>
                <w:highlight w:val="none"/>
                <w:lang w:eastAsia="zh-CN"/>
              </w:rPr>
              <w:t>、规划统筹考虑</w:t>
            </w:r>
            <w:r>
              <w:rPr>
                <w:rFonts w:hint="eastAsia" w:ascii="幼圆" w:hAnsi="幼圆" w:eastAsia="幼圆" w:cs="幼圆"/>
                <w:highlight w:val="none"/>
                <w:lang w:val="en-US" w:eastAsia="zh-CN"/>
              </w:rPr>
              <w:t>欠佳</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1</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未提供该方案不得分。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lang w:val="en-US" w:eastAsia="zh-CN"/>
              </w:rPr>
            </w:pP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13</w:t>
            </w:r>
          </w:p>
        </w:tc>
        <w:tc>
          <w:tcPr>
            <w:tcW w:w="1665" w:type="dxa"/>
            <w:vMerge w:val="continue"/>
            <w:vAlign w:val="center"/>
          </w:tcPr>
          <w:p>
            <w:pPr>
              <w:widowControl/>
              <w:spacing w:line="240" w:lineRule="auto"/>
              <w:jc w:val="center"/>
              <w:rPr>
                <w:rFonts w:hint="eastAsia" w:ascii="幼圆" w:hAnsi="幼圆" w:eastAsia="幼圆" w:cs="幼圆"/>
                <w:highlight w:val="none"/>
                <w:lang w:eastAsia="zh-CN"/>
              </w:rPr>
            </w:pPr>
          </w:p>
        </w:tc>
        <w:tc>
          <w:tcPr>
            <w:tcW w:w="5749" w:type="dxa"/>
            <w:vAlign w:val="center"/>
          </w:tcPr>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（1）根据各投标人按照采购需求提供的维保团队的规模、专业度、架构方面进行打分。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人员架构科学合理，数量充足，专业度高的，完全满足项目需求的，得7分；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人员架构基本科学合理，数量一般，专业度普通的，得4分；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人员架构不合理，数量稀少，专业度低的，得1分；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未提供不得分。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（2）根据团队成员的专业能力进行评价：</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1）具有中华人民共和国应急管理部门颁发的特种作业操作证（有限空间作业），每</w:t>
            </w:r>
            <w:bookmarkStart w:id="5" w:name="_GoBack"/>
            <w:bookmarkEnd w:id="5"/>
            <w:r>
              <w:rPr>
                <w:rFonts w:hint="eastAsia" w:ascii="幼圆" w:hAnsi="幼圆" w:eastAsia="幼圆" w:cs="幼圆"/>
                <w:lang w:val="en-US" w:eastAsia="zh-CN"/>
              </w:rPr>
              <w:t>提供一人得2分，最高6分。</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b/>
                <w:bCs/>
                <w:highlight w:val="none"/>
                <w:lang w:val="en-US" w:eastAsia="zh-CN"/>
              </w:rPr>
              <w:t>注：以上证书需提供有效的证书复印件，并加盖投标单位公章，否则视为无效</w:t>
            </w:r>
            <w:r>
              <w:rPr>
                <w:rFonts w:hint="eastAsia" w:ascii="幼圆" w:hAnsi="幼圆" w:eastAsia="幼圆" w:cs="幼圆"/>
                <w:highlight w:val="none"/>
                <w:lang w:val="en-US"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lang w:val="en-US" w:eastAsia="zh-CN"/>
              </w:rPr>
            </w:pP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7</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服务响应时间及质量保障措施</w:t>
            </w:r>
          </w:p>
        </w:tc>
        <w:tc>
          <w:tcPr>
            <w:tcW w:w="5749" w:type="dxa"/>
            <w:vAlign w:val="center"/>
          </w:tcPr>
          <w:p>
            <w:pPr>
              <w:widowControl/>
              <w:spacing w:line="240" w:lineRule="auto"/>
              <w:rPr>
                <w:rFonts w:hint="eastAsia" w:ascii="幼圆" w:hAnsi="幼圆" w:eastAsia="幼圆" w:cs="幼圆"/>
                <w:sz w:val="24"/>
                <w:szCs w:val="24"/>
                <w:highlight w:val="none"/>
                <w:lang w:val="en-US" w:eastAsia="zh-CN"/>
              </w:rPr>
            </w:pPr>
            <w:r>
              <w:rPr>
                <w:rFonts w:hint="eastAsia" w:ascii="幼圆" w:hAnsi="幼圆" w:eastAsia="幼圆" w:cs="幼圆"/>
                <w:sz w:val="24"/>
                <w:szCs w:val="24"/>
                <w:highlight w:val="none"/>
                <w:lang w:val="en-US" w:eastAsia="zh-CN"/>
              </w:rPr>
              <w:t>响应时间及时、保障措施到位、分工明确</w:t>
            </w:r>
            <w:r>
              <w:rPr>
                <w:rFonts w:hint="eastAsia" w:ascii="幼圆" w:hAnsi="幼圆" w:eastAsia="幼圆" w:cs="幼圆"/>
                <w:sz w:val="24"/>
                <w:szCs w:val="24"/>
                <w:highlight w:val="none"/>
                <w:lang w:eastAsia="zh-CN"/>
              </w:rPr>
              <w:t>，</w:t>
            </w:r>
            <w:r>
              <w:rPr>
                <w:rFonts w:hint="eastAsia" w:ascii="幼圆" w:hAnsi="幼圆" w:eastAsia="幼圆" w:cs="幼圆"/>
                <w:sz w:val="24"/>
                <w:szCs w:val="24"/>
                <w:highlight w:val="none"/>
                <w:lang w:val="en-US" w:eastAsia="zh-CN"/>
              </w:rPr>
              <w:t>得7分；</w:t>
            </w:r>
          </w:p>
          <w:p>
            <w:pPr>
              <w:widowControl/>
              <w:spacing w:line="240" w:lineRule="auto"/>
              <w:rPr>
                <w:rFonts w:hint="eastAsia" w:ascii="幼圆" w:hAnsi="幼圆" w:eastAsia="幼圆" w:cs="幼圆"/>
                <w:sz w:val="24"/>
                <w:szCs w:val="24"/>
                <w:highlight w:val="none"/>
                <w:lang w:val="en-US" w:eastAsia="zh-CN"/>
              </w:rPr>
            </w:pPr>
            <w:r>
              <w:rPr>
                <w:rFonts w:hint="eastAsia" w:ascii="幼圆" w:hAnsi="幼圆" w:eastAsia="幼圆" w:cs="幼圆"/>
                <w:sz w:val="24"/>
                <w:szCs w:val="24"/>
                <w:highlight w:val="none"/>
                <w:lang w:val="en-US" w:eastAsia="zh-CN"/>
              </w:rPr>
              <w:t>响应时间基本满足需求、保障措施基本到位、分工较为明确</w:t>
            </w:r>
            <w:r>
              <w:rPr>
                <w:rFonts w:hint="eastAsia" w:ascii="幼圆" w:hAnsi="幼圆" w:eastAsia="幼圆" w:cs="幼圆"/>
                <w:sz w:val="24"/>
                <w:szCs w:val="24"/>
                <w:highlight w:val="none"/>
                <w:lang w:eastAsia="zh-CN"/>
              </w:rPr>
              <w:t>，</w:t>
            </w:r>
            <w:r>
              <w:rPr>
                <w:rFonts w:hint="eastAsia" w:ascii="幼圆" w:hAnsi="幼圆" w:eastAsia="幼圆" w:cs="幼圆"/>
                <w:sz w:val="24"/>
                <w:szCs w:val="24"/>
                <w:highlight w:val="none"/>
                <w:lang w:val="en-US" w:eastAsia="zh-CN"/>
              </w:rPr>
              <w:t>得4分；</w:t>
            </w:r>
          </w:p>
          <w:p>
            <w:pPr>
              <w:widowControl/>
              <w:spacing w:line="240" w:lineRule="auto"/>
              <w:rPr>
                <w:rFonts w:hint="eastAsia" w:ascii="幼圆" w:hAnsi="幼圆" w:eastAsia="幼圆" w:cs="幼圆"/>
                <w:sz w:val="24"/>
                <w:szCs w:val="24"/>
                <w:highlight w:val="none"/>
                <w:lang w:val="en-US" w:eastAsia="zh-CN"/>
              </w:rPr>
            </w:pPr>
            <w:r>
              <w:rPr>
                <w:rFonts w:hint="eastAsia" w:ascii="幼圆" w:hAnsi="幼圆" w:eastAsia="幼圆" w:cs="幼圆"/>
                <w:sz w:val="24"/>
                <w:szCs w:val="24"/>
                <w:highlight w:val="none"/>
                <w:lang w:val="en-US" w:eastAsia="zh-CN"/>
              </w:rPr>
              <w:t>响应时间滞后、保障措施欠缺、分工混乱</w:t>
            </w:r>
            <w:r>
              <w:rPr>
                <w:rFonts w:hint="eastAsia" w:ascii="幼圆" w:hAnsi="幼圆" w:eastAsia="幼圆" w:cs="幼圆"/>
                <w:sz w:val="24"/>
                <w:szCs w:val="24"/>
                <w:highlight w:val="none"/>
                <w:lang w:eastAsia="zh-CN"/>
              </w:rPr>
              <w:t>，</w:t>
            </w:r>
            <w:r>
              <w:rPr>
                <w:rFonts w:hint="eastAsia" w:ascii="幼圆" w:hAnsi="幼圆" w:eastAsia="幼圆" w:cs="幼圆"/>
                <w:sz w:val="24"/>
                <w:szCs w:val="24"/>
                <w:highlight w:val="none"/>
                <w:lang w:val="en-US" w:eastAsia="zh-CN"/>
              </w:rPr>
              <w:t>得1分；</w:t>
            </w:r>
          </w:p>
          <w:p>
            <w:pPr>
              <w:keepNext w:val="0"/>
              <w:keepLines w:val="0"/>
              <w:pageBreakBefore w:val="0"/>
              <w:widowControl/>
              <w:kinsoku/>
              <w:wordWrap/>
              <w:overflowPunct/>
              <w:topLinePunct w:val="0"/>
              <w:autoSpaceDE/>
              <w:autoSpaceDN/>
              <w:bidi w:val="0"/>
              <w:snapToGrid/>
              <w:spacing w:line="240" w:lineRule="auto"/>
              <w:rPr>
                <w:rFonts w:hint="eastAsia" w:ascii="幼圆" w:hAnsi="幼圆" w:eastAsia="幼圆" w:cs="幼圆"/>
                <w:highlight w:val="none"/>
              </w:rPr>
            </w:pPr>
            <w:r>
              <w:rPr>
                <w:rFonts w:hint="eastAsia" w:ascii="幼圆" w:hAnsi="幼圆" w:eastAsia="幼圆" w:cs="幼圆"/>
                <w:sz w:val="24"/>
                <w:szCs w:val="24"/>
                <w:highlight w:val="none"/>
                <w:lang w:val="en-US" w:eastAsia="zh-CN"/>
              </w:rPr>
              <w:t>未提供，不得分。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lang w:val="en-US" w:eastAsia="zh-CN"/>
              </w:rPr>
            </w:pP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7</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后续服务承诺</w:t>
            </w:r>
          </w:p>
        </w:tc>
        <w:tc>
          <w:tcPr>
            <w:tcW w:w="5749" w:type="dxa"/>
            <w:vAlign w:val="center"/>
          </w:tcPr>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根据投标人提供的服务承诺进行打分：内容应包含但不限于售后服务及其他情况介绍；</w:t>
            </w:r>
            <w:r>
              <w:rPr>
                <w:rFonts w:hint="eastAsia" w:ascii="幼圆" w:hAnsi="幼圆" w:eastAsia="幼圆" w:cs="幼圆"/>
                <w:b/>
                <w:highlight w:val="none"/>
              </w:rPr>
              <w:t>可提供的优惠条件；突发状况服务时间承诺。</w:t>
            </w:r>
          </w:p>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服务承诺完全满足项目需求的，得</w:t>
            </w:r>
            <w:r>
              <w:rPr>
                <w:rFonts w:hint="eastAsia" w:ascii="幼圆" w:hAnsi="幼圆" w:eastAsia="幼圆" w:cs="幼圆"/>
                <w:highlight w:val="none"/>
                <w:lang w:val="en-US" w:eastAsia="zh-CN"/>
              </w:rPr>
              <w:t>7</w:t>
            </w:r>
            <w:r>
              <w:rPr>
                <w:rFonts w:hint="eastAsia" w:ascii="幼圆" w:hAnsi="幼圆" w:eastAsia="幼圆" w:cs="幼圆"/>
                <w:highlight w:val="none"/>
              </w:rPr>
              <w:t>分；</w:t>
            </w:r>
          </w:p>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服务承诺基本满足项目需求的，得</w:t>
            </w:r>
            <w:r>
              <w:rPr>
                <w:rFonts w:hint="eastAsia" w:ascii="幼圆" w:hAnsi="幼圆" w:eastAsia="幼圆" w:cs="幼圆"/>
                <w:highlight w:val="none"/>
                <w:lang w:val="en-US" w:eastAsia="zh-CN"/>
              </w:rPr>
              <w:t>4</w:t>
            </w:r>
            <w:r>
              <w:rPr>
                <w:rFonts w:hint="eastAsia" w:ascii="幼圆" w:hAnsi="幼圆" w:eastAsia="幼圆" w:cs="幼圆"/>
                <w:highlight w:val="none"/>
              </w:rPr>
              <w:t>分；</w:t>
            </w:r>
          </w:p>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服务承诺不满足项目需求的，得1分；</w:t>
            </w:r>
          </w:p>
          <w:p>
            <w:pPr>
              <w:widowControl/>
              <w:spacing w:line="240" w:lineRule="auto"/>
              <w:rPr>
                <w:rFonts w:hint="eastAsia" w:ascii="幼圆" w:hAnsi="幼圆" w:eastAsia="幼圆" w:cs="幼圆"/>
                <w:highlight w:val="none"/>
              </w:rPr>
            </w:pPr>
            <w:r>
              <w:rPr>
                <w:rFonts w:hint="eastAsia" w:ascii="幼圆" w:hAnsi="幼圆" w:eastAsia="幼圆" w:cs="幼圆"/>
                <w:highlight w:val="none"/>
              </w:rPr>
              <w:t>未提供，不得分。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其他</w:t>
            </w: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5</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拟投入设备</w:t>
            </w:r>
          </w:p>
        </w:tc>
        <w:tc>
          <w:tcPr>
            <w:tcW w:w="5749" w:type="dxa"/>
            <w:vAlign w:val="center"/>
          </w:tcPr>
          <w:p>
            <w:pPr>
              <w:widowControl/>
              <w:spacing w:line="240" w:lineRule="auto"/>
              <w:rPr>
                <w:rFonts w:hint="eastAsia" w:ascii="幼圆" w:hAnsi="幼圆" w:eastAsia="幼圆" w:cs="幼圆"/>
                <w:highlight w:val="none"/>
                <w:lang w:val="en-US" w:eastAsia="zh-CN"/>
              </w:rPr>
            </w:pPr>
            <w:r>
              <w:rPr>
                <w:rFonts w:hint="eastAsia" w:ascii="幼圆" w:hAnsi="幼圆" w:eastAsia="幼圆" w:cs="幼圆"/>
                <w:highlight w:val="none"/>
                <w:lang w:val="en-US" w:eastAsia="zh-CN"/>
              </w:rPr>
              <w:t>设备齐全，完全满足项目需要的，得5分；</w:t>
            </w:r>
          </w:p>
          <w:p>
            <w:pPr>
              <w:widowControl/>
              <w:spacing w:line="240" w:lineRule="auto"/>
              <w:rPr>
                <w:rFonts w:hint="eastAsia" w:ascii="幼圆" w:hAnsi="幼圆" w:eastAsia="幼圆" w:cs="幼圆"/>
                <w:highlight w:val="none"/>
                <w:lang w:val="en-US" w:eastAsia="zh-CN"/>
              </w:rPr>
            </w:pPr>
            <w:r>
              <w:rPr>
                <w:rFonts w:hint="eastAsia" w:ascii="幼圆" w:hAnsi="幼圆" w:eastAsia="幼圆" w:cs="幼圆"/>
                <w:highlight w:val="none"/>
                <w:lang w:val="en-US" w:eastAsia="zh-CN"/>
              </w:rPr>
              <w:t>设备基本满足项目需要的，得3分</w:t>
            </w:r>
          </w:p>
          <w:p>
            <w:pPr>
              <w:widowControl/>
              <w:spacing w:line="240" w:lineRule="auto"/>
              <w:rPr>
                <w:rFonts w:hint="eastAsia" w:ascii="幼圆" w:hAnsi="幼圆" w:eastAsia="幼圆" w:cs="幼圆"/>
                <w:highlight w:val="none"/>
                <w:lang w:val="en-US" w:eastAsia="zh-CN"/>
              </w:rPr>
            </w:pPr>
            <w:r>
              <w:rPr>
                <w:rFonts w:hint="eastAsia" w:ascii="幼圆" w:hAnsi="幼圆" w:eastAsia="幼圆" w:cs="幼圆"/>
                <w:highlight w:val="none"/>
                <w:lang w:val="en-US" w:eastAsia="zh-CN"/>
              </w:rPr>
              <w:t>设备无法满足项目需要的，得1分；</w:t>
            </w:r>
          </w:p>
          <w:p>
            <w:pPr>
              <w:widowControl/>
              <w:spacing w:line="240" w:lineRule="auto"/>
              <w:rPr>
                <w:rFonts w:hint="eastAsia" w:ascii="幼圆" w:hAnsi="幼圆" w:eastAsia="幼圆" w:cs="幼圆"/>
                <w:highlight w:val="none"/>
                <w:lang w:eastAsia="zh-CN"/>
              </w:rPr>
            </w:pPr>
            <w:r>
              <w:rPr>
                <w:rFonts w:hint="eastAsia" w:ascii="幼圆" w:hAnsi="幼圆" w:eastAsia="幼圆" w:cs="幼圆"/>
                <w:highlight w:val="none"/>
                <w:lang w:val="en-US" w:eastAsia="zh-CN"/>
              </w:rPr>
              <w:t>不满足项目需要或未提供，不得分。</w:t>
            </w:r>
          </w:p>
        </w:tc>
      </w:tr>
      <w:bookmarkEnd w:id="1"/>
    </w:tbl>
    <w:p>
      <w:pPr>
        <w:keepNext w:val="0"/>
        <w:keepLines w:val="0"/>
        <w:pageBreakBefore w:val="0"/>
        <w:widowControl/>
        <w:wordWrap/>
        <w:topLinePunct w:val="0"/>
        <w:bidi w:val="0"/>
        <w:spacing w:line="240" w:lineRule="auto"/>
        <w:rPr>
          <w:rFonts w:hint="eastAsia" w:ascii="幼圆" w:hAnsi="幼圆" w:eastAsia="幼圆" w:cs="幼圆"/>
          <w:b/>
          <w:bCs/>
          <w:sz w:val="24"/>
          <w:szCs w:val="20"/>
        </w:rPr>
      </w:pPr>
    </w:p>
    <w:p>
      <w:pPr>
        <w:spacing w:line="240" w:lineRule="auto"/>
        <w:rPr>
          <w:rFonts w:hint="eastAsia" w:ascii="幼圆" w:hAnsi="幼圆" w:eastAsia="幼圆" w:cs="幼圆"/>
          <w:color w:val="FF0000"/>
          <w:kern w:val="2"/>
          <w:highlight w:val="none"/>
          <w:lang w:val="en-US" w:eastAsia="zh-CN" w:bidi="zh-CN"/>
        </w:rPr>
      </w:pPr>
      <w:r>
        <w:rPr>
          <w:rFonts w:hint="eastAsia" w:ascii="幼圆" w:hAnsi="幼圆" w:eastAsia="幼圆" w:cs="幼圆"/>
          <w:color w:val="FF0000"/>
          <w:kern w:val="2"/>
          <w:highlight w:val="none"/>
          <w:lang w:val="en-US" w:eastAsia="zh-CN" w:bidi="zh-CN"/>
        </w:rPr>
        <w:br w:type="page"/>
      </w:r>
    </w:p>
    <w:p>
      <w:pPr>
        <w:snapToGrid w:val="0"/>
        <w:spacing w:line="240" w:lineRule="auto"/>
        <w:textAlignment w:val="auto"/>
        <w:outlineLvl w:val="0"/>
        <w:rPr>
          <w:rFonts w:hint="eastAsia" w:ascii="幼圆" w:hAnsi="幼圆" w:eastAsia="幼圆" w:cs="幼圆"/>
          <w:b/>
          <w:szCs w:val="20"/>
          <w:highlight w:val="none"/>
        </w:rPr>
      </w:pPr>
      <w:bookmarkStart w:id="2" w:name="_Toc70433717"/>
      <w:bookmarkStart w:id="3" w:name="_Toc73536577"/>
      <w:bookmarkStart w:id="4" w:name="_Toc955"/>
      <w:r>
        <w:rPr>
          <w:rFonts w:hint="eastAsia" w:ascii="幼圆" w:hAnsi="幼圆" w:eastAsia="幼圆" w:cs="幼圆"/>
          <w:b/>
          <w:szCs w:val="20"/>
          <w:highlight w:val="none"/>
        </w:rPr>
        <w:t>附件</w:t>
      </w:r>
      <w:r>
        <w:rPr>
          <w:rFonts w:hint="eastAsia" w:ascii="幼圆" w:hAnsi="幼圆" w:eastAsia="幼圆" w:cs="幼圆"/>
          <w:b/>
          <w:szCs w:val="20"/>
          <w:highlight w:val="none"/>
          <w:lang w:eastAsia="zh-CN"/>
        </w:rPr>
        <w:t>（</w:t>
      </w:r>
      <w:r>
        <w:rPr>
          <w:rFonts w:hint="eastAsia" w:ascii="幼圆" w:hAnsi="幼圆" w:eastAsia="幼圆" w:cs="幼圆"/>
          <w:b/>
          <w:szCs w:val="20"/>
          <w:highlight w:val="none"/>
          <w:lang w:val="en-US" w:eastAsia="zh-CN"/>
        </w:rPr>
        <w:t>偏离表示例</w:t>
      </w:r>
      <w:r>
        <w:rPr>
          <w:rFonts w:hint="eastAsia" w:ascii="幼圆" w:hAnsi="幼圆" w:eastAsia="幼圆" w:cs="幼圆"/>
          <w:b/>
          <w:szCs w:val="20"/>
          <w:highlight w:val="none"/>
          <w:lang w:eastAsia="zh-CN"/>
        </w:rPr>
        <w:t>）</w:t>
      </w:r>
      <w:r>
        <w:rPr>
          <w:rFonts w:hint="eastAsia" w:ascii="幼圆" w:hAnsi="幼圆" w:eastAsia="幼圆" w:cs="幼圆"/>
          <w:b/>
          <w:szCs w:val="20"/>
          <w:highlight w:val="none"/>
        </w:rPr>
        <w:t>：</w:t>
      </w:r>
      <w:bookmarkEnd w:id="2"/>
      <w:bookmarkEnd w:id="3"/>
      <w:bookmarkEnd w:id="4"/>
    </w:p>
    <w:p>
      <w:pPr>
        <w:widowControl/>
        <w:snapToGrid w:val="0"/>
        <w:spacing w:line="240" w:lineRule="auto"/>
        <w:textAlignment w:val="auto"/>
        <w:rPr>
          <w:rFonts w:hint="eastAsia" w:ascii="幼圆" w:hAnsi="幼圆" w:eastAsia="幼圆" w:cs="幼圆"/>
          <w:b/>
          <w:highlight w:val="none"/>
        </w:rPr>
      </w:pPr>
    </w:p>
    <w:p>
      <w:pPr>
        <w:snapToGrid w:val="0"/>
        <w:spacing w:line="240" w:lineRule="auto"/>
        <w:jc w:val="center"/>
        <w:rPr>
          <w:rFonts w:hint="eastAsia" w:ascii="幼圆" w:hAnsi="幼圆" w:eastAsia="幼圆" w:cs="幼圆"/>
          <w:caps/>
          <w:sz w:val="36"/>
          <w:szCs w:val="36"/>
          <w:highlight w:val="none"/>
        </w:rPr>
      </w:pPr>
      <w:r>
        <w:rPr>
          <w:rFonts w:hint="eastAsia" w:ascii="幼圆" w:hAnsi="幼圆" w:eastAsia="幼圆" w:cs="幼圆"/>
          <w:caps/>
          <w:sz w:val="36"/>
          <w:szCs w:val="36"/>
          <w:highlight w:val="none"/>
        </w:rPr>
        <w:t>技术规格偏离表</w:t>
      </w:r>
    </w:p>
    <w:p>
      <w:pPr>
        <w:snapToGrid w:val="0"/>
        <w:spacing w:before="120" w:beforeLines="50" w:line="240" w:lineRule="auto"/>
        <w:rPr>
          <w:rFonts w:hint="eastAsia" w:ascii="幼圆" w:hAnsi="幼圆" w:eastAsia="幼圆" w:cs="幼圆"/>
          <w:highlight w:val="none"/>
        </w:rPr>
      </w:pPr>
    </w:p>
    <w:p>
      <w:pPr>
        <w:snapToGrid w:val="0"/>
        <w:spacing w:after="120" w:afterLines="50" w:line="240" w:lineRule="auto"/>
        <w:rPr>
          <w:rFonts w:hint="eastAsia" w:ascii="幼圆" w:hAnsi="幼圆" w:eastAsia="幼圆" w:cs="幼圆"/>
          <w:highlight w:val="none"/>
          <w:u w:val="single"/>
        </w:rPr>
      </w:pPr>
      <w:r>
        <w:rPr>
          <w:rFonts w:hint="eastAsia" w:ascii="幼圆" w:hAnsi="幼圆" w:eastAsia="幼圆" w:cs="幼圆"/>
          <w:highlight w:val="none"/>
        </w:rPr>
        <w:t>项目名称：</w:t>
      </w:r>
    </w:p>
    <w:tbl>
      <w:tblPr>
        <w:tblStyle w:val="35"/>
        <w:tblW w:w="850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76"/>
        <w:gridCol w:w="2977"/>
        <w:gridCol w:w="2586"/>
        <w:gridCol w:w="166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招标文件条目号</w:t>
            </w:r>
          </w:p>
        </w:tc>
        <w:tc>
          <w:tcPr>
            <w:tcW w:w="2977"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招标文件采购需求的内容与数值</w:t>
            </w:r>
          </w:p>
        </w:tc>
        <w:tc>
          <w:tcPr>
            <w:tcW w:w="2586"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投标人的采购需求响应内容与数值</w:t>
            </w:r>
          </w:p>
        </w:tc>
        <w:tc>
          <w:tcPr>
            <w:tcW w:w="1666"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偏差说明</w:t>
            </w:r>
          </w:p>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（是否偏离/满足）</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bl>
    <w:p>
      <w:pPr>
        <w:snapToGrid w:val="0"/>
        <w:spacing w:line="240" w:lineRule="auto"/>
        <w:ind w:left="540" w:hanging="495" w:hangingChars="225"/>
        <w:rPr>
          <w:rFonts w:hint="eastAsia" w:ascii="幼圆" w:hAnsi="幼圆" w:eastAsia="幼圆" w:cs="幼圆"/>
          <w:highlight w:val="none"/>
        </w:rPr>
      </w:pPr>
    </w:p>
    <w:p>
      <w:pPr>
        <w:snapToGrid w:val="0"/>
        <w:spacing w:line="240" w:lineRule="auto"/>
        <w:ind w:firstLine="440" w:firstLineChars="200"/>
        <w:rPr>
          <w:rFonts w:hint="eastAsia" w:ascii="幼圆" w:hAnsi="幼圆" w:eastAsia="幼圆" w:cs="幼圆"/>
          <w:highlight w:val="none"/>
        </w:rPr>
      </w:pPr>
      <w:r>
        <w:rPr>
          <w:rFonts w:hint="eastAsia" w:ascii="幼圆" w:hAnsi="幼圆" w:eastAsia="幼圆" w:cs="幼圆"/>
          <w:highlight w:val="none"/>
        </w:rPr>
        <w:t>注：1.投标人应对招标文件第三章采购需求要求的内容给予逐条响应，以投标服务所能达到的内容予以填写，而不应复印采购需求作为响应内容，有具体需求的应填写具体要求。</w:t>
      </w:r>
    </w:p>
    <w:p>
      <w:pPr>
        <w:snapToGrid w:val="0"/>
        <w:spacing w:line="240" w:lineRule="auto"/>
        <w:ind w:firstLine="440" w:firstLineChars="200"/>
        <w:rPr>
          <w:rFonts w:hint="eastAsia" w:ascii="幼圆" w:hAnsi="幼圆" w:eastAsia="幼圆" w:cs="幼圆"/>
          <w:highlight w:val="none"/>
        </w:rPr>
      </w:pPr>
      <w:r>
        <w:rPr>
          <w:rFonts w:hint="eastAsia" w:ascii="幼圆" w:hAnsi="幼圆" w:eastAsia="幼圆" w:cs="幼圆"/>
          <w:highlight w:val="none"/>
        </w:rPr>
        <w:tab/>
      </w:r>
      <w:r>
        <w:rPr>
          <w:rFonts w:hint="eastAsia" w:ascii="幼圆" w:hAnsi="幼圆" w:eastAsia="幼圆" w:cs="幼圆"/>
          <w:highlight w:val="none"/>
        </w:rPr>
        <w:t>2. 偏差说明处：技术、服务内容满足招标文件相应要求填写：“满足招标文件要求”、或“无偏离”；技术、服务内容不满足招标文件相应要求填写：“不满足招标文件要求”或“负偏离”。</w:t>
      </w:r>
    </w:p>
    <w:p>
      <w:pPr>
        <w:snapToGrid w:val="0"/>
        <w:spacing w:line="240" w:lineRule="auto"/>
        <w:ind w:firstLine="220" w:firstLineChars="100"/>
        <w:jc w:val="both"/>
        <w:textAlignment w:val="auto"/>
        <w:rPr>
          <w:rFonts w:hint="eastAsia" w:ascii="幼圆" w:hAnsi="幼圆" w:eastAsia="幼圆" w:cs="幼圆"/>
          <w:highlight w:val="none"/>
        </w:rPr>
      </w:pPr>
      <w:r>
        <w:rPr>
          <w:rFonts w:hint="eastAsia" w:ascii="幼圆" w:hAnsi="幼圆" w:eastAsia="幼圆" w:cs="幼圆"/>
          <w:highlight w:val="none"/>
        </w:rPr>
        <w:t>投标人名称：（单位公章）</w:t>
      </w:r>
    </w:p>
    <w:p>
      <w:pPr>
        <w:snapToGrid w:val="0"/>
        <w:spacing w:line="240" w:lineRule="auto"/>
        <w:ind w:firstLine="220" w:firstLineChars="100"/>
        <w:jc w:val="both"/>
        <w:textAlignment w:val="auto"/>
        <w:rPr>
          <w:rFonts w:hint="eastAsia" w:ascii="幼圆" w:hAnsi="幼圆" w:eastAsia="幼圆" w:cs="幼圆"/>
          <w:highlight w:val="none"/>
        </w:rPr>
      </w:pPr>
      <w:r>
        <w:rPr>
          <w:rFonts w:hint="eastAsia" w:ascii="幼圆" w:hAnsi="幼圆" w:eastAsia="幼圆" w:cs="幼圆"/>
          <w:highlight w:val="none"/>
        </w:rPr>
        <w:t>法定代表人或授权代表：（签字）</w:t>
      </w:r>
    </w:p>
    <w:p>
      <w:pPr>
        <w:snapToGrid w:val="0"/>
        <w:spacing w:line="240" w:lineRule="auto"/>
        <w:ind w:firstLine="220" w:firstLineChars="100"/>
        <w:jc w:val="both"/>
        <w:textAlignment w:val="auto"/>
        <w:rPr>
          <w:rFonts w:hint="eastAsia" w:ascii="幼圆" w:hAnsi="幼圆" w:eastAsia="幼圆" w:cs="幼圆"/>
          <w:highlight w:val="none"/>
        </w:rPr>
      </w:pPr>
      <w:r>
        <w:rPr>
          <w:rFonts w:hint="eastAsia" w:ascii="幼圆" w:hAnsi="幼圆" w:eastAsia="幼圆" w:cs="幼圆"/>
          <w:highlight w:val="none"/>
        </w:rPr>
        <w:t>日期：</w:t>
      </w:r>
    </w:p>
    <w:p>
      <w:pPr>
        <w:spacing w:line="240" w:lineRule="auto"/>
        <w:rPr>
          <w:rFonts w:hint="eastAsia" w:ascii="幼圆" w:hAnsi="幼圆" w:eastAsia="幼圆" w:cs="幼圆"/>
          <w:lang w:val="en-US" w:eastAsia="zh-CN"/>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ourier">
    <w:panose1 w:val="02060409020205020404"/>
    <w:charset w:val="00"/>
    <w:family w:val="auto"/>
    <w:pitch w:val="default"/>
    <w:sig w:usb0="00000007" w:usb1="00000000" w:usb2="00000000" w:usb3="00000000" w:csb0="00000093" w:csb1="0000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幼圆">
    <w:panose1 w:val="0201050906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D6473D"/>
    <w:multiLevelType w:val="singleLevel"/>
    <w:tmpl w:val="99D6473D"/>
    <w:lvl w:ilvl="0" w:tentative="0">
      <w:start w:val="1"/>
      <w:numFmt w:val="decimal"/>
      <w:suff w:val="nothing"/>
      <w:lvlText w:val="%1、"/>
      <w:lvlJc w:val="left"/>
      <w:pPr>
        <w:ind w:left="105" w:leftChars="0" w:firstLine="0" w:firstLineChars="0"/>
      </w:pPr>
    </w:lvl>
  </w:abstractNum>
  <w:abstractNum w:abstractNumId="1">
    <w:nsid w:val="B801158A"/>
    <w:multiLevelType w:val="singleLevel"/>
    <w:tmpl w:val="B801158A"/>
    <w:lvl w:ilvl="0" w:tentative="0">
      <w:start w:val="2"/>
      <w:numFmt w:val="chineseCounting"/>
      <w:suff w:val="nothing"/>
      <w:lvlText w:val="%1、"/>
      <w:lvlJc w:val="left"/>
      <w:rPr>
        <w:rFonts w:hint="eastAsia"/>
      </w:rPr>
    </w:lvl>
  </w:abstractNum>
  <w:abstractNum w:abstractNumId="2">
    <w:nsid w:val="CC187D8A"/>
    <w:multiLevelType w:val="singleLevel"/>
    <w:tmpl w:val="CC187D8A"/>
    <w:lvl w:ilvl="0" w:tentative="0">
      <w:start w:val="2"/>
      <w:numFmt w:val="decimal"/>
      <w:suff w:val="nothing"/>
      <w:lvlText w:val="（%1）"/>
      <w:lvlJc w:val="left"/>
    </w:lvl>
  </w:abstractNum>
  <w:abstractNum w:abstractNumId="3">
    <w:nsid w:val="FFFFFF7E"/>
    <w:multiLevelType w:val="singleLevel"/>
    <w:tmpl w:val="FFFFFF7E"/>
    <w:lvl w:ilvl="0" w:tentative="0">
      <w:start w:val="1"/>
      <w:numFmt w:val="decimal"/>
      <w:pStyle w:val="24"/>
      <w:lvlText w:val="%1."/>
      <w:lvlJc w:val="left"/>
      <w:pPr>
        <w:tabs>
          <w:tab w:val="left" w:pos="1080"/>
        </w:tabs>
        <w:ind w:left="1080" w:hanging="360"/>
      </w:pPr>
    </w:lvl>
  </w:abstractNum>
  <w:abstractNum w:abstractNumId="4">
    <w:nsid w:val="FFFFFF7F"/>
    <w:multiLevelType w:val="singleLevel"/>
    <w:tmpl w:val="FFFFFF7F"/>
    <w:lvl w:ilvl="0" w:tentative="0">
      <w:start w:val="1"/>
      <w:numFmt w:val="decimal"/>
      <w:pStyle w:val="15"/>
      <w:lvlText w:val="%1."/>
      <w:lvlJc w:val="left"/>
      <w:pPr>
        <w:tabs>
          <w:tab w:val="left" w:pos="720"/>
        </w:tabs>
        <w:ind w:left="720" w:hanging="360"/>
      </w:pPr>
    </w:lvl>
  </w:abstractNum>
  <w:abstractNum w:abstractNumId="5">
    <w:nsid w:val="FFFFFF82"/>
    <w:multiLevelType w:val="singleLevel"/>
    <w:tmpl w:val="FFFFFF82"/>
    <w:lvl w:ilvl="0" w:tentative="0">
      <w:start w:val="1"/>
      <w:numFmt w:val="bullet"/>
      <w:pStyle w:val="21"/>
      <w:lvlText w:val=""/>
      <w:lvlJc w:val="left"/>
      <w:pPr>
        <w:tabs>
          <w:tab w:val="left" w:pos="1080"/>
        </w:tabs>
        <w:ind w:left="1080" w:hanging="360"/>
      </w:pPr>
      <w:rPr>
        <w:rFonts w:hint="default" w:ascii="Symbol" w:hAnsi="Symbol"/>
      </w:rPr>
    </w:lvl>
  </w:abstractNum>
  <w:abstractNum w:abstractNumId="6">
    <w:nsid w:val="FFFFFF83"/>
    <w:multiLevelType w:val="singleLevel"/>
    <w:tmpl w:val="FFFFFF83"/>
    <w:lvl w:ilvl="0" w:tentative="0">
      <w:start w:val="1"/>
      <w:numFmt w:val="bullet"/>
      <w:pStyle w:val="27"/>
      <w:lvlText w:val=""/>
      <w:lvlJc w:val="left"/>
      <w:pPr>
        <w:tabs>
          <w:tab w:val="left" w:pos="720"/>
        </w:tabs>
        <w:ind w:left="720" w:hanging="360"/>
      </w:pPr>
      <w:rPr>
        <w:rFonts w:hint="default" w:ascii="Symbol" w:hAnsi="Symbol"/>
      </w:rPr>
    </w:lvl>
  </w:abstractNum>
  <w:abstractNum w:abstractNumId="7">
    <w:nsid w:val="FFFFFF88"/>
    <w:multiLevelType w:val="singleLevel"/>
    <w:tmpl w:val="FFFFFF88"/>
    <w:lvl w:ilvl="0" w:tentative="0">
      <w:start w:val="1"/>
      <w:numFmt w:val="decimal"/>
      <w:pStyle w:val="16"/>
      <w:lvlText w:val="%1."/>
      <w:lvlJc w:val="left"/>
      <w:pPr>
        <w:tabs>
          <w:tab w:val="left" w:pos="360"/>
        </w:tabs>
        <w:ind w:left="360" w:hanging="360"/>
      </w:pPr>
    </w:lvl>
  </w:abstractNum>
  <w:abstractNum w:abstractNumId="8">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9">
    <w:nsid w:val="433F00E0"/>
    <w:multiLevelType w:val="multilevel"/>
    <w:tmpl w:val="433F00E0"/>
    <w:lvl w:ilvl="0" w:tentative="0">
      <w:start w:val="1"/>
      <w:numFmt w:val="decimal"/>
      <w:pStyle w:val="172"/>
      <w:suff w:val="nothing"/>
      <w:lvlText w:val="（%1）"/>
      <w:lvlJc w:val="left"/>
      <w:pPr>
        <w:ind w:left="1413"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4"/>
  </w:num>
  <w:num w:numId="2">
    <w:abstractNumId w:val="7"/>
  </w:num>
  <w:num w:numId="3">
    <w:abstractNumId w:val="8"/>
  </w:num>
  <w:num w:numId="4">
    <w:abstractNumId w:val="5"/>
  </w:num>
  <w:num w:numId="5">
    <w:abstractNumId w:val="3"/>
  </w:num>
  <w:num w:numId="6">
    <w:abstractNumId w:val="6"/>
  </w:num>
  <w:num w:numId="7">
    <w:abstractNumId w:val="9"/>
  </w:num>
  <w:num w:numId="8">
    <w:abstractNumId w:val="1"/>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3ZGYyMzQ2ODU5MTM2M2Q5ZTM2MjRkMmUwOTYxOWUifQ=="/>
  </w:docVars>
  <w:rsids>
    <w:rsidRoot w:val="00B47730"/>
    <w:rsid w:val="00034616"/>
    <w:rsid w:val="0006063C"/>
    <w:rsid w:val="0015074B"/>
    <w:rsid w:val="0029639D"/>
    <w:rsid w:val="00326F90"/>
    <w:rsid w:val="0039276B"/>
    <w:rsid w:val="005F224A"/>
    <w:rsid w:val="008369C7"/>
    <w:rsid w:val="009C7AE2"/>
    <w:rsid w:val="00AA1D8D"/>
    <w:rsid w:val="00B47730"/>
    <w:rsid w:val="00CB0664"/>
    <w:rsid w:val="00FC693F"/>
    <w:rsid w:val="015A556D"/>
    <w:rsid w:val="039B035C"/>
    <w:rsid w:val="03C142B6"/>
    <w:rsid w:val="03DC6164"/>
    <w:rsid w:val="04BF5B95"/>
    <w:rsid w:val="05B922DB"/>
    <w:rsid w:val="06247180"/>
    <w:rsid w:val="08CA0C86"/>
    <w:rsid w:val="0A4A3DA1"/>
    <w:rsid w:val="0ADE0A96"/>
    <w:rsid w:val="0B9760F9"/>
    <w:rsid w:val="0D32706A"/>
    <w:rsid w:val="0F553938"/>
    <w:rsid w:val="106611D9"/>
    <w:rsid w:val="113329E6"/>
    <w:rsid w:val="117F262B"/>
    <w:rsid w:val="12A90D4E"/>
    <w:rsid w:val="12C56763"/>
    <w:rsid w:val="12EA542F"/>
    <w:rsid w:val="15901876"/>
    <w:rsid w:val="15B1627B"/>
    <w:rsid w:val="172A7912"/>
    <w:rsid w:val="1990077F"/>
    <w:rsid w:val="1BE71C78"/>
    <w:rsid w:val="1C0973E6"/>
    <w:rsid w:val="1F3C1C4F"/>
    <w:rsid w:val="1F5F6D41"/>
    <w:rsid w:val="202408C8"/>
    <w:rsid w:val="205F522A"/>
    <w:rsid w:val="210C0BC6"/>
    <w:rsid w:val="229B3C09"/>
    <w:rsid w:val="22BF180F"/>
    <w:rsid w:val="22E24F49"/>
    <w:rsid w:val="24392B0D"/>
    <w:rsid w:val="24A75DD1"/>
    <w:rsid w:val="24AB1841"/>
    <w:rsid w:val="24F414B1"/>
    <w:rsid w:val="25AF67D6"/>
    <w:rsid w:val="25D77D3F"/>
    <w:rsid w:val="25E54A8E"/>
    <w:rsid w:val="26B26BA7"/>
    <w:rsid w:val="27372964"/>
    <w:rsid w:val="27BD3A55"/>
    <w:rsid w:val="28357004"/>
    <w:rsid w:val="2994584A"/>
    <w:rsid w:val="2BE26EA2"/>
    <w:rsid w:val="2C5F3B91"/>
    <w:rsid w:val="2D056703"/>
    <w:rsid w:val="2D26536C"/>
    <w:rsid w:val="2DA44891"/>
    <w:rsid w:val="2F1B706F"/>
    <w:rsid w:val="2F1D0548"/>
    <w:rsid w:val="2F6E5F01"/>
    <w:rsid w:val="2FF57743"/>
    <w:rsid w:val="30286D46"/>
    <w:rsid w:val="31321010"/>
    <w:rsid w:val="313F5CD8"/>
    <w:rsid w:val="3225199F"/>
    <w:rsid w:val="335911B0"/>
    <w:rsid w:val="347B53E1"/>
    <w:rsid w:val="34813790"/>
    <w:rsid w:val="34B64844"/>
    <w:rsid w:val="3543266F"/>
    <w:rsid w:val="35A3178F"/>
    <w:rsid w:val="35BA5B31"/>
    <w:rsid w:val="35C02C5D"/>
    <w:rsid w:val="36710DAA"/>
    <w:rsid w:val="374D3D49"/>
    <w:rsid w:val="377C3B60"/>
    <w:rsid w:val="381A7AE8"/>
    <w:rsid w:val="386E2923"/>
    <w:rsid w:val="39577622"/>
    <w:rsid w:val="397720D5"/>
    <w:rsid w:val="399036C4"/>
    <w:rsid w:val="3AA1560E"/>
    <w:rsid w:val="3D3FEA48"/>
    <w:rsid w:val="3DAB702F"/>
    <w:rsid w:val="3DBFD295"/>
    <w:rsid w:val="3DF35805"/>
    <w:rsid w:val="3E543B04"/>
    <w:rsid w:val="3E9B6EC4"/>
    <w:rsid w:val="3EBA3A53"/>
    <w:rsid w:val="40E40ADC"/>
    <w:rsid w:val="411538B7"/>
    <w:rsid w:val="41536D26"/>
    <w:rsid w:val="41BE02EE"/>
    <w:rsid w:val="41EB7473"/>
    <w:rsid w:val="41F027BE"/>
    <w:rsid w:val="420A5259"/>
    <w:rsid w:val="43F67691"/>
    <w:rsid w:val="44DB5B25"/>
    <w:rsid w:val="455507B5"/>
    <w:rsid w:val="45A307A5"/>
    <w:rsid w:val="45A40BA1"/>
    <w:rsid w:val="45A73923"/>
    <w:rsid w:val="469F2EE7"/>
    <w:rsid w:val="47091014"/>
    <w:rsid w:val="4709160B"/>
    <w:rsid w:val="472B3D0B"/>
    <w:rsid w:val="476165B4"/>
    <w:rsid w:val="480333C8"/>
    <w:rsid w:val="48153C8D"/>
    <w:rsid w:val="48482E26"/>
    <w:rsid w:val="4875046F"/>
    <w:rsid w:val="48D90193"/>
    <w:rsid w:val="491E21A3"/>
    <w:rsid w:val="49B06B72"/>
    <w:rsid w:val="49F927E9"/>
    <w:rsid w:val="4A695CBB"/>
    <w:rsid w:val="4AEF402B"/>
    <w:rsid w:val="4B5410CE"/>
    <w:rsid w:val="4C0D4686"/>
    <w:rsid w:val="4D5C393A"/>
    <w:rsid w:val="4E737776"/>
    <w:rsid w:val="4F884709"/>
    <w:rsid w:val="4FC375E6"/>
    <w:rsid w:val="502A0955"/>
    <w:rsid w:val="5257047F"/>
    <w:rsid w:val="529C7846"/>
    <w:rsid w:val="537D6985"/>
    <w:rsid w:val="53ED7FA3"/>
    <w:rsid w:val="548B5756"/>
    <w:rsid w:val="562D069E"/>
    <w:rsid w:val="5656504D"/>
    <w:rsid w:val="56A9ACE5"/>
    <w:rsid w:val="574D52F6"/>
    <w:rsid w:val="57F124B8"/>
    <w:rsid w:val="586B0DA0"/>
    <w:rsid w:val="5B5150A4"/>
    <w:rsid w:val="5DCB56DF"/>
    <w:rsid w:val="5E4C798F"/>
    <w:rsid w:val="5E75216F"/>
    <w:rsid w:val="5F165949"/>
    <w:rsid w:val="5F1C45FF"/>
    <w:rsid w:val="5FEFBD42"/>
    <w:rsid w:val="62BB227D"/>
    <w:rsid w:val="62CE77B1"/>
    <w:rsid w:val="63A6046B"/>
    <w:rsid w:val="64690EAB"/>
    <w:rsid w:val="64F50F92"/>
    <w:rsid w:val="6653074D"/>
    <w:rsid w:val="678C0E2E"/>
    <w:rsid w:val="68860CA5"/>
    <w:rsid w:val="69281BE2"/>
    <w:rsid w:val="6A177E9C"/>
    <w:rsid w:val="6A5C38C9"/>
    <w:rsid w:val="6BBC5FCE"/>
    <w:rsid w:val="6BD25936"/>
    <w:rsid w:val="6FBD2579"/>
    <w:rsid w:val="6FED3F9B"/>
    <w:rsid w:val="701139EA"/>
    <w:rsid w:val="703B2526"/>
    <w:rsid w:val="70712FCD"/>
    <w:rsid w:val="72014FA3"/>
    <w:rsid w:val="720472B3"/>
    <w:rsid w:val="72E4478C"/>
    <w:rsid w:val="74B344DD"/>
    <w:rsid w:val="755F72B5"/>
    <w:rsid w:val="75C51121"/>
    <w:rsid w:val="75DF8964"/>
    <w:rsid w:val="75F106A5"/>
    <w:rsid w:val="761942CF"/>
    <w:rsid w:val="773A2CDF"/>
    <w:rsid w:val="787B4E47"/>
    <w:rsid w:val="78EF290F"/>
    <w:rsid w:val="79EFCB93"/>
    <w:rsid w:val="7B1D2D88"/>
    <w:rsid w:val="7B4D01D8"/>
    <w:rsid w:val="7BBE4424"/>
    <w:rsid w:val="7CE1176F"/>
    <w:rsid w:val="7DFB6C40"/>
    <w:rsid w:val="7E8A62A7"/>
    <w:rsid w:val="7EDEDA8C"/>
    <w:rsid w:val="7EE782B8"/>
    <w:rsid w:val="7F1BE675"/>
    <w:rsid w:val="7F7794D2"/>
    <w:rsid w:val="7F791B22"/>
    <w:rsid w:val="7F830290"/>
    <w:rsid w:val="7FB72751"/>
    <w:rsid w:val="7FBE09FF"/>
    <w:rsid w:val="7FC06324"/>
    <w:rsid w:val="7FDD7A24"/>
    <w:rsid w:val="7FE4AF14"/>
    <w:rsid w:val="94FDBBE8"/>
    <w:rsid w:val="D62B9F93"/>
    <w:rsid w:val="DAFE3163"/>
    <w:rsid w:val="E66F5834"/>
    <w:rsid w:val="F7F3DB23"/>
    <w:rsid w:val="FB7363AC"/>
    <w:rsid w:val="FDC2730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next w:val="2"/>
    <w:qFormat/>
    <w:uiPriority w:val="0"/>
    <w:pPr>
      <w:spacing w:after="200" w:line="276" w:lineRule="auto"/>
    </w:pPr>
    <w:rPr>
      <w:rFonts w:ascii="Times New Roman" w:hAnsi="Times New Roman" w:eastAsia="宋体" w:cstheme="minorBidi"/>
      <w:sz w:val="22"/>
      <w:szCs w:val="22"/>
      <w:lang w:val="en-US" w:eastAsia="en-US" w:bidi="ar-SA"/>
    </w:rPr>
  </w:style>
  <w:style w:type="paragraph" w:styleId="5">
    <w:name w:val="heading 1"/>
    <w:basedOn w:val="1"/>
    <w:next w:val="1"/>
    <w:link w:val="141"/>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6">
    <w:name w:val="heading 2"/>
    <w:basedOn w:val="1"/>
    <w:next w:val="1"/>
    <w:link w:val="142"/>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7">
    <w:name w:val="heading 3"/>
    <w:basedOn w:val="1"/>
    <w:next w:val="1"/>
    <w:link w:val="143"/>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8">
    <w:name w:val="heading 4"/>
    <w:basedOn w:val="1"/>
    <w:next w:val="1"/>
    <w:link w:val="153"/>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9">
    <w:name w:val="heading 5"/>
    <w:basedOn w:val="1"/>
    <w:next w:val="1"/>
    <w:link w:val="154"/>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10">
    <w:name w:val="heading 6"/>
    <w:basedOn w:val="1"/>
    <w:next w:val="1"/>
    <w:link w:val="155"/>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11">
    <w:name w:val="heading 7"/>
    <w:basedOn w:val="1"/>
    <w:next w:val="1"/>
    <w:link w:val="156"/>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2">
    <w:name w:val="heading 8"/>
    <w:basedOn w:val="1"/>
    <w:next w:val="1"/>
    <w:link w:val="157"/>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3">
    <w:name w:val="heading 9"/>
    <w:basedOn w:val="1"/>
    <w:next w:val="1"/>
    <w:link w:val="158"/>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5">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spacing w:line="360" w:lineRule="auto"/>
      <w:ind w:firstLine="200" w:firstLineChars="200"/>
    </w:pPr>
  </w:style>
  <w:style w:type="paragraph" w:styleId="3">
    <w:name w:val="Body Text Indent"/>
    <w:basedOn w:val="1"/>
    <w:unhideWhenUsed/>
    <w:qFormat/>
    <w:uiPriority w:val="99"/>
    <w:pPr>
      <w:spacing w:after="120"/>
      <w:ind w:left="420" w:leftChars="200"/>
    </w:pPr>
  </w:style>
  <w:style w:type="paragraph" w:styleId="4">
    <w:name w:val="macro"/>
    <w:link w:val="150"/>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4">
    <w:name w:val="List 3"/>
    <w:basedOn w:val="1"/>
    <w:unhideWhenUsed/>
    <w:qFormat/>
    <w:uiPriority w:val="99"/>
    <w:pPr>
      <w:ind w:left="1080" w:hanging="360"/>
      <w:contextualSpacing/>
    </w:pPr>
  </w:style>
  <w:style w:type="paragraph" w:styleId="15">
    <w:name w:val="List Number 2"/>
    <w:basedOn w:val="1"/>
    <w:unhideWhenUsed/>
    <w:qFormat/>
    <w:uiPriority w:val="99"/>
    <w:pPr>
      <w:numPr>
        <w:ilvl w:val="0"/>
        <w:numId w:val="1"/>
      </w:numPr>
      <w:contextualSpacing/>
    </w:pPr>
  </w:style>
  <w:style w:type="paragraph" w:styleId="16">
    <w:name w:val="List Number"/>
    <w:basedOn w:val="1"/>
    <w:unhideWhenUsed/>
    <w:qFormat/>
    <w:uiPriority w:val="99"/>
    <w:pPr>
      <w:numPr>
        <w:ilvl w:val="0"/>
        <w:numId w:val="2"/>
      </w:numPr>
      <w:contextualSpacing/>
    </w:pPr>
  </w:style>
  <w:style w:type="paragraph" w:styleId="1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8">
    <w:name w:val="List Bullet"/>
    <w:basedOn w:val="1"/>
    <w:unhideWhenUsed/>
    <w:qFormat/>
    <w:uiPriority w:val="99"/>
    <w:pPr>
      <w:numPr>
        <w:ilvl w:val="0"/>
        <w:numId w:val="3"/>
      </w:numPr>
      <w:contextualSpacing/>
    </w:pPr>
  </w:style>
  <w:style w:type="paragraph" w:styleId="19">
    <w:name w:val="annotation text"/>
    <w:basedOn w:val="1"/>
    <w:semiHidden/>
    <w:unhideWhenUsed/>
    <w:qFormat/>
    <w:uiPriority w:val="99"/>
    <w:pPr>
      <w:jc w:val="left"/>
    </w:pPr>
  </w:style>
  <w:style w:type="paragraph" w:styleId="20">
    <w:name w:val="Body Text 3"/>
    <w:basedOn w:val="1"/>
    <w:link w:val="149"/>
    <w:unhideWhenUsed/>
    <w:qFormat/>
    <w:uiPriority w:val="99"/>
    <w:pPr>
      <w:spacing w:after="120"/>
    </w:pPr>
    <w:rPr>
      <w:sz w:val="16"/>
      <w:szCs w:val="16"/>
    </w:rPr>
  </w:style>
  <w:style w:type="paragraph" w:styleId="21">
    <w:name w:val="List Bullet 3"/>
    <w:basedOn w:val="1"/>
    <w:unhideWhenUsed/>
    <w:qFormat/>
    <w:uiPriority w:val="99"/>
    <w:pPr>
      <w:numPr>
        <w:ilvl w:val="0"/>
        <w:numId w:val="4"/>
      </w:numPr>
      <w:contextualSpacing/>
    </w:pPr>
  </w:style>
  <w:style w:type="paragraph" w:styleId="22">
    <w:name w:val="Body Text"/>
    <w:basedOn w:val="1"/>
    <w:next w:val="23"/>
    <w:link w:val="147"/>
    <w:unhideWhenUsed/>
    <w:qFormat/>
    <w:uiPriority w:val="99"/>
    <w:pPr>
      <w:spacing w:after="120"/>
    </w:pPr>
  </w:style>
  <w:style w:type="paragraph" w:styleId="23">
    <w:name w:val="Body Text 2"/>
    <w:basedOn w:val="1"/>
    <w:link w:val="148"/>
    <w:unhideWhenUsed/>
    <w:qFormat/>
    <w:uiPriority w:val="99"/>
    <w:pPr>
      <w:spacing w:after="120" w:line="480" w:lineRule="auto"/>
    </w:pPr>
  </w:style>
  <w:style w:type="paragraph" w:styleId="24">
    <w:name w:val="List Number 3"/>
    <w:basedOn w:val="1"/>
    <w:unhideWhenUsed/>
    <w:qFormat/>
    <w:uiPriority w:val="99"/>
    <w:pPr>
      <w:numPr>
        <w:ilvl w:val="0"/>
        <w:numId w:val="5"/>
      </w:numPr>
      <w:contextualSpacing/>
    </w:pPr>
  </w:style>
  <w:style w:type="paragraph" w:styleId="25">
    <w:name w:val="List 2"/>
    <w:basedOn w:val="1"/>
    <w:unhideWhenUsed/>
    <w:qFormat/>
    <w:uiPriority w:val="99"/>
    <w:pPr>
      <w:ind w:left="720" w:hanging="360"/>
      <w:contextualSpacing/>
    </w:pPr>
  </w:style>
  <w:style w:type="paragraph" w:styleId="26">
    <w:name w:val="List Continue"/>
    <w:basedOn w:val="1"/>
    <w:unhideWhenUsed/>
    <w:qFormat/>
    <w:uiPriority w:val="99"/>
    <w:pPr>
      <w:spacing w:after="120"/>
      <w:ind w:left="360"/>
      <w:contextualSpacing/>
    </w:pPr>
  </w:style>
  <w:style w:type="paragraph" w:styleId="27">
    <w:name w:val="List Bullet 2"/>
    <w:basedOn w:val="1"/>
    <w:unhideWhenUsed/>
    <w:qFormat/>
    <w:uiPriority w:val="99"/>
    <w:pPr>
      <w:numPr>
        <w:ilvl w:val="0"/>
        <w:numId w:val="6"/>
      </w:numPr>
      <w:contextualSpacing/>
    </w:pPr>
  </w:style>
  <w:style w:type="paragraph" w:styleId="28">
    <w:name w:val="footer"/>
    <w:basedOn w:val="1"/>
    <w:link w:val="139"/>
    <w:unhideWhenUsed/>
    <w:qFormat/>
    <w:uiPriority w:val="99"/>
    <w:pPr>
      <w:tabs>
        <w:tab w:val="center" w:pos="4680"/>
        <w:tab w:val="right" w:pos="9360"/>
      </w:tabs>
      <w:spacing w:after="0" w:line="240" w:lineRule="auto"/>
    </w:pPr>
  </w:style>
  <w:style w:type="paragraph" w:styleId="29">
    <w:name w:val="header"/>
    <w:basedOn w:val="1"/>
    <w:link w:val="138"/>
    <w:unhideWhenUsed/>
    <w:qFormat/>
    <w:uiPriority w:val="99"/>
    <w:pPr>
      <w:tabs>
        <w:tab w:val="center" w:pos="4680"/>
        <w:tab w:val="right" w:pos="9360"/>
      </w:tabs>
      <w:spacing w:after="0" w:line="240" w:lineRule="auto"/>
    </w:pPr>
  </w:style>
  <w:style w:type="paragraph" w:styleId="30">
    <w:name w:val="Subtitle"/>
    <w:basedOn w:val="1"/>
    <w:next w:val="1"/>
    <w:link w:val="145"/>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31">
    <w:name w:val="List"/>
    <w:basedOn w:val="1"/>
    <w:unhideWhenUsed/>
    <w:qFormat/>
    <w:uiPriority w:val="99"/>
    <w:pPr>
      <w:ind w:left="360" w:hanging="360"/>
      <w:contextualSpacing/>
    </w:pPr>
  </w:style>
  <w:style w:type="paragraph" w:styleId="32">
    <w:name w:val="List Continue 2"/>
    <w:basedOn w:val="1"/>
    <w:unhideWhenUsed/>
    <w:qFormat/>
    <w:uiPriority w:val="99"/>
    <w:pPr>
      <w:spacing w:after="120"/>
      <w:ind w:left="720"/>
      <w:contextualSpacing/>
    </w:pPr>
  </w:style>
  <w:style w:type="paragraph" w:styleId="33">
    <w:name w:val="List Continue 3"/>
    <w:basedOn w:val="1"/>
    <w:unhideWhenUsed/>
    <w:qFormat/>
    <w:uiPriority w:val="99"/>
    <w:pPr>
      <w:spacing w:after="120"/>
      <w:ind w:left="1080"/>
      <w:contextualSpacing/>
    </w:pPr>
  </w:style>
  <w:style w:type="paragraph" w:styleId="34">
    <w:name w:val="Title"/>
    <w:basedOn w:val="1"/>
    <w:next w:val="1"/>
    <w:link w:val="144"/>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6">
    <w:name w:val="Table Grid"/>
    <w:basedOn w:val="3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7">
    <w:name w:val="Light Shading"/>
    <w:basedOn w:val="35"/>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8">
    <w:name w:val="Light Shading Accent 1"/>
    <w:basedOn w:val="35"/>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9">
    <w:name w:val="Light Shading Accent 2"/>
    <w:basedOn w:val="35"/>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0">
    <w:name w:val="Light Shading Accent 3"/>
    <w:basedOn w:val="35"/>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1">
    <w:name w:val="Light Shading Accent 4"/>
    <w:basedOn w:val="35"/>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2">
    <w:name w:val="Light Shading Accent 5"/>
    <w:basedOn w:val="35"/>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3">
    <w:name w:val="Light Shading Accent 6"/>
    <w:basedOn w:val="35"/>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4">
    <w:name w:val="Light List"/>
    <w:basedOn w:val="35"/>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5">
    <w:name w:val="Light List Accent 1"/>
    <w:basedOn w:val="35"/>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6">
    <w:name w:val="Light List Accent 2"/>
    <w:basedOn w:val="35"/>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7">
    <w:name w:val="Light List Accent 3"/>
    <w:basedOn w:val="35"/>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8">
    <w:name w:val="Light List Accent 4"/>
    <w:basedOn w:val="35"/>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9">
    <w:name w:val="Light List Accent 5"/>
    <w:basedOn w:val="35"/>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0">
    <w:name w:val="Light List Accent 6"/>
    <w:basedOn w:val="35"/>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1">
    <w:name w:val="Light Grid"/>
    <w:basedOn w:val="35"/>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2">
    <w:name w:val="Light Grid Accent 1"/>
    <w:basedOn w:val="35"/>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3">
    <w:name w:val="Light Grid Accent 2"/>
    <w:basedOn w:val="35"/>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4">
    <w:name w:val="Light Grid Accent 3"/>
    <w:basedOn w:val="35"/>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5">
    <w:name w:val="Light Grid Accent 4"/>
    <w:basedOn w:val="35"/>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6">
    <w:name w:val="Light Grid Accent 5"/>
    <w:basedOn w:val="35"/>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7">
    <w:name w:val="Light Grid Accent 6"/>
    <w:basedOn w:val="35"/>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8">
    <w:name w:val="Medium Shading 1"/>
    <w:basedOn w:val="35"/>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9">
    <w:name w:val="Medium Shading 1 Accent 1"/>
    <w:basedOn w:val="35"/>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0">
    <w:name w:val="Medium Shading 1 Accent 2"/>
    <w:basedOn w:val="35"/>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1">
    <w:name w:val="Medium Shading 1 Accent 3"/>
    <w:basedOn w:val="35"/>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2">
    <w:name w:val="Medium Shading 1 Accent 4"/>
    <w:basedOn w:val="35"/>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3">
    <w:name w:val="Medium Shading 1 Accent 5"/>
    <w:basedOn w:val="35"/>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4">
    <w:name w:val="Medium Shading 1 Accent 6"/>
    <w:basedOn w:val="35"/>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5">
    <w:name w:val="Medium Shading 2"/>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1"/>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2"/>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3"/>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4"/>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5"/>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Shading 2 Accent 6"/>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2">
    <w:name w:val="Medium List 1"/>
    <w:basedOn w:val="35"/>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3">
    <w:name w:val="Medium List 1 Accent 1"/>
    <w:basedOn w:val="35"/>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4">
    <w:name w:val="Medium List 1 Accent 2"/>
    <w:basedOn w:val="35"/>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5">
    <w:name w:val="Medium List 1 Accent 3"/>
    <w:basedOn w:val="35"/>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6">
    <w:name w:val="Medium List 1 Accent 4"/>
    <w:basedOn w:val="35"/>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7">
    <w:name w:val="Medium List 1 Accent 5"/>
    <w:basedOn w:val="35"/>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8">
    <w:name w:val="Medium List 1 Accent 6"/>
    <w:basedOn w:val="35"/>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9">
    <w:name w:val="Medium List 2"/>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1"/>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2"/>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3"/>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4"/>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5"/>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List 2 Accent 6"/>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Grid 1"/>
    <w:basedOn w:val="35"/>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7">
    <w:name w:val="Medium Grid 1 Accent 1"/>
    <w:basedOn w:val="35"/>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8">
    <w:name w:val="Medium Grid 1 Accent 2"/>
    <w:basedOn w:val="35"/>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9">
    <w:name w:val="Medium Grid 1 Accent 3"/>
    <w:basedOn w:val="35"/>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0">
    <w:name w:val="Medium Grid 1 Accent 4"/>
    <w:basedOn w:val="35"/>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1">
    <w:name w:val="Medium Grid 1 Accent 5"/>
    <w:basedOn w:val="35"/>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2">
    <w:name w:val="Medium Grid 1 Accent 6"/>
    <w:basedOn w:val="35"/>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3">
    <w:name w:val="Medium Grid 2"/>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4">
    <w:name w:val="Medium Grid 2 Accent 1"/>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5">
    <w:name w:val="Medium Grid 2 Accent 2"/>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6">
    <w:name w:val="Medium Grid 2 Accent 3"/>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7">
    <w:name w:val="Medium Grid 2 Accent 4"/>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8">
    <w:name w:val="Medium Grid 2 Accent 5"/>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9">
    <w:name w:val="Medium Grid 2 Accent 6"/>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1">
    <w:name w:val="Medium Grid 3 Accent 1"/>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2">
    <w:name w:val="Medium Grid 3 Accent 2"/>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3">
    <w:name w:val="Medium Grid 3 Accent 3"/>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4">
    <w:name w:val="Medium Grid 3 Accent 4"/>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5">
    <w:name w:val="Medium Grid 3 Accent 5"/>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6">
    <w:name w:val="Medium Grid 3 Accent 6"/>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7">
    <w:name w:val="Dark List"/>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8">
    <w:name w:val="Dark List Accent 1"/>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9">
    <w:name w:val="Dark List Accent 2"/>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0">
    <w:name w:val="Dark List Accent 3"/>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1">
    <w:name w:val="Dark List Accent 4"/>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2">
    <w:name w:val="Dark List Accent 5"/>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3">
    <w:name w:val="Dark List Accent 6"/>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4">
    <w:name w:val="Colorful Shading"/>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1"/>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2"/>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3"/>
    <w:basedOn w:val="35"/>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8">
    <w:name w:val="Colorful Shading Accent 4"/>
    <w:basedOn w:val="35"/>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5"/>
    <w:basedOn w:val="35"/>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Shading Accent 6"/>
    <w:basedOn w:val="35"/>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List"/>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2">
    <w:name w:val="Colorful List Accent 1"/>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3">
    <w:name w:val="Colorful List Accent 2"/>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4">
    <w:name w:val="Colorful List Accent 3"/>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5">
    <w:name w:val="Colorful List Accent 4"/>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6">
    <w:name w:val="Colorful List Accent 5"/>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7">
    <w:name w:val="Colorful List Accent 6"/>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8">
    <w:name w:val="Colorful Grid"/>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9">
    <w:name w:val="Colorful Grid Accent 1"/>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0">
    <w:name w:val="Colorful Grid Accent 2"/>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Colorful Grid Accent 3"/>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2">
    <w:name w:val="Colorful Grid Accent 4"/>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3">
    <w:name w:val="Colorful Grid Accent 5"/>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4">
    <w:name w:val="Colorful Grid Accent 6"/>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6">
    <w:name w:val="Strong"/>
    <w:basedOn w:val="135"/>
    <w:qFormat/>
    <w:uiPriority w:val="22"/>
    <w:rPr>
      <w:b/>
      <w:bCs/>
    </w:rPr>
  </w:style>
  <w:style w:type="character" w:styleId="137">
    <w:name w:val="Emphasis"/>
    <w:basedOn w:val="135"/>
    <w:qFormat/>
    <w:uiPriority w:val="20"/>
    <w:rPr>
      <w:i/>
      <w:iCs/>
    </w:rPr>
  </w:style>
  <w:style w:type="character" w:customStyle="1" w:styleId="138">
    <w:name w:val="Header Char"/>
    <w:basedOn w:val="135"/>
    <w:link w:val="29"/>
    <w:qFormat/>
    <w:uiPriority w:val="99"/>
  </w:style>
  <w:style w:type="character" w:customStyle="1" w:styleId="139">
    <w:name w:val="Footer Char"/>
    <w:basedOn w:val="135"/>
    <w:link w:val="28"/>
    <w:qFormat/>
    <w:uiPriority w:val="99"/>
  </w:style>
  <w:style w:type="paragraph" w:styleId="140">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41">
    <w:name w:val="Heading 1 Char"/>
    <w:basedOn w:val="135"/>
    <w:link w:val="5"/>
    <w:qFormat/>
    <w:uiPriority w:val="9"/>
    <w:rPr>
      <w:rFonts w:asciiTheme="majorHAnsi" w:hAnsiTheme="majorHAnsi" w:eastAsiaTheme="majorEastAsia" w:cstheme="majorBidi"/>
      <w:b/>
      <w:bCs/>
      <w:color w:val="376092" w:themeColor="accent1" w:themeShade="BF"/>
      <w:sz w:val="28"/>
      <w:szCs w:val="28"/>
    </w:rPr>
  </w:style>
  <w:style w:type="character" w:customStyle="1" w:styleId="142">
    <w:name w:val="Heading 2 Char"/>
    <w:basedOn w:val="135"/>
    <w:link w:val="6"/>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3">
    <w:name w:val="Heading 3 Char"/>
    <w:basedOn w:val="135"/>
    <w:link w:val="7"/>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4">
    <w:name w:val="Title Char"/>
    <w:basedOn w:val="135"/>
    <w:link w:val="34"/>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5">
    <w:name w:val="Subtitle Char"/>
    <w:basedOn w:val="135"/>
    <w:link w:val="30"/>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6">
    <w:name w:val="List Paragraph"/>
    <w:basedOn w:val="1"/>
    <w:qFormat/>
    <w:uiPriority w:val="34"/>
    <w:pPr>
      <w:ind w:left="720"/>
      <w:contextualSpacing/>
    </w:pPr>
  </w:style>
  <w:style w:type="character" w:customStyle="1" w:styleId="147">
    <w:name w:val="Body Text Char"/>
    <w:basedOn w:val="135"/>
    <w:link w:val="22"/>
    <w:qFormat/>
    <w:uiPriority w:val="99"/>
  </w:style>
  <w:style w:type="character" w:customStyle="1" w:styleId="148">
    <w:name w:val="Body Text 2 Char"/>
    <w:basedOn w:val="135"/>
    <w:link w:val="23"/>
    <w:qFormat/>
    <w:uiPriority w:val="99"/>
  </w:style>
  <w:style w:type="character" w:customStyle="1" w:styleId="149">
    <w:name w:val="Body Text 3 Char"/>
    <w:basedOn w:val="135"/>
    <w:link w:val="20"/>
    <w:qFormat/>
    <w:uiPriority w:val="99"/>
    <w:rPr>
      <w:sz w:val="16"/>
      <w:szCs w:val="16"/>
    </w:rPr>
  </w:style>
  <w:style w:type="character" w:customStyle="1" w:styleId="150">
    <w:name w:val="Macro Text Char"/>
    <w:basedOn w:val="135"/>
    <w:link w:val="4"/>
    <w:qFormat/>
    <w:uiPriority w:val="99"/>
    <w:rPr>
      <w:rFonts w:ascii="Courier" w:hAnsi="Courier"/>
      <w:sz w:val="20"/>
      <w:szCs w:val="20"/>
    </w:rPr>
  </w:style>
  <w:style w:type="paragraph" w:styleId="151">
    <w:name w:val="Quote"/>
    <w:basedOn w:val="1"/>
    <w:next w:val="1"/>
    <w:link w:val="152"/>
    <w:qFormat/>
    <w:uiPriority w:val="29"/>
    <w:rPr>
      <w:i/>
      <w:iCs/>
      <w:color w:val="000000" w:themeColor="text1"/>
      <w14:textFill>
        <w14:solidFill>
          <w14:schemeClr w14:val="tx1"/>
        </w14:solidFill>
      </w14:textFill>
    </w:rPr>
  </w:style>
  <w:style w:type="character" w:customStyle="1" w:styleId="152">
    <w:name w:val="Quote Char"/>
    <w:basedOn w:val="135"/>
    <w:link w:val="151"/>
    <w:qFormat/>
    <w:uiPriority w:val="29"/>
    <w:rPr>
      <w:i/>
      <w:iCs/>
      <w:color w:val="000000" w:themeColor="text1"/>
      <w14:textFill>
        <w14:solidFill>
          <w14:schemeClr w14:val="tx1"/>
        </w14:solidFill>
      </w14:textFill>
    </w:rPr>
  </w:style>
  <w:style w:type="character" w:customStyle="1" w:styleId="153">
    <w:name w:val="Heading 4 Char"/>
    <w:basedOn w:val="135"/>
    <w:link w:val="8"/>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4">
    <w:name w:val="Heading 5 Char"/>
    <w:basedOn w:val="135"/>
    <w:link w:val="9"/>
    <w:semiHidden/>
    <w:qFormat/>
    <w:uiPriority w:val="9"/>
    <w:rPr>
      <w:rFonts w:asciiTheme="majorHAnsi" w:hAnsiTheme="majorHAnsi" w:eastAsiaTheme="majorEastAsia" w:cstheme="majorBidi"/>
      <w:color w:val="254061" w:themeColor="accent1" w:themeShade="80"/>
    </w:rPr>
  </w:style>
  <w:style w:type="character" w:customStyle="1" w:styleId="155">
    <w:name w:val="Heading 6 Char"/>
    <w:basedOn w:val="135"/>
    <w:link w:val="10"/>
    <w:semiHidden/>
    <w:qFormat/>
    <w:uiPriority w:val="9"/>
    <w:rPr>
      <w:rFonts w:asciiTheme="majorHAnsi" w:hAnsiTheme="majorHAnsi" w:eastAsiaTheme="majorEastAsia" w:cstheme="majorBidi"/>
      <w:i/>
      <w:iCs/>
      <w:color w:val="254061" w:themeColor="accent1" w:themeShade="80"/>
    </w:rPr>
  </w:style>
  <w:style w:type="character" w:customStyle="1" w:styleId="156">
    <w:name w:val="Heading 7 Char"/>
    <w:basedOn w:val="135"/>
    <w:link w:val="11"/>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7">
    <w:name w:val="Heading 8 Char"/>
    <w:basedOn w:val="135"/>
    <w:link w:val="12"/>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8">
    <w:name w:val="Heading 9 Char"/>
    <w:basedOn w:val="135"/>
    <w:link w:val="13"/>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9">
    <w:name w:val="Intense Quote"/>
    <w:basedOn w:val="1"/>
    <w:next w:val="1"/>
    <w:link w:val="160"/>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60">
    <w:name w:val="Intense Quote Char"/>
    <w:basedOn w:val="135"/>
    <w:link w:val="159"/>
    <w:qFormat/>
    <w:uiPriority w:val="30"/>
    <w:rPr>
      <w:b/>
      <w:bCs/>
      <w:i/>
      <w:iCs/>
      <w:color w:val="4F81BD" w:themeColor="accent1"/>
      <w14:textFill>
        <w14:solidFill>
          <w14:schemeClr w14:val="accent1"/>
        </w14:solidFill>
      </w14:textFill>
    </w:rPr>
  </w:style>
  <w:style w:type="character" w:customStyle="1" w:styleId="161">
    <w:name w:val="Subtle Emphasis"/>
    <w:basedOn w:val="135"/>
    <w:qFormat/>
    <w:uiPriority w:val="19"/>
    <w:rPr>
      <w:i/>
      <w:iCs/>
      <w:color w:val="808080" w:themeColor="text1" w:themeTint="80"/>
      <w14:textFill>
        <w14:solidFill>
          <w14:schemeClr w14:val="tx1">
            <w14:lumMod w14:val="50000"/>
            <w14:lumOff w14:val="50000"/>
          </w14:schemeClr>
        </w14:solidFill>
      </w14:textFill>
    </w:rPr>
  </w:style>
  <w:style w:type="character" w:customStyle="1" w:styleId="162">
    <w:name w:val="Intense Emphasis"/>
    <w:basedOn w:val="135"/>
    <w:qFormat/>
    <w:uiPriority w:val="21"/>
    <w:rPr>
      <w:b/>
      <w:bCs/>
      <w:i/>
      <w:iCs/>
      <w:color w:val="4F81BD" w:themeColor="accent1"/>
      <w14:textFill>
        <w14:solidFill>
          <w14:schemeClr w14:val="accent1"/>
        </w14:solidFill>
      </w14:textFill>
    </w:rPr>
  </w:style>
  <w:style w:type="character" w:customStyle="1" w:styleId="163">
    <w:name w:val="Subtle Reference"/>
    <w:basedOn w:val="135"/>
    <w:qFormat/>
    <w:uiPriority w:val="31"/>
    <w:rPr>
      <w:smallCaps/>
      <w:color w:val="C0504D" w:themeColor="accent2"/>
      <w:u w:val="single"/>
      <w14:textFill>
        <w14:solidFill>
          <w14:schemeClr w14:val="accent2"/>
        </w14:solidFill>
      </w14:textFill>
    </w:rPr>
  </w:style>
  <w:style w:type="character" w:customStyle="1" w:styleId="164">
    <w:name w:val="Intense Reference"/>
    <w:basedOn w:val="135"/>
    <w:qFormat/>
    <w:uiPriority w:val="32"/>
    <w:rPr>
      <w:b/>
      <w:bCs/>
      <w:smallCaps/>
      <w:color w:val="C0504D" w:themeColor="accent2"/>
      <w:spacing w:val="5"/>
      <w:u w:val="single"/>
      <w14:textFill>
        <w14:solidFill>
          <w14:schemeClr w14:val="accent2"/>
        </w14:solidFill>
      </w14:textFill>
    </w:rPr>
  </w:style>
  <w:style w:type="character" w:customStyle="1" w:styleId="165">
    <w:name w:val="Book Title"/>
    <w:basedOn w:val="135"/>
    <w:qFormat/>
    <w:uiPriority w:val="33"/>
    <w:rPr>
      <w:b/>
      <w:bCs/>
      <w:smallCaps/>
      <w:spacing w:val="5"/>
    </w:rPr>
  </w:style>
  <w:style w:type="paragraph" w:customStyle="1" w:styleId="166">
    <w:name w:val="TOC Heading"/>
    <w:basedOn w:val="5"/>
    <w:next w:val="1"/>
    <w:semiHidden/>
    <w:unhideWhenUsed/>
    <w:qFormat/>
    <w:uiPriority w:val="39"/>
    <w:pPr>
      <w:outlineLvl w:val="9"/>
    </w:pPr>
  </w:style>
  <w:style w:type="paragraph" w:customStyle="1" w:styleId="167">
    <w:name w:val="体育场正文"/>
    <w:basedOn w:val="1"/>
    <w:qFormat/>
    <w:uiPriority w:val="0"/>
    <w:pPr>
      <w:adjustRightInd w:val="0"/>
      <w:snapToGrid w:val="0"/>
      <w:spacing w:after="156" w:afterLines="50"/>
      <w:ind w:firstLine="480" w:firstLineChars="200"/>
    </w:pPr>
    <w:rPr>
      <w:rFonts w:ascii="宋体" w:hAnsi="宋体"/>
      <w:sz w:val="24"/>
    </w:rPr>
  </w:style>
  <w:style w:type="paragraph" w:customStyle="1" w:styleId="168">
    <w:name w:val="体育场表格框图"/>
    <w:basedOn w:val="1"/>
    <w:qFormat/>
    <w:uiPriority w:val="0"/>
    <w:pPr>
      <w:adjustRightInd w:val="0"/>
      <w:snapToGrid w:val="0"/>
      <w:jc w:val="center"/>
    </w:pPr>
    <w:rPr>
      <w:rFonts w:ascii="宋体" w:hAnsi="宋体" w:eastAsia="宋体"/>
      <w:sz w:val="24"/>
      <w:szCs w:val="24"/>
      <w:lang w:val="en-US" w:eastAsia="zh-CN" w:bidi="ar-SA"/>
    </w:rPr>
  </w:style>
  <w:style w:type="paragraph" w:customStyle="1" w:styleId="169">
    <w:name w:val="王越的表头"/>
    <w:basedOn w:val="170"/>
    <w:qFormat/>
    <w:uiPriority w:val="0"/>
    <w:pPr>
      <w:spacing w:line="240" w:lineRule="auto"/>
      <w:ind w:firstLine="0" w:firstLineChars="0"/>
      <w:jc w:val="center"/>
    </w:pPr>
    <w:rPr>
      <w:b/>
    </w:rPr>
  </w:style>
  <w:style w:type="paragraph" w:customStyle="1" w:styleId="170">
    <w:name w:val="王越的正文"/>
    <w:basedOn w:val="1"/>
    <w:qFormat/>
    <w:uiPriority w:val="0"/>
    <w:pPr>
      <w:ind w:firstLine="480"/>
      <w:jc w:val="left"/>
    </w:pPr>
    <w:rPr>
      <w:rFonts w:ascii="宋体" w:hAnsi="宋体"/>
    </w:rPr>
  </w:style>
  <w:style w:type="paragraph" w:customStyle="1" w:styleId="171">
    <w:name w:val="王越的表格"/>
    <w:basedOn w:val="170"/>
    <w:qFormat/>
    <w:uiPriority w:val="0"/>
    <w:pPr>
      <w:spacing w:line="240" w:lineRule="auto"/>
      <w:ind w:firstLine="0" w:firstLineChars="0"/>
    </w:pPr>
  </w:style>
  <w:style w:type="paragraph" w:customStyle="1" w:styleId="172">
    <w:name w:val="正文-（1）"/>
    <w:qFormat/>
    <w:uiPriority w:val="0"/>
    <w:pPr>
      <w:widowControl w:val="0"/>
      <w:numPr>
        <w:ilvl w:val="0"/>
        <w:numId w:val="7"/>
      </w:numPr>
      <w:spacing w:line="360" w:lineRule="auto"/>
      <w:ind w:left="0" w:firstLine="200" w:firstLineChars="200"/>
      <w:jc w:val="both"/>
    </w:pPr>
    <w:rPr>
      <w:rFonts w:ascii="Times New Roman" w:hAnsi="Times New Roman" w:eastAsia="宋体" w:cs="Times New Roman"/>
      <w:kern w:val="2"/>
      <w:sz w:val="24"/>
      <w:szCs w:val="22"/>
      <w:lang w:val="en-US" w:eastAsia="zh-CN" w:bidi="ar-SA"/>
    </w:rPr>
  </w:style>
  <w:style w:type="paragraph" w:customStyle="1" w:styleId="173">
    <w:name w:val="首行缩进"/>
    <w:basedOn w:val="1"/>
    <w:qFormat/>
    <w:uiPriority w:val="0"/>
    <w:pPr>
      <w:spacing w:line="360" w:lineRule="auto"/>
      <w:ind w:firstLine="480" w:firstLineChars="200"/>
    </w:pPr>
    <w:rPr>
      <w:rFonts w:ascii="Calibri" w:hAnsi="Calibri"/>
      <w:sz w:val="24"/>
      <w:szCs w:val="22"/>
      <w:lang w:val="zh-CN"/>
    </w:rPr>
  </w:style>
  <w:style w:type="paragraph" w:customStyle="1" w:styleId="174">
    <w:name w:val="列出段落11"/>
    <w:basedOn w:val="1"/>
    <w:qFormat/>
    <w:uiPriority w:val="99"/>
    <w:pPr>
      <w:widowControl/>
      <w:adjustRightInd/>
      <w:spacing w:before="40" w:after="160" w:line="240" w:lineRule="auto"/>
      <w:ind w:firstLine="420" w:firstLineChars="200"/>
      <w:textAlignment w:val="auto"/>
    </w:pPr>
    <w:rPr>
      <w:rFonts w:ascii="Cambria" w:hAnsi="Cambria" w:eastAsia="微软雅黑" w:cs="Cambria"/>
      <w:color w:val="565656"/>
      <w:kern w:val="20"/>
      <w:sz w:val="21"/>
      <w:szCs w:val="21"/>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6</Pages>
  <Words>2950</Words>
  <Characters>2988</Characters>
  <Lines>0</Lines>
  <Paragraphs>0</Paragraphs>
  <TotalTime>25</TotalTime>
  <ScaleCrop>false</ScaleCrop>
  <LinksUpToDate>false</LinksUpToDate>
  <CharactersWithSpaces>3034</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2013-12-24T07:15:00Z</dcterms:created>
  <dc:creator>Administrator</dc:creator>
  <cp:lastModifiedBy>还是弱碱水</cp:lastModifiedBy>
  <cp:lastPrinted>2025-12-31T00:47:00Z</cp:lastPrinted>
  <dcterms:modified xsi:type="dcterms:W3CDTF">2026-03-04T07:36:02Z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CA7711085D9D41B8977D8C2D37BEDE9A_13</vt:lpwstr>
  </property>
  <property fmtid="{D5CDD505-2E9C-101B-9397-08002B2CF9AE}" pid="4" name="KSOTemplateDocerSaveRecord">
    <vt:lpwstr>eyJoZGlkIjoiOGU2N2VhZTk2MzYwYzEwZWMxNTExMTc4NzY4Yzk2ZDAiLCJ1c2VySWQiOiI2NjU2NDM0NDQifQ==</vt:lpwstr>
  </property>
</Properties>
</file>