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wordWrap/>
        <w:topLinePunct w:val="0"/>
        <w:bidi w:val="0"/>
        <w:spacing w:line="240" w:lineRule="auto"/>
        <w:jc w:val="center"/>
        <w:rPr>
          <w:rFonts w:hint="eastAsia" w:ascii="幼圆" w:hAnsi="幼圆" w:eastAsia="幼圆" w:cs="幼圆"/>
          <w:b/>
          <w:bCs/>
          <w:sz w:val="56"/>
          <w:szCs w:val="32"/>
          <w:lang w:val="en-US" w:eastAsia="zh-CN"/>
        </w:rPr>
      </w:pPr>
      <w:r>
        <w:rPr>
          <w:rFonts w:hint="eastAsia" w:ascii="幼圆" w:hAnsi="幼圆" w:eastAsia="幼圆" w:cs="幼圆"/>
          <w:b/>
          <w:bCs/>
          <w:sz w:val="36"/>
          <w:szCs w:val="36"/>
        </w:rPr>
        <w:t>【技术要求及评分标准】</w:t>
      </w:r>
    </w:p>
    <w:p>
      <w:pPr>
        <w:keepNext w:val="0"/>
        <w:keepLines w:val="0"/>
        <w:pageBreakBefore w:val="0"/>
        <w:widowControl/>
        <w:wordWrap/>
        <w:topLinePunct w:val="0"/>
        <w:bidi w:val="0"/>
        <w:snapToGrid/>
        <w:spacing w:line="240" w:lineRule="auto"/>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一、项目概况</w:t>
      </w:r>
    </w:p>
    <w:p>
      <w:pPr>
        <w:keepNext w:val="0"/>
        <w:keepLines w:val="0"/>
        <w:pageBreakBefore w:val="0"/>
        <w:widowControl/>
        <w:kinsoku w:val="0"/>
        <w:wordWrap/>
        <w:overflowPunct w:val="0"/>
        <w:topLinePunct w:val="0"/>
        <w:autoSpaceDE w:val="0"/>
        <w:autoSpaceDN w:val="0"/>
        <w:bidi w:val="0"/>
        <w:adjustRightInd w:val="0"/>
        <w:snapToGrid/>
        <w:spacing w:after="0" w:line="240" w:lineRule="auto"/>
        <w:jc w:val="both"/>
        <w:textAlignment w:val="auto"/>
        <w:rPr>
          <w:rFonts w:hint="eastAsia" w:ascii="幼圆" w:hAnsi="幼圆" w:eastAsia="幼圆" w:cs="幼圆"/>
          <w:sz w:val="21"/>
          <w:szCs w:val="20"/>
          <w:lang w:eastAsia="zh-CN"/>
        </w:rPr>
      </w:pPr>
      <w:r>
        <w:rPr>
          <w:rFonts w:hint="eastAsia" w:ascii="幼圆" w:hAnsi="幼圆" w:eastAsia="幼圆" w:cs="幼圆"/>
          <w:sz w:val="21"/>
          <w:szCs w:val="20"/>
          <w:lang w:eastAsia="zh-CN"/>
        </w:rPr>
        <w:t>项目</w:t>
      </w:r>
      <w:r>
        <w:rPr>
          <w:rFonts w:hint="eastAsia" w:ascii="幼圆" w:hAnsi="幼圆" w:eastAsia="幼圆" w:cs="幼圆"/>
          <w:sz w:val="21"/>
          <w:szCs w:val="20"/>
        </w:rPr>
        <w:t>名称：监控系统维保服务采购项目</w:t>
      </w:r>
    </w:p>
    <w:p>
      <w:pPr>
        <w:keepNext w:val="0"/>
        <w:keepLines w:val="0"/>
        <w:pageBreakBefore w:val="0"/>
        <w:widowControl/>
        <w:kinsoku w:val="0"/>
        <w:wordWrap/>
        <w:overflowPunct w:val="0"/>
        <w:topLinePunct w:val="0"/>
        <w:autoSpaceDE w:val="0"/>
        <w:autoSpaceDN w:val="0"/>
        <w:bidi w:val="0"/>
        <w:adjustRightInd w:val="0"/>
        <w:snapToGrid/>
        <w:spacing w:after="0" w:line="240" w:lineRule="auto"/>
        <w:jc w:val="both"/>
        <w:textAlignment w:val="auto"/>
        <w:rPr>
          <w:rFonts w:hint="eastAsia" w:ascii="幼圆" w:hAnsi="幼圆" w:eastAsia="幼圆" w:cs="幼圆"/>
          <w:sz w:val="21"/>
          <w:szCs w:val="20"/>
        </w:rPr>
      </w:pPr>
      <w:r>
        <w:rPr>
          <w:rFonts w:hint="eastAsia" w:ascii="幼圆" w:hAnsi="幼圆" w:eastAsia="幼圆" w:cs="幼圆"/>
          <w:sz w:val="21"/>
          <w:szCs w:val="20"/>
        </w:rPr>
        <w:t>建设单位：北京清华长庚医院</w:t>
      </w:r>
    </w:p>
    <w:p>
      <w:pPr>
        <w:keepNext w:val="0"/>
        <w:keepLines w:val="0"/>
        <w:pageBreakBefore w:val="0"/>
        <w:widowControl/>
        <w:kinsoku w:val="0"/>
        <w:wordWrap/>
        <w:overflowPunct w:val="0"/>
        <w:topLinePunct w:val="0"/>
        <w:autoSpaceDE w:val="0"/>
        <w:autoSpaceDN w:val="0"/>
        <w:bidi w:val="0"/>
        <w:adjustRightInd w:val="0"/>
        <w:snapToGrid/>
        <w:spacing w:after="0" w:line="240" w:lineRule="auto"/>
        <w:jc w:val="both"/>
        <w:textAlignment w:val="auto"/>
        <w:rPr>
          <w:rFonts w:hint="eastAsia" w:ascii="幼圆" w:hAnsi="幼圆" w:eastAsia="幼圆" w:cs="幼圆"/>
          <w:sz w:val="21"/>
          <w:szCs w:val="20"/>
        </w:rPr>
      </w:pPr>
      <w:r>
        <w:rPr>
          <w:rFonts w:hint="eastAsia" w:ascii="幼圆" w:hAnsi="幼圆" w:eastAsia="幼圆" w:cs="幼圆"/>
          <w:sz w:val="21"/>
          <w:szCs w:val="20"/>
        </w:rPr>
        <w:t>建设地点：北京市昌平区立汤路168号</w:t>
      </w:r>
    </w:p>
    <w:p>
      <w:pPr>
        <w:keepNext w:val="0"/>
        <w:keepLines w:val="0"/>
        <w:pageBreakBefore w:val="0"/>
        <w:widowControl/>
        <w:numPr>
          <w:ilvl w:val="0"/>
          <w:numId w:val="8"/>
        </w:numPr>
        <w:wordWrap/>
        <w:topLinePunct w:val="0"/>
        <w:bidi w:val="0"/>
        <w:snapToGrid/>
        <w:spacing w:line="240" w:lineRule="auto"/>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项目类型</w:t>
      </w:r>
    </w:p>
    <w:p>
      <w:pPr>
        <w:keepNext w:val="0"/>
        <w:keepLines w:val="0"/>
        <w:pageBreakBefore w:val="0"/>
        <w:widowControl/>
        <w:numPr>
          <w:ilvl w:val="0"/>
          <w:numId w:val="0"/>
        </w:numPr>
        <w:wordWrap/>
        <w:topLinePunct w:val="0"/>
        <w:bidi w:val="0"/>
        <w:snapToGrid/>
        <w:spacing w:line="240" w:lineRule="auto"/>
        <w:textAlignment w:val="auto"/>
        <w:rPr>
          <w:rFonts w:hint="eastAsia" w:ascii="幼圆" w:hAnsi="幼圆" w:eastAsia="幼圆" w:cs="幼圆"/>
          <w:b w:val="0"/>
          <w:bCs w:val="0"/>
          <w:sz w:val="21"/>
          <w:szCs w:val="20"/>
          <w:lang w:val="en-US" w:eastAsia="zh-CN"/>
        </w:rPr>
      </w:pPr>
      <w:r>
        <w:rPr>
          <w:rFonts w:hint="eastAsia" w:ascii="幼圆" w:hAnsi="幼圆" w:eastAsia="幼圆" w:cs="幼圆"/>
          <w:b w:val="0"/>
          <w:bCs w:val="0"/>
          <w:sz w:val="21"/>
          <w:szCs w:val="20"/>
          <w:lang w:val="en-US" w:eastAsia="zh-CN"/>
        </w:rPr>
        <w:t>维保服务类</w:t>
      </w:r>
    </w:p>
    <w:p>
      <w:pPr>
        <w:keepNext w:val="0"/>
        <w:keepLines w:val="0"/>
        <w:pageBreakBefore w:val="0"/>
        <w:widowControl/>
        <w:wordWrap/>
        <w:topLinePunct w:val="0"/>
        <w:bidi w:val="0"/>
        <w:snapToGrid/>
        <w:spacing w:line="240" w:lineRule="auto"/>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三、资质要求</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b/>
          <w:bCs/>
          <w:color w:val="FF0000"/>
          <w:sz w:val="21"/>
          <w:szCs w:val="20"/>
          <w:lang w:val="en-US" w:eastAsia="zh-CN"/>
        </w:rPr>
      </w:pPr>
      <w:r>
        <w:rPr>
          <w:rFonts w:hint="eastAsia" w:ascii="幼圆" w:hAnsi="幼圆" w:eastAsia="幼圆" w:cs="幼圆"/>
          <w:sz w:val="21"/>
          <w:szCs w:val="20"/>
          <w:lang w:val="en-US" w:eastAsia="zh-CN"/>
        </w:rPr>
        <w:t>1、具有有效的企业营业执照；</w:t>
      </w:r>
      <w:r>
        <w:rPr>
          <w:rFonts w:hint="eastAsia" w:ascii="幼圆" w:hAnsi="幼圆" w:eastAsia="幼圆" w:cs="幼圆"/>
          <w:b/>
          <w:bCs/>
          <w:color w:val="FF0000"/>
          <w:sz w:val="21"/>
          <w:szCs w:val="20"/>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2、在中华人民共和国境内注册登记，有生产或供应能力的本国供应商，包括法人、其他组织和个人；</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3、投标人在近三年内（2023年3月-至今） 没有骗取中标和严重违约及重大项目质量问题；参加本采购活动前三年内，在经营活动中没有重大违法记录；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4、具有良好的商业信誉和健全的财务会计制度；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5、具有依法缴纳税收和社会保障资金的良好记录；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6、本项目不接受联合体投标；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b/>
          <w:bCs/>
          <w:sz w:val="28"/>
          <w:szCs w:val="24"/>
          <w:lang w:val="en-US" w:eastAsia="zh-CN"/>
        </w:rPr>
      </w:pPr>
      <w:bookmarkStart w:id="6" w:name="_GoBack"/>
      <w:bookmarkEnd w:id="6"/>
      <w:r>
        <w:rPr>
          <w:rFonts w:hint="eastAsia" w:ascii="幼圆" w:hAnsi="幼圆" w:eastAsia="幼圆" w:cs="幼圆"/>
          <w:b/>
          <w:bCs/>
          <w:sz w:val="28"/>
          <w:szCs w:val="24"/>
          <w:lang w:val="en-US" w:eastAsia="zh-CN"/>
        </w:rPr>
        <w:t>四、服务期要求</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b/>
          <w:bCs/>
          <w:sz w:val="28"/>
          <w:szCs w:val="24"/>
          <w:lang w:val="en-US" w:eastAsia="zh-CN"/>
        </w:rPr>
      </w:pPr>
      <w:r>
        <w:rPr>
          <w:rFonts w:hint="eastAsia" w:ascii="幼圆" w:hAnsi="幼圆" w:eastAsia="幼圆" w:cs="幼圆"/>
          <w:b/>
          <w:bCs/>
          <w:sz w:val="21"/>
          <w:szCs w:val="20"/>
          <w:lang w:val="en-US" w:eastAsia="zh-CN"/>
        </w:rPr>
        <w:t>合同履行期限：一年</w:t>
      </w:r>
      <w:r>
        <w:rPr>
          <w:rFonts w:hint="eastAsia" w:ascii="幼圆" w:hAnsi="幼圆" w:eastAsia="幼圆" w:cs="幼圆"/>
          <w:b/>
          <w:bCs/>
          <w:color w:val="FF0000"/>
          <w:sz w:val="21"/>
          <w:szCs w:val="20"/>
          <w:lang w:val="en-US" w:eastAsia="zh-CN"/>
        </w:rPr>
        <w:t>（*必须响应，废标项）</w:t>
      </w:r>
      <w:bookmarkStart w:id="0" w:name="_Toc195775598"/>
    </w:p>
    <w:p>
      <w:pPr>
        <w:numPr>
          <w:ilvl w:val="0"/>
          <w:numId w:val="9"/>
        </w:numPr>
        <w:spacing w:line="240" w:lineRule="auto"/>
        <w:ind w:leftChars="0"/>
        <w:rPr>
          <w:rFonts w:hint="eastAsia" w:ascii="幼圆" w:hAnsi="幼圆" w:eastAsia="幼圆" w:cs="幼圆"/>
          <w:b/>
          <w:bCs w:val="0"/>
          <w:snapToGrid w:val="0"/>
          <w:kern w:val="21"/>
          <w:sz w:val="28"/>
          <w:szCs w:val="28"/>
          <w:lang w:val="en-US" w:eastAsia="zh-CN"/>
        </w:rPr>
      </w:pPr>
      <w:r>
        <w:rPr>
          <w:rFonts w:hint="eastAsia" w:ascii="幼圆" w:hAnsi="幼圆" w:eastAsia="幼圆" w:cs="幼圆"/>
          <w:b/>
          <w:bCs w:val="0"/>
          <w:snapToGrid w:val="0"/>
          <w:kern w:val="21"/>
          <w:sz w:val="28"/>
          <w:szCs w:val="28"/>
          <w:lang w:val="en-US" w:eastAsia="zh-CN"/>
        </w:rPr>
        <w:t>维保内容</w:t>
      </w:r>
    </w:p>
    <w:p>
      <w:pPr>
        <w:numPr>
          <w:ilvl w:val="0"/>
          <w:numId w:val="10"/>
        </w:numPr>
        <w:ind w:left="425" w:leftChars="0" w:hanging="425" w:firstLineChars="0"/>
        <w:rPr>
          <w:rFonts w:hint="eastAsia" w:ascii="幼圆" w:hAnsi="幼圆" w:eastAsia="幼圆" w:cs="幼圆"/>
          <w:b w:val="0"/>
          <w:bCs/>
          <w:snapToGrid w:val="0"/>
          <w:kern w:val="21"/>
          <w:sz w:val="21"/>
          <w:szCs w:val="21"/>
          <w:lang w:val="en-US" w:eastAsia="zh-CN"/>
        </w:rPr>
      </w:pPr>
      <w:r>
        <w:rPr>
          <w:rFonts w:hint="eastAsia" w:ascii="幼圆" w:hAnsi="幼圆" w:eastAsia="幼圆" w:cs="幼圆"/>
          <w:b w:val="0"/>
          <w:bCs/>
          <w:snapToGrid w:val="0"/>
          <w:kern w:val="21"/>
          <w:sz w:val="21"/>
          <w:szCs w:val="21"/>
          <w:lang w:val="en-US" w:eastAsia="zh-CN"/>
        </w:rPr>
        <w:t>维保厂商责任</w:t>
      </w:r>
    </w:p>
    <w:p>
      <w:pPr>
        <w:numPr>
          <w:ilvl w:val="0"/>
          <w:numId w:val="11"/>
        </w:numPr>
        <w:ind w:leftChars="0"/>
        <w:rPr>
          <w:rFonts w:hint="eastAsia" w:ascii="幼圆" w:hAnsi="幼圆" w:eastAsia="幼圆" w:cs="幼圆"/>
          <w:color w:val="000000"/>
          <w:kern w:val="0"/>
          <w:sz w:val="21"/>
          <w:szCs w:val="21"/>
          <w:lang w:val="en-US" w:eastAsia="zh-CN"/>
        </w:rPr>
      </w:pPr>
      <w:r>
        <w:rPr>
          <w:rFonts w:hint="eastAsia" w:ascii="幼圆" w:hAnsi="幼圆" w:eastAsia="幼圆" w:cs="幼圆"/>
          <w:b w:val="0"/>
          <w:bCs w:val="0"/>
          <w:color w:val="000000"/>
          <w:kern w:val="0"/>
          <w:sz w:val="21"/>
          <w:szCs w:val="21"/>
          <w:lang w:val="en-US" w:eastAsia="zh-CN"/>
        </w:rPr>
        <w:t>投标人承担材料及维修费：设备设施的小型</w:t>
      </w:r>
      <w:bookmarkStart w:id="1" w:name="OLE_LINK1"/>
      <w:r>
        <w:rPr>
          <w:rFonts w:hint="eastAsia" w:ascii="幼圆" w:hAnsi="幼圆" w:eastAsia="幼圆" w:cs="幼圆"/>
          <w:b w:val="0"/>
          <w:bCs w:val="0"/>
          <w:color w:val="000000"/>
          <w:kern w:val="0"/>
          <w:sz w:val="21"/>
          <w:szCs w:val="21"/>
          <w:lang w:val="en-US" w:eastAsia="zh-CN"/>
        </w:rPr>
        <w:t>维修单批次2000元</w:t>
      </w:r>
      <w:bookmarkEnd w:id="1"/>
      <w:r>
        <w:rPr>
          <w:rFonts w:hint="eastAsia" w:ascii="幼圆" w:hAnsi="幼圆" w:eastAsia="幼圆" w:cs="幼圆"/>
          <w:b w:val="0"/>
          <w:bCs w:val="0"/>
          <w:color w:val="000000"/>
          <w:kern w:val="0"/>
          <w:sz w:val="21"/>
          <w:szCs w:val="21"/>
          <w:lang w:val="en-US" w:eastAsia="zh-CN"/>
        </w:rPr>
        <w:t>（含）以下的零配件费用。</w:t>
      </w:r>
    </w:p>
    <w:p>
      <w:pPr>
        <w:numPr>
          <w:ilvl w:val="0"/>
          <w:numId w:val="11"/>
        </w:numPr>
        <w:ind w:leftChars="0"/>
        <w:rPr>
          <w:rFonts w:hint="eastAsia" w:ascii="幼圆" w:hAnsi="幼圆" w:eastAsia="幼圆" w:cs="幼圆"/>
          <w:color w:val="000000"/>
          <w:kern w:val="0"/>
          <w:sz w:val="21"/>
          <w:szCs w:val="21"/>
          <w:lang w:val="en-US" w:eastAsia="zh-CN"/>
        </w:rPr>
      </w:pPr>
      <w:r>
        <w:rPr>
          <w:rFonts w:hint="eastAsia" w:ascii="幼圆" w:hAnsi="幼圆" w:eastAsia="幼圆" w:cs="幼圆"/>
          <w:b w:val="0"/>
          <w:bCs w:val="0"/>
          <w:color w:val="000000"/>
          <w:kern w:val="0"/>
          <w:sz w:val="21"/>
          <w:szCs w:val="21"/>
          <w:lang w:val="en-US" w:eastAsia="zh-CN"/>
        </w:rPr>
        <w:t>应根据甲方要求进行维保作业，确保设备7*24h安全稳定运行，最大限度保障存储样本的安全和设备可持续运行，维保工作应符合</w:t>
      </w:r>
      <w:r>
        <w:rPr>
          <w:rFonts w:hint="eastAsia" w:ascii="幼圆" w:hAnsi="幼圆" w:eastAsia="幼圆" w:cs="幼圆"/>
          <w:sz w:val="21"/>
          <w:szCs w:val="21"/>
          <w:lang w:val="en-US" w:eastAsia="zh-CN"/>
        </w:rPr>
        <w:t>保卫处使</w:t>
      </w:r>
      <w:r>
        <w:rPr>
          <w:rFonts w:hint="eastAsia" w:ascii="幼圆" w:hAnsi="幼圆" w:eastAsia="幼圆" w:cs="幼圆"/>
          <w:color w:val="000000"/>
          <w:kern w:val="0"/>
          <w:sz w:val="21"/>
          <w:szCs w:val="21"/>
          <w:lang w:val="en-US" w:eastAsia="zh-CN"/>
        </w:rPr>
        <w:t>用要求及相关规范要求。</w:t>
      </w:r>
    </w:p>
    <w:p>
      <w:pPr>
        <w:numPr>
          <w:ilvl w:val="0"/>
          <w:numId w:val="11"/>
        </w:numPr>
        <w:ind w:leftChars="0"/>
        <w:rPr>
          <w:rFonts w:hint="eastAsia" w:ascii="幼圆" w:hAnsi="幼圆" w:eastAsia="幼圆" w:cs="幼圆"/>
          <w:color w:val="000000"/>
          <w:kern w:val="0"/>
          <w:sz w:val="21"/>
          <w:szCs w:val="21"/>
          <w:lang w:eastAsia="zh-CN"/>
        </w:rPr>
      </w:pPr>
      <w:r>
        <w:rPr>
          <w:rFonts w:hint="eastAsia" w:ascii="幼圆" w:hAnsi="幼圆" w:eastAsia="幼圆" w:cs="幼圆"/>
          <w:color w:val="000000"/>
          <w:kern w:val="0"/>
          <w:sz w:val="21"/>
          <w:szCs w:val="21"/>
          <w:lang w:eastAsia="zh-CN"/>
        </w:rPr>
        <w:t>包括但不限于摄像头、交换机、服务器、</w:t>
      </w:r>
      <w:r>
        <w:rPr>
          <w:rFonts w:hint="eastAsia" w:ascii="幼圆" w:hAnsi="幼圆" w:eastAsia="幼圆" w:cs="幼圆"/>
          <w:color w:val="000000"/>
          <w:kern w:val="0"/>
          <w:sz w:val="21"/>
          <w:szCs w:val="21"/>
          <w:lang w:val="en-US" w:eastAsia="zh-CN"/>
        </w:rPr>
        <w:t>存储设备等</w:t>
      </w:r>
      <w:r>
        <w:rPr>
          <w:rFonts w:hint="eastAsia" w:ascii="幼圆" w:hAnsi="幼圆" w:eastAsia="幼圆" w:cs="幼圆"/>
          <w:b w:val="0"/>
          <w:bCs w:val="0"/>
          <w:color w:val="000000"/>
          <w:kern w:val="0"/>
          <w:sz w:val="21"/>
          <w:szCs w:val="21"/>
          <w:lang w:val="en-US" w:eastAsia="zh-CN"/>
        </w:rPr>
        <w:t>维修与更换（2000元以下）。</w:t>
      </w:r>
    </w:p>
    <w:p>
      <w:pPr>
        <w:numPr>
          <w:ilvl w:val="0"/>
          <w:numId w:val="11"/>
        </w:numPr>
        <w:ind w:leftChars="0"/>
        <w:rPr>
          <w:rFonts w:hint="eastAsia" w:ascii="幼圆" w:hAnsi="幼圆" w:eastAsia="幼圆" w:cs="幼圆"/>
          <w:sz w:val="21"/>
          <w:szCs w:val="21"/>
          <w:lang w:val="en-US" w:eastAsia="zh-CN"/>
        </w:rPr>
      </w:pPr>
      <w:r>
        <w:rPr>
          <w:rFonts w:hint="eastAsia" w:ascii="幼圆" w:hAnsi="幼圆" w:eastAsia="幼圆" w:cs="幼圆"/>
          <w:color w:val="000000"/>
          <w:kern w:val="0"/>
          <w:sz w:val="21"/>
          <w:szCs w:val="21"/>
          <w:lang w:val="en-US" w:eastAsia="zh-CN"/>
        </w:rPr>
        <w:t>乙方</w:t>
      </w:r>
      <w:r>
        <w:rPr>
          <w:rFonts w:hint="eastAsia" w:ascii="幼圆" w:hAnsi="幼圆" w:eastAsia="幼圆" w:cs="幼圆"/>
          <w:color w:val="000000"/>
          <w:kern w:val="0"/>
          <w:sz w:val="21"/>
          <w:szCs w:val="21"/>
        </w:rPr>
        <w:t>负责设备</w:t>
      </w:r>
      <w:r>
        <w:rPr>
          <w:rFonts w:hint="eastAsia" w:ascii="幼圆" w:hAnsi="幼圆" w:eastAsia="幼圆" w:cs="幼圆"/>
          <w:color w:val="000000"/>
          <w:kern w:val="0"/>
          <w:sz w:val="21"/>
          <w:szCs w:val="21"/>
          <w:lang w:eastAsia="zh-CN"/>
        </w:rPr>
        <w:t>辖区</w:t>
      </w:r>
      <w:r>
        <w:rPr>
          <w:rFonts w:hint="eastAsia" w:ascii="幼圆" w:hAnsi="幼圆" w:eastAsia="幼圆" w:cs="幼圆"/>
          <w:color w:val="000000"/>
          <w:kern w:val="0"/>
          <w:sz w:val="21"/>
          <w:szCs w:val="21"/>
          <w:lang w:val="en-US" w:eastAsia="zh-CN"/>
        </w:rPr>
        <w:t>6</w:t>
      </w:r>
      <w:r>
        <w:rPr>
          <w:rFonts w:hint="eastAsia" w:ascii="幼圆" w:hAnsi="幼圆" w:eastAsia="幼圆" w:cs="幼圆"/>
          <w:color w:val="000000"/>
          <w:kern w:val="0"/>
          <w:sz w:val="21"/>
          <w:szCs w:val="21"/>
        </w:rPr>
        <w:t>S卫生清理</w:t>
      </w:r>
      <w:r>
        <w:rPr>
          <w:rFonts w:hint="eastAsia" w:ascii="幼圆" w:hAnsi="幼圆" w:eastAsia="幼圆" w:cs="幼圆"/>
          <w:color w:val="000000"/>
          <w:kern w:val="0"/>
          <w:sz w:val="21"/>
          <w:szCs w:val="21"/>
          <w:lang w:eastAsia="zh-CN"/>
        </w:rPr>
        <w:t>。</w:t>
      </w:r>
    </w:p>
    <w:p>
      <w:pPr>
        <w:numPr>
          <w:ilvl w:val="0"/>
          <w:numId w:val="11"/>
        </w:numPr>
        <w:ind w:leftChars="0"/>
        <w:rPr>
          <w:rFonts w:hint="eastAsia" w:ascii="幼圆" w:hAnsi="幼圆" w:eastAsia="幼圆" w:cs="幼圆"/>
          <w:sz w:val="21"/>
          <w:szCs w:val="21"/>
          <w:lang w:val="en-US" w:eastAsia="zh-CN"/>
        </w:rPr>
      </w:pPr>
      <w:r>
        <w:rPr>
          <w:rFonts w:hint="eastAsia" w:ascii="幼圆" w:hAnsi="幼圆" w:eastAsia="幼圆" w:cs="幼圆"/>
          <w:sz w:val="21"/>
          <w:szCs w:val="21"/>
          <w:lang w:val="en-US" w:eastAsia="zh-CN"/>
        </w:rPr>
        <w:t>维保细则未完成或缺少项目、不能达到甲方标准，按照不低于1000元罚扣。</w:t>
      </w:r>
    </w:p>
    <w:p>
      <w:pPr>
        <w:numPr>
          <w:ilvl w:val="0"/>
          <w:numId w:val="11"/>
        </w:numPr>
        <w:ind w:leftChars="0"/>
        <w:rPr>
          <w:rFonts w:hint="eastAsia" w:ascii="幼圆" w:hAnsi="幼圆" w:eastAsia="幼圆" w:cs="幼圆"/>
          <w:sz w:val="21"/>
          <w:szCs w:val="21"/>
          <w:lang w:val="en-US" w:eastAsia="zh-CN"/>
        </w:rPr>
      </w:pPr>
      <w:r>
        <w:rPr>
          <w:rFonts w:hint="eastAsia" w:ascii="幼圆" w:hAnsi="幼圆" w:eastAsia="幼圆" w:cs="幼圆"/>
          <w:sz w:val="21"/>
          <w:szCs w:val="21"/>
          <w:lang w:val="en-US" w:eastAsia="zh-CN"/>
        </w:rPr>
        <w:t>保证甲方设备安全运行，因设备异常未按时处理或乙方操作不当引起的安全、消防事故，所造成的损失乙方负全责。</w:t>
      </w:r>
    </w:p>
    <w:p>
      <w:pPr>
        <w:numPr>
          <w:ilvl w:val="0"/>
          <w:numId w:val="10"/>
        </w:numPr>
        <w:ind w:left="425" w:leftChars="0" w:hanging="425" w:firstLineChars="0"/>
        <w:rPr>
          <w:rFonts w:hint="eastAsia" w:ascii="幼圆" w:hAnsi="幼圆" w:eastAsia="幼圆" w:cs="幼圆"/>
          <w:color w:val="000000"/>
          <w:kern w:val="0"/>
          <w:sz w:val="21"/>
          <w:szCs w:val="21"/>
        </w:rPr>
      </w:pPr>
      <w:r>
        <w:rPr>
          <w:rFonts w:hint="eastAsia" w:ascii="幼圆" w:hAnsi="幼圆" w:eastAsia="幼圆" w:cs="幼圆"/>
          <w:b w:val="0"/>
          <w:bCs/>
          <w:snapToGrid w:val="0"/>
          <w:kern w:val="21"/>
          <w:sz w:val="21"/>
          <w:szCs w:val="21"/>
          <w:lang w:val="en-US" w:eastAsia="zh-CN"/>
        </w:rPr>
        <w:t>维护服务要求</w:t>
      </w:r>
    </w:p>
    <w:p>
      <w:pPr>
        <w:numPr>
          <w:ilvl w:val="0"/>
          <w:numId w:val="12"/>
        </w:numPr>
        <w:ind w:left="425" w:leftChars="0" w:hanging="425"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技术保障</w:t>
      </w:r>
    </w:p>
    <w:p>
      <w:pPr>
        <w:numPr>
          <w:ilvl w:val="0"/>
          <w:numId w:val="13"/>
        </w:numPr>
        <w:ind w:left="845" w:leftChars="0" w:hanging="425"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应定期对设备巡查，确保设备运行正常。</w:t>
      </w:r>
    </w:p>
    <w:p>
      <w:pPr>
        <w:numPr>
          <w:ilvl w:val="0"/>
          <w:numId w:val="13"/>
        </w:numPr>
        <w:ind w:left="845" w:leftChars="0" w:hanging="425"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日常运行保障：处理人员操作导致的故障，处理由于线路损坏故障导致的摄像头断网故障，处理由于存储设备故障导致的监控视频丢失故障，处理监控系统软件BUG导致设备系统故障，以上故障现场人员随时反馈随时处理。</w:t>
      </w:r>
    </w:p>
    <w:p>
      <w:pPr>
        <w:numPr>
          <w:ilvl w:val="0"/>
          <w:numId w:val="13"/>
        </w:numPr>
        <w:ind w:left="845" w:leftChars="0" w:hanging="425"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应急突发情况下的开关机支持。</w:t>
      </w:r>
    </w:p>
    <w:p>
      <w:pPr>
        <w:numPr>
          <w:ilvl w:val="0"/>
          <w:numId w:val="13"/>
        </w:numPr>
        <w:ind w:left="845" w:leftChars="0" w:hanging="425"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应急突发情况下的监控视频备份支持。</w:t>
      </w:r>
    </w:p>
    <w:p>
      <w:pPr>
        <w:numPr>
          <w:ilvl w:val="0"/>
          <w:numId w:val="13"/>
        </w:numPr>
        <w:ind w:left="845" w:leftChars="0" w:hanging="425"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摄像头角度调整及监控视频存储参数设置。</w:t>
      </w:r>
    </w:p>
    <w:p>
      <w:pPr>
        <w:numPr>
          <w:ilvl w:val="0"/>
          <w:numId w:val="13"/>
        </w:numPr>
        <w:ind w:left="845" w:leftChars="0" w:hanging="425"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定期对设备使用人员进行培训，满足日常操作要求。</w:t>
      </w:r>
    </w:p>
    <w:p>
      <w:pPr>
        <w:numPr>
          <w:ilvl w:val="0"/>
          <w:numId w:val="12"/>
        </w:numPr>
        <w:ind w:left="425" w:leftChars="0" w:hanging="425"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每周维护，如有异常现场处理</w:t>
      </w:r>
    </w:p>
    <w:p>
      <w:pPr>
        <w:numPr>
          <w:ilvl w:val="0"/>
          <w:numId w:val="14"/>
        </w:numPr>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远程巡检所有监控摄像头画面，确认无黑屏、花屏、偏色、卡顿，视角无遮挡；</w:t>
      </w:r>
    </w:p>
    <w:p>
      <w:pPr>
        <w:numPr>
          <w:ilvl w:val="0"/>
          <w:numId w:val="14"/>
        </w:numPr>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检查监控软件平台运行状态，确认设备在线率100%，无异常报警；</w:t>
      </w:r>
    </w:p>
    <w:p>
      <w:pPr>
        <w:numPr>
          <w:ilvl w:val="0"/>
          <w:numId w:val="14"/>
        </w:numPr>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查看存储设备硬盘状态，确认无坏道、离线提示，录像计划正常执行；</w:t>
      </w:r>
    </w:p>
    <w:p>
      <w:pPr>
        <w:numPr>
          <w:ilvl w:val="0"/>
          <w:numId w:val="14"/>
        </w:numPr>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清理监控机房、机柜表面浮尘，检查设备指示灯是否正常。</w:t>
      </w:r>
    </w:p>
    <w:p>
      <w:pPr>
        <w:numPr>
          <w:ilvl w:val="0"/>
          <w:numId w:val="12"/>
        </w:numPr>
        <w:ind w:left="425" w:leftChars="0" w:hanging="425"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每月维护</w:t>
      </w:r>
    </w:p>
    <w:p>
      <w:pPr>
        <w:numPr>
          <w:ilvl w:val="0"/>
          <w:numId w:val="15"/>
        </w:numPr>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现场检查前端摄像头，擦拭镜头及防护罩玻璃，清理周边遮挡物（树枝、杂物等）；</w:t>
      </w:r>
    </w:p>
    <w:p>
      <w:pPr>
        <w:numPr>
          <w:ilvl w:val="0"/>
          <w:numId w:val="15"/>
        </w:numPr>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检测摄像头供电电压、网线/光纤接口，确认接触良好，无松动、氧化；</w:t>
      </w:r>
    </w:p>
    <w:p>
      <w:pPr>
        <w:numPr>
          <w:ilvl w:val="0"/>
          <w:numId w:val="15"/>
        </w:numPr>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检查交换机、光端机端口灯亮状态，测试网络通断，清理设备散热口灰尘；</w:t>
      </w:r>
    </w:p>
    <w:p>
      <w:pPr>
        <w:numPr>
          <w:ilvl w:val="0"/>
          <w:numId w:val="15"/>
        </w:numPr>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核查录像存储周期，确保满足规定要求（建议≥30天），删除无效冗余录像；</w:t>
      </w:r>
    </w:p>
    <w:p>
      <w:pPr>
        <w:numPr>
          <w:ilvl w:val="0"/>
          <w:numId w:val="15"/>
        </w:numPr>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测试监视器、拼接屏显示效果，调节亮度/对比度至最佳，清理屏幕灰尘；</w:t>
      </w:r>
    </w:p>
    <w:p>
      <w:pPr>
        <w:numPr>
          <w:ilvl w:val="0"/>
          <w:numId w:val="16"/>
        </w:numPr>
        <w:ind w:leftChars="0" w:firstLine="420" w:firstLineChars="200"/>
        <w:rPr>
          <w:rFonts w:hint="eastAsia" w:ascii="幼圆" w:hAnsi="幼圆" w:eastAsia="幼圆" w:cs="幼圆"/>
          <w:lang w:val="en-US" w:eastAsia="zh-CN"/>
        </w:rPr>
      </w:pPr>
      <w:r>
        <w:rPr>
          <w:rFonts w:hint="eastAsia" w:ascii="幼圆" w:hAnsi="幼圆" w:eastAsia="幼圆" w:cs="幼圆"/>
          <w:bCs/>
          <w:snapToGrid w:val="0"/>
          <w:kern w:val="21"/>
          <w:sz w:val="21"/>
          <w:szCs w:val="21"/>
          <w:lang w:val="en-US" w:eastAsia="zh-CN"/>
        </w:rPr>
        <w:t>检查监控室供电线路、插座，确认无发热、松动，UPS电源测试（短时间断电切换）；</w:t>
      </w:r>
    </w:p>
    <w:p>
      <w:pPr>
        <w:numPr>
          <w:ilvl w:val="0"/>
          <w:numId w:val="16"/>
        </w:numPr>
        <w:ind w:leftChars="0" w:firstLine="440" w:firstLineChars="200"/>
        <w:rPr>
          <w:rFonts w:hint="eastAsia" w:ascii="幼圆" w:hAnsi="幼圆" w:eastAsia="幼圆" w:cs="幼圆"/>
          <w:lang w:val="en-US" w:eastAsia="zh-CN"/>
        </w:rPr>
      </w:pPr>
      <w:r>
        <w:rPr>
          <w:rFonts w:hint="eastAsia" w:ascii="幼圆" w:hAnsi="幼圆" w:eastAsia="幼圆" w:cs="幼圆"/>
          <w:lang w:val="en-US" w:eastAsia="zh-CN"/>
        </w:rPr>
        <w:t>记录月度维保问题，形成《监控系统月度维保报告》；</w:t>
      </w:r>
    </w:p>
    <w:p>
      <w:pPr>
        <w:numPr>
          <w:ilvl w:val="0"/>
          <w:numId w:val="12"/>
        </w:numPr>
        <w:ind w:left="425" w:leftChars="0" w:hanging="425"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每季度预防性保养</w:t>
      </w:r>
    </w:p>
    <w:p>
      <w:pPr>
        <w:numPr>
          <w:ilvl w:val="0"/>
          <w:numId w:val="17"/>
        </w:numPr>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全面测试所有摄像头功能：红外夜视、变焦、旋转（球机）、拾音功能，确认正常；</w:t>
      </w:r>
    </w:p>
    <w:p>
      <w:pPr>
        <w:numPr>
          <w:ilvl w:val="0"/>
          <w:numId w:val="17"/>
        </w:numPr>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对交换机、NVR、硬盘阵列等设备进行深度除尘，检查散热风扇运行状态；</w:t>
      </w:r>
    </w:p>
    <w:p>
      <w:pPr>
        <w:numPr>
          <w:ilvl w:val="0"/>
          <w:numId w:val="17"/>
        </w:numPr>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检测防雷器接地电阻，确认接地阻值符合规范（≤4Ω），检查防雷模块无损坏；</w:t>
      </w:r>
    </w:p>
    <w:p>
      <w:pPr>
        <w:numPr>
          <w:ilvl w:val="0"/>
          <w:numId w:val="17"/>
        </w:numPr>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检查机柜内理线，整理杂乱线路，更换老化、破损的网线/电源线、接头；</w:t>
      </w:r>
    </w:p>
    <w:p>
      <w:pPr>
        <w:numPr>
          <w:ilvl w:val="0"/>
          <w:numId w:val="17"/>
        </w:numPr>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升级监控软件平台、设备固件至最新稳定版本，备份平台配置参数；</w:t>
      </w:r>
    </w:p>
    <w:p>
      <w:pPr>
        <w:numPr>
          <w:ilvl w:val="0"/>
          <w:numId w:val="17"/>
        </w:numPr>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测试移动客户端（手机/平板）远程访问功能，确认画面、控制正常；</w:t>
      </w:r>
    </w:p>
    <w:p>
      <w:pPr>
        <w:numPr>
          <w:ilvl w:val="0"/>
          <w:numId w:val="12"/>
        </w:numPr>
        <w:ind w:left="425" w:leftChars="0" w:hanging="425"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 xml:space="preserve">每半年预防性保养 </w:t>
      </w:r>
    </w:p>
    <w:p>
      <w:pPr>
        <w:numPr>
          <w:ilvl w:val="0"/>
          <w:numId w:val="18"/>
        </w:numPr>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对所有前端设备进行现场巡检，紧固摄像头支架、立杆，检查防水密封（室外设备），更换老化防水胶圈；</w:t>
      </w:r>
    </w:p>
    <w:p>
      <w:pPr>
        <w:numPr>
          <w:ilvl w:val="0"/>
          <w:numId w:val="18"/>
        </w:numPr>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检测存储设备硬盘健康度，对有预警的硬盘进行检测，必要时更换；</w:t>
      </w:r>
    </w:p>
    <w:p>
      <w:pPr>
        <w:numPr>
          <w:ilvl w:val="0"/>
          <w:numId w:val="18"/>
        </w:numPr>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全面测试报警联动功能（如移动侦测、视频丢失报警），确认报警信息及时推送、联动正常；</w:t>
      </w:r>
    </w:p>
    <w:p>
      <w:pPr>
        <w:numPr>
          <w:ilvl w:val="0"/>
          <w:numId w:val="18"/>
        </w:numPr>
        <w:ind w:left="840" w:leftChars="0" w:hanging="420" w:firstLineChars="0"/>
        <w:rPr>
          <w:rFonts w:hint="eastAsia" w:ascii="幼圆" w:hAnsi="幼圆" w:eastAsia="幼圆" w:cs="幼圆"/>
          <w:lang w:val="en-US" w:eastAsia="zh-CN"/>
        </w:rPr>
      </w:pPr>
      <w:r>
        <w:rPr>
          <w:rFonts w:hint="eastAsia" w:ascii="幼圆" w:hAnsi="幼圆" w:eastAsia="幼圆" w:cs="幼圆"/>
          <w:bCs/>
          <w:snapToGrid w:val="0"/>
          <w:kern w:val="21"/>
          <w:sz w:val="21"/>
          <w:szCs w:val="21"/>
          <w:lang w:val="en-US" w:eastAsia="zh-CN"/>
        </w:rPr>
        <w:t>检查拼接屏拼接缝、背光均匀度，校准色彩一致性，测试大屏控制软件功能；</w:t>
      </w:r>
    </w:p>
    <w:p>
      <w:pPr>
        <w:numPr>
          <w:ilvl w:val="0"/>
          <w:numId w:val="18"/>
        </w:numPr>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对UPS电源进行全负载测试，检测电池容量，更换老化电池；</w:t>
      </w:r>
    </w:p>
    <w:p>
      <w:pPr>
        <w:numPr>
          <w:ilvl w:val="0"/>
          <w:numId w:val="18"/>
        </w:numPr>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核对设备台账，更新设备信息（维修、更换记录），梳理备品备件库存；</w:t>
      </w:r>
    </w:p>
    <w:p>
      <w:pPr>
        <w:numPr>
          <w:ilvl w:val="0"/>
          <w:numId w:val="18"/>
        </w:numPr>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核对设备台账，更新设备信息（维修、更换记录），梳理备品备件库存；</w:t>
      </w:r>
    </w:p>
    <w:p>
      <w:pPr>
        <w:numPr>
          <w:ilvl w:val="0"/>
          <w:numId w:val="12"/>
        </w:numPr>
        <w:ind w:left="425" w:leftChars="0" w:hanging="425"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 xml:space="preserve">年度预防性保养 </w:t>
      </w:r>
    </w:p>
    <w:p>
      <w:pPr>
        <w:numPr>
          <w:ilvl w:val="0"/>
          <w:numId w:val="19"/>
        </w:numPr>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开展全系统综合性能检测，包括视频传输延时、画质分辨率、存储稳定性、联动响应速度；</w:t>
      </w:r>
    </w:p>
    <w:p>
      <w:pPr>
        <w:numPr>
          <w:ilvl w:val="0"/>
          <w:numId w:val="19"/>
        </w:numPr>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对所有设备进行全面评估，判定设备使用状态（正常、待维修、待更换），形成设备评估表；</w:t>
      </w:r>
    </w:p>
    <w:p>
      <w:pPr>
        <w:numPr>
          <w:ilvl w:val="0"/>
          <w:numId w:val="19"/>
        </w:numPr>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更换老化、超期服役的设备及配件（如老旧摄像头、破损线路、过期防雷模块）；</w:t>
      </w:r>
    </w:p>
    <w:p>
      <w:pPr>
        <w:numPr>
          <w:ilvl w:val="0"/>
          <w:numId w:val="19"/>
        </w:numPr>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全面备份监控系统所有配置、录像数据（重要数据异地备份），优化存储策略；</w:t>
      </w:r>
    </w:p>
    <w:p>
      <w:pPr>
        <w:numPr>
          <w:ilvl w:val="0"/>
          <w:numId w:val="19"/>
        </w:numPr>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检测整个监控系统的接地系统，确保接地规范、无安全隐患；</w:t>
      </w:r>
    </w:p>
    <w:p>
      <w:pPr>
        <w:numPr>
          <w:ilvl w:val="0"/>
          <w:numId w:val="19"/>
        </w:numPr>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汇总全年维保记录、故障数据，分析系统运行规律，制定下一年度维保优化计划；</w:t>
      </w:r>
    </w:p>
    <w:p>
      <w:pPr>
        <w:numPr>
          <w:ilvl w:val="0"/>
          <w:numId w:val="19"/>
        </w:numPr>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对使用方操作人员进行一次监控系统操作、简单故障排查培训；</w:t>
      </w:r>
    </w:p>
    <w:p>
      <w:pPr>
        <w:numPr>
          <w:ilvl w:val="0"/>
          <w:numId w:val="19"/>
        </w:numPr>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完成《监控系统年度维保总报告》，含全年运行情况、故障统计、整改完成情况、下年度工作计划及备品备件建议；</w:t>
      </w:r>
    </w:p>
    <w:p>
      <w:pPr>
        <w:numPr>
          <w:ilvl w:val="0"/>
          <w:numId w:val="19"/>
        </w:numPr>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整理全年所有维保资料（记录表、报告、检测数据），归档留存。</w:t>
      </w:r>
    </w:p>
    <w:p>
      <w:pPr>
        <w:numPr>
          <w:ilvl w:val="0"/>
          <w:numId w:val="9"/>
        </w:numPr>
        <w:spacing w:line="240" w:lineRule="auto"/>
        <w:ind w:leftChars="0"/>
        <w:rPr>
          <w:rFonts w:hint="eastAsia" w:ascii="幼圆" w:hAnsi="幼圆" w:eastAsia="幼圆" w:cs="幼圆"/>
          <w:b/>
          <w:bCs w:val="0"/>
          <w:snapToGrid w:val="0"/>
          <w:kern w:val="21"/>
          <w:sz w:val="28"/>
          <w:szCs w:val="28"/>
          <w:lang w:val="en-US" w:eastAsia="zh-CN"/>
        </w:rPr>
      </w:pPr>
      <w:r>
        <w:rPr>
          <w:rFonts w:hint="eastAsia" w:ascii="幼圆" w:hAnsi="幼圆" w:eastAsia="幼圆" w:cs="幼圆"/>
          <w:b/>
          <w:bCs w:val="0"/>
          <w:snapToGrid w:val="0"/>
          <w:kern w:val="21"/>
          <w:sz w:val="28"/>
          <w:szCs w:val="28"/>
          <w:lang w:val="en-US" w:eastAsia="zh-CN"/>
        </w:rPr>
        <w:t>安全与应急管理</w:t>
      </w:r>
    </w:p>
    <w:p>
      <w:pPr>
        <w:numPr>
          <w:ilvl w:val="0"/>
          <w:numId w:val="20"/>
        </w:numPr>
        <w:spacing w:line="240" w:lineRule="auto"/>
        <w:ind w:left="425" w:leftChars="0" w:hanging="425"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工作许可：任何维保作业必须执行严格的动火作业、有限空间作业、高空作业、临时用电许可证制度。</w:t>
      </w:r>
    </w:p>
    <w:p>
      <w:pPr>
        <w:numPr>
          <w:ilvl w:val="0"/>
          <w:numId w:val="20"/>
        </w:numPr>
        <w:spacing w:line="240" w:lineRule="auto"/>
        <w:ind w:left="425" w:leftChars="0" w:hanging="425"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应急预案：提供应急处置预案，提供完整的培训方案，做定期培训。</w:t>
      </w:r>
    </w:p>
    <w:p>
      <w:pPr>
        <w:numPr>
          <w:ilvl w:val="0"/>
          <w:numId w:val="20"/>
        </w:numPr>
        <w:spacing w:line="240" w:lineRule="auto"/>
        <w:ind w:left="425" w:leftChars="0" w:hanging="425"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个人防护：作业时人员必须配备合格的工服、手套、安全鞋等个人防护装备。</w:t>
      </w:r>
    </w:p>
    <w:p>
      <w:pPr>
        <w:numPr>
          <w:ilvl w:val="0"/>
          <w:numId w:val="9"/>
        </w:numPr>
        <w:spacing w:line="240" w:lineRule="auto"/>
        <w:ind w:leftChars="0"/>
        <w:rPr>
          <w:rFonts w:hint="eastAsia" w:ascii="幼圆" w:hAnsi="幼圆" w:eastAsia="幼圆" w:cs="幼圆"/>
          <w:b/>
          <w:bCs w:val="0"/>
          <w:snapToGrid w:val="0"/>
          <w:kern w:val="21"/>
          <w:sz w:val="28"/>
          <w:szCs w:val="28"/>
          <w:lang w:val="en-US" w:eastAsia="zh-CN"/>
        </w:rPr>
      </w:pPr>
      <w:r>
        <w:rPr>
          <w:rFonts w:hint="eastAsia" w:ascii="幼圆" w:hAnsi="幼圆" w:eastAsia="幼圆" w:cs="幼圆"/>
          <w:b/>
          <w:bCs w:val="0"/>
          <w:snapToGrid w:val="0"/>
          <w:kern w:val="21"/>
          <w:sz w:val="28"/>
          <w:szCs w:val="28"/>
          <w:lang w:val="en-US" w:eastAsia="zh-CN"/>
        </w:rPr>
        <w:t>验收及考核</w:t>
      </w:r>
    </w:p>
    <w:p>
      <w:pPr>
        <w:numPr>
          <w:ilvl w:val="0"/>
          <w:numId w:val="21"/>
        </w:numPr>
        <w:spacing w:line="240" w:lineRule="auto"/>
        <w:ind w:left="425" w:leftChars="0" w:hanging="425"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服务时间安排：</w:t>
      </w:r>
    </w:p>
    <w:p>
      <w:pPr>
        <w:numPr>
          <w:ilvl w:val="1"/>
          <w:numId w:val="21"/>
        </w:numPr>
        <w:spacing w:line="240" w:lineRule="auto"/>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周一至周日，7天24小时包括法定节假日；</w:t>
      </w:r>
    </w:p>
    <w:p>
      <w:pPr>
        <w:numPr>
          <w:ilvl w:val="1"/>
          <w:numId w:val="21"/>
        </w:numPr>
        <w:spacing w:line="240" w:lineRule="auto"/>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乙方维修配件应充足，紧急维修应 0.5 小时内维修完成；</w:t>
      </w:r>
    </w:p>
    <w:p>
      <w:pPr>
        <w:numPr>
          <w:ilvl w:val="1"/>
          <w:numId w:val="21"/>
        </w:numPr>
        <w:spacing w:line="240" w:lineRule="auto"/>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一般维修自报修起 2 小时内维修完成；</w:t>
      </w:r>
    </w:p>
    <w:p>
      <w:pPr>
        <w:numPr>
          <w:ilvl w:val="1"/>
          <w:numId w:val="21"/>
        </w:numPr>
        <w:spacing w:line="240" w:lineRule="auto"/>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因配件原因应于72小时内完成维修。</w:t>
      </w:r>
    </w:p>
    <w:p>
      <w:pPr>
        <w:numPr>
          <w:ilvl w:val="0"/>
          <w:numId w:val="21"/>
        </w:numPr>
        <w:spacing w:line="240" w:lineRule="auto"/>
        <w:ind w:left="425" w:leftChars="0" w:hanging="425"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维保期间由乙方工作延误导致人身、财产损失，由乙方承担全部责任。</w:t>
      </w:r>
    </w:p>
    <w:p>
      <w:pPr>
        <w:numPr>
          <w:ilvl w:val="0"/>
          <w:numId w:val="21"/>
        </w:numPr>
        <w:spacing w:line="240" w:lineRule="auto"/>
        <w:ind w:left="425" w:leftChars="0" w:hanging="425"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根据现场反馈问题，甲方通知乙方后，乙方应积极配合及时完成维保工作，维保期间甲方有权对维保落实情况进行考核，因乙方人员工作问题延误导致现场投诉的，每次罚扣1000元；因乙方人员专业性问题导致事件扩大或造成甲方损失的，每次罚扣5000元且赔偿甲方损失。</w:t>
      </w:r>
    </w:p>
    <w:p>
      <w:pPr>
        <w:numPr>
          <w:ilvl w:val="0"/>
          <w:numId w:val="21"/>
        </w:numPr>
        <w:spacing w:line="240" w:lineRule="auto"/>
        <w:ind w:left="425" w:leftChars="0" w:hanging="425"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甲方有权随时检查维保人员工作情况，如有擅离职守、工作完成不到位等情况每次罚扣1000元。</w:t>
      </w:r>
    </w:p>
    <w:p>
      <w:pPr>
        <w:numPr>
          <w:ilvl w:val="0"/>
          <w:numId w:val="21"/>
        </w:numPr>
        <w:spacing w:line="240" w:lineRule="auto"/>
        <w:ind w:left="425" w:leftChars="0" w:hanging="425"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每月工作结束时应在次月5号前出具月度工作详细报告及相关维保记录交付甲方，每延迟1日对乙方罚扣1000元。</w:t>
      </w:r>
    </w:p>
    <w:p>
      <w:pPr>
        <w:numPr>
          <w:ilvl w:val="0"/>
          <w:numId w:val="21"/>
        </w:numPr>
        <w:spacing w:line="240" w:lineRule="auto"/>
        <w:ind w:left="425" w:leftChars="0" w:hanging="425"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乙方应该为甲方建立相关维保工作档案，并配合甲方相关检查，乙方应认真执行国家有关规定，服从甲方管理部门的技术指导和业务管理，达到要求并承担相应的责任。</w:t>
      </w:r>
    </w:p>
    <w:p>
      <w:pPr>
        <w:numPr>
          <w:ilvl w:val="0"/>
          <w:numId w:val="21"/>
        </w:numPr>
        <w:spacing w:line="240" w:lineRule="auto"/>
        <w:ind w:left="425" w:leftChars="0" w:hanging="425"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乙方驻场人员均应持有与该项目相匹配的特种作业证书方可上岗，如不符合要求条件，甲方有权提出更换。</w:t>
      </w:r>
    </w:p>
    <w:p>
      <w:pPr>
        <w:numPr>
          <w:ilvl w:val="0"/>
          <w:numId w:val="21"/>
        </w:numPr>
        <w:spacing w:line="240" w:lineRule="auto"/>
        <w:ind w:left="425" w:leftChars="0" w:hanging="425"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要确保文明作业，做好作业现场的卫生，作业垃圾清运时，要采取有效措施防止扬尘污染，做到活完场清。有噪音的作业项目必须在上午8：00—12：00，下午2：00—6：00时间段内作业且不能影响正常的工作。若属于抢修等紧急作业可突破上诉时间限制，但需要通告周边科室人员。</w:t>
      </w:r>
    </w:p>
    <w:p>
      <w:pPr>
        <w:numPr>
          <w:ilvl w:val="0"/>
          <w:numId w:val="21"/>
        </w:numPr>
        <w:spacing w:line="240" w:lineRule="auto"/>
        <w:ind w:left="425" w:leftChars="0" w:hanging="425"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维保作业中如因乙方人员责任发生火情、盗案、人身事故、损坏公物、作业安全事故等事件，由乙方承担全部责任。</w:t>
      </w:r>
    </w:p>
    <w:p>
      <w:pPr>
        <w:numPr>
          <w:ilvl w:val="0"/>
          <w:numId w:val="21"/>
        </w:numPr>
        <w:spacing w:line="240" w:lineRule="auto"/>
        <w:ind w:left="425" w:leftChars="0" w:hanging="425"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乙方必须管理好进入作业现场的人员，不得出现不文明的行为，不得发生骚扰医患人员和损坏公私财物事件，发现一次罚扣1000元。</w:t>
      </w:r>
    </w:p>
    <w:p>
      <w:pPr>
        <w:numPr>
          <w:ilvl w:val="0"/>
          <w:numId w:val="21"/>
        </w:numPr>
        <w:spacing w:line="240" w:lineRule="auto"/>
        <w:ind w:left="425" w:leftChars="0" w:hanging="425"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乙方必须保质保量的按时完成维保任务，如发生因质量问题造成的返工，由乙方承担全部损失并赔偿甲方损失。</w:t>
      </w:r>
    </w:p>
    <w:p>
      <w:pPr>
        <w:numPr>
          <w:ilvl w:val="0"/>
          <w:numId w:val="21"/>
        </w:numPr>
        <w:spacing w:line="240" w:lineRule="auto"/>
        <w:ind w:left="425" w:leftChars="0" w:hanging="425"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乙方应当遵守甲方关于现场作业的相关规定，违反规定的，按合同条款实施处罚，乙方不得以不知道、不清楚而逃避处罚。</w:t>
      </w:r>
    </w:p>
    <w:p>
      <w:pPr>
        <w:numPr>
          <w:ilvl w:val="0"/>
          <w:numId w:val="21"/>
        </w:numPr>
        <w:spacing w:line="240" w:lineRule="auto"/>
        <w:ind w:left="425" w:leftChars="0" w:hanging="425"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乙方拆除的材料及设备，交由甲方前乙方应妥善保管，如发现乙方擅自破坏或变卖，由乙方承担全部损失并赔偿甲方损失。</w:t>
      </w:r>
    </w:p>
    <w:p>
      <w:pPr>
        <w:numPr>
          <w:ilvl w:val="0"/>
          <w:numId w:val="21"/>
        </w:numPr>
        <w:spacing w:line="240" w:lineRule="auto"/>
        <w:ind w:left="425" w:leftChars="0" w:hanging="425"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 xml:space="preserve">违约界定和处理 </w:t>
      </w:r>
    </w:p>
    <w:p>
      <w:pPr>
        <w:numPr>
          <w:ilvl w:val="1"/>
          <w:numId w:val="21"/>
        </w:numPr>
        <w:spacing w:line="240" w:lineRule="auto"/>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 xml:space="preserve">未按规定的时间完成本合同的维保内容； </w:t>
      </w:r>
    </w:p>
    <w:p>
      <w:pPr>
        <w:numPr>
          <w:ilvl w:val="1"/>
          <w:numId w:val="21"/>
        </w:numPr>
        <w:spacing w:line="240" w:lineRule="auto"/>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 xml:space="preserve">提供的维保服务与本合同所要求的不一致； </w:t>
      </w:r>
    </w:p>
    <w:p>
      <w:pPr>
        <w:numPr>
          <w:ilvl w:val="1"/>
          <w:numId w:val="21"/>
        </w:numPr>
        <w:spacing w:line="240" w:lineRule="auto"/>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 xml:space="preserve">提供的耗材质量和性能有问题，按规定属不合格产品； </w:t>
      </w:r>
    </w:p>
    <w:p>
      <w:pPr>
        <w:numPr>
          <w:ilvl w:val="1"/>
          <w:numId w:val="21"/>
        </w:numPr>
        <w:spacing w:line="240" w:lineRule="auto"/>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特殊工种应持证上岗，作业时严格执行相关操作规程，严禁违章操作，发现违规作业强制清人且不得再次录用；</w:t>
      </w:r>
    </w:p>
    <w:p>
      <w:pPr>
        <w:numPr>
          <w:ilvl w:val="1"/>
          <w:numId w:val="21"/>
        </w:numPr>
        <w:spacing w:line="240" w:lineRule="auto"/>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 xml:space="preserve">乙方提供驻场维保人员没有维保能力（或乙方没有组织耗材的能力），或维保工作采取转包的； </w:t>
      </w:r>
    </w:p>
    <w:p>
      <w:pPr>
        <w:numPr>
          <w:ilvl w:val="1"/>
          <w:numId w:val="21"/>
        </w:numPr>
        <w:spacing w:line="240" w:lineRule="auto"/>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维保作业时因乙方维保人员操作失误对甲方造成重大损失的；</w:t>
      </w:r>
    </w:p>
    <w:p>
      <w:pPr>
        <w:numPr>
          <w:ilvl w:val="1"/>
          <w:numId w:val="21"/>
        </w:numPr>
        <w:spacing w:line="240" w:lineRule="auto"/>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处理约定：乙方若有上述情况之一的，罚扣合同金额的10%，拒不改正的，合约解除，并赔偿甲方所有损失。</w:t>
      </w:r>
    </w:p>
    <w:p>
      <w:pPr>
        <w:numPr>
          <w:ilvl w:val="1"/>
          <w:numId w:val="21"/>
        </w:numPr>
        <w:spacing w:line="240" w:lineRule="auto"/>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相关权威部门年度卫生检测、安全检查验收不合格，且乙方未在限期内整改，甲方有权提前终止合同。</w:t>
      </w:r>
    </w:p>
    <w:p>
      <w:pPr>
        <w:numPr>
          <w:ilvl w:val="0"/>
          <w:numId w:val="21"/>
        </w:numPr>
        <w:spacing w:line="240" w:lineRule="auto"/>
        <w:ind w:left="425" w:leftChars="0" w:hanging="425"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评核措施（计分由甲方负责人进行评核，需根据乙方维保实际情况评核）：</w:t>
      </w:r>
    </w:p>
    <w:p>
      <w:pPr>
        <w:numPr>
          <w:ilvl w:val="1"/>
          <w:numId w:val="21"/>
        </w:numPr>
        <w:spacing w:line="240" w:lineRule="auto"/>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每月评核计分值得分80（含）分以上的为合格。</w:t>
      </w:r>
    </w:p>
    <w:p>
      <w:pPr>
        <w:numPr>
          <w:ilvl w:val="1"/>
          <w:numId w:val="21"/>
        </w:numPr>
        <w:spacing w:line="240" w:lineRule="auto"/>
        <w:ind w:left="840" w:leftChars="0" w:hanging="420"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每月评核计分值得分80至60分的，每降低1分，扣款1000元。</w:t>
      </w:r>
    </w:p>
    <w:p>
      <w:pPr>
        <w:numPr>
          <w:ilvl w:val="1"/>
          <w:numId w:val="21"/>
        </w:numPr>
        <w:spacing w:line="240" w:lineRule="auto"/>
        <w:ind w:left="840" w:leftChars="0" w:hanging="420" w:firstLineChars="0"/>
        <w:rPr>
          <w:rFonts w:hint="eastAsia" w:ascii="幼圆" w:hAnsi="幼圆" w:eastAsia="幼圆" w:cs="幼圆"/>
          <w:b/>
          <w:bCs/>
          <w:sz w:val="21"/>
          <w:szCs w:val="21"/>
          <w:lang w:val="en-US" w:eastAsia="zh-CN"/>
        </w:rPr>
      </w:pPr>
      <w:r>
        <w:rPr>
          <w:rFonts w:hint="eastAsia" w:ascii="幼圆" w:hAnsi="幼圆" w:eastAsia="幼圆" w:cs="幼圆"/>
          <w:bCs/>
          <w:snapToGrid w:val="0"/>
          <w:kern w:val="21"/>
          <w:sz w:val="21"/>
          <w:szCs w:val="21"/>
          <w:lang w:val="en-US" w:eastAsia="zh-CN"/>
        </w:rPr>
        <w:t>每月评核计分值得分60（含）分以下的，为考核不合格，甲方有权要求乙方限期整改，逾期未整改的，或考核不合格三次以上，甲方有权提前终止合同。</w:t>
      </w:r>
    </w:p>
    <w:p>
      <w:pPr>
        <w:numPr>
          <w:ilvl w:val="0"/>
          <w:numId w:val="9"/>
        </w:numPr>
        <w:spacing w:line="240" w:lineRule="auto"/>
        <w:ind w:leftChars="0"/>
        <w:rPr>
          <w:rFonts w:hint="eastAsia" w:ascii="幼圆" w:hAnsi="幼圆" w:eastAsia="幼圆" w:cs="幼圆"/>
          <w:b/>
          <w:bCs w:val="0"/>
          <w:snapToGrid w:val="0"/>
          <w:kern w:val="21"/>
          <w:sz w:val="28"/>
          <w:szCs w:val="28"/>
          <w:lang w:val="en-US" w:eastAsia="zh-CN"/>
        </w:rPr>
      </w:pPr>
      <w:r>
        <w:rPr>
          <w:rFonts w:hint="eastAsia" w:ascii="幼圆" w:hAnsi="幼圆" w:eastAsia="幼圆" w:cs="幼圆"/>
          <w:b/>
          <w:bCs w:val="0"/>
          <w:snapToGrid w:val="0"/>
          <w:kern w:val="21"/>
          <w:sz w:val="28"/>
          <w:szCs w:val="28"/>
          <w:lang w:val="en-US" w:eastAsia="zh-CN"/>
        </w:rPr>
        <w:t>人员要求</w:t>
      </w:r>
    </w:p>
    <w:p>
      <w:pPr>
        <w:numPr>
          <w:ilvl w:val="0"/>
          <w:numId w:val="22"/>
        </w:numPr>
        <w:spacing w:line="240" w:lineRule="auto"/>
        <w:ind w:left="425" w:leftChars="0" w:hanging="425" w:firstLineChars="0"/>
        <w:rPr>
          <w:rFonts w:hint="eastAsia" w:ascii="幼圆" w:hAnsi="幼圆" w:eastAsia="幼圆" w:cs="幼圆"/>
          <w:spacing w:val="14"/>
          <w:sz w:val="21"/>
          <w:szCs w:val="21"/>
          <w:lang w:val="en-US" w:eastAsia="zh-CN"/>
        </w:rPr>
      </w:pPr>
      <w:r>
        <w:rPr>
          <w:rFonts w:hint="eastAsia" w:ascii="幼圆" w:hAnsi="幼圆" w:eastAsia="幼圆" w:cs="幼圆"/>
          <w:spacing w:val="14"/>
          <w:sz w:val="21"/>
          <w:szCs w:val="21"/>
        </w:rPr>
        <w:t>应建立人员行为规范（包括统一着装、佩戴标识、仪表仪容整洁等）、职业素质与技能培训机制、从业人员保密制度、人员激励及处罚机制等。</w:t>
      </w:r>
    </w:p>
    <w:p>
      <w:pPr>
        <w:numPr>
          <w:ilvl w:val="0"/>
          <w:numId w:val="22"/>
        </w:numPr>
        <w:spacing w:line="240" w:lineRule="auto"/>
        <w:ind w:left="425" w:leftChars="0" w:hanging="425" w:firstLineChars="0"/>
        <w:rPr>
          <w:rFonts w:hint="eastAsia" w:ascii="幼圆" w:hAnsi="幼圆" w:eastAsia="幼圆" w:cs="幼圆"/>
          <w:spacing w:val="14"/>
          <w:sz w:val="21"/>
          <w:szCs w:val="21"/>
        </w:rPr>
      </w:pPr>
      <w:r>
        <w:rPr>
          <w:rFonts w:hint="eastAsia" w:ascii="幼圆" w:hAnsi="幼圆" w:eastAsia="幼圆" w:cs="幼圆"/>
          <w:spacing w:val="14"/>
          <w:sz w:val="21"/>
          <w:szCs w:val="21"/>
          <w:lang w:eastAsia="zh-CN"/>
        </w:rPr>
        <w:t>乙方</w:t>
      </w:r>
      <w:r>
        <w:rPr>
          <w:rFonts w:hint="eastAsia" w:ascii="幼圆" w:hAnsi="幼圆" w:eastAsia="幼圆" w:cs="幼圆"/>
          <w:spacing w:val="14"/>
          <w:sz w:val="21"/>
          <w:szCs w:val="21"/>
        </w:rPr>
        <w:t>人员应经过专业技术培训且考核合格，具有相应的工作实践经验的操作人员。应熟悉并掌握设备结构、性能、工作原理、操作方法及使用维修保养知识。</w:t>
      </w:r>
    </w:p>
    <w:p>
      <w:pPr>
        <w:numPr>
          <w:ilvl w:val="0"/>
          <w:numId w:val="22"/>
        </w:numPr>
        <w:spacing w:line="240" w:lineRule="auto"/>
        <w:ind w:left="425" w:leftChars="0" w:hanging="425" w:firstLineChars="0"/>
        <w:rPr>
          <w:rFonts w:hint="eastAsia" w:ascii="幼圆" w:hAnsi="幼圆" w:eastAsia="幼圆" w:cs="幼圆"/>
          <w:spacing w:val="14"/>
          <w:sz w:val="21"/>
          <w:szCs w:val="21"/>
        </w:rPr>
      </w:pPr>
      <w:r>
        <w:rPr>
          <w:rFonts w:hint="eastAsia" w:ascii="幼圆" w:hAnsi="幼圆" w:eastAsia="幼圆" w:cs="幼圆"/>
          <w:spacing w:val="14"/>
          <w:sz w:val="21"/>
          <w:szCs w:val="21"/>
          <w:lang w:eastAsia="zh-CN"/>
        </w:rPr>
        <w:t>项目</w:t>
      </w:r>
      <w:r>
        <w:rPr>
          <w:rFonts w:hint="eastAsia" w:ascii="幼圆" w:hAnsi="幼圆" w:eastAsia="幼圆" w:cs="幼圆"/>
          <w:spacing w:val="14"/>
          <w:sz w:val="21"/>
          <w:szCs w:val="21"/>
        </w:rPr>
        <w:t>经理</w:t>
      </w:r>
      <w:r>
        <w:rPr>
          <w:rFonts w:hint="eastAsia" w:ascii="幼圆" w:hAnsi="幼圆" w:eastAsia="幼圆" w:cs="幼圆"/>
          <w:spacing w:val="14"/>
          <w:sz w:val="21"/>
          <w:szCs w:val="21"/>
          <w:lang w:eastAsia="zh-CN"/>
        </w:rPr>
        <w:t>：</w:t>
      </w:r>
      <w:r>
        <w:rPr>
          <w:rFonts w:hint="eastAsia" w:ascii="幼圆" w:hAnsi="幼圆" w:eastAsia="幼圆" w:cs="幼圆"/>
          <w:spacing w:val="14"/>
          <w:sz w:val="21"/>
          <w:szCs w:val="21"/>
        </w:rPr>
        <w:t>年龄不足55周岁</w:t>
      </w:r>
      <w:r>
        <w:rPr>
          <w:rFonts w:hint="eastAsia" w:ascii="幼圆" w:hAnsi="幼圆" w:eastAsia="幼圆" w:cs="幼圆"/>
          <w:spacing w:val="14"/>
          <w:sz w:val="21"/>
          <w:szCs w:val="21"/>
          <w:lang w:eastAsia="zh-CN"/>
        </w:rPr>
        <w:t>，</w:t>
      </w:r>
      <w:r>
        <w:rPr>
          <w:rFonts w:hint="eastAsia" w:ascii="幼圆" w:hAnsi="幼圆" w:eastAsia="幼圆" w:cs="幼圆"/>
          <w:spacing w:val="14"/>
          <w:sz w:val="21"/>
          <w:szCs w:val="21"/>
        </w:rPr>
        <w:t>具有大专及以上学历</w:t>
      </w:r>
      <w:r>
        <w:rPr>
          <w:rFonts w:hint="eastAsia" w:ascii="幼圆" w:hAnsi="幼圆" w:eastAsia="幼圆" w:cs="幼圆"/>
          <w:spacing w:val="14"/>
          <w:sz w:val="21"/>
          <w:szCs w:val="21"/>
          <w:lang w:eastAsia="zh-CN"/>
        </w:rPr>
        <w:t>。</w:t>
      </w:r>
    </w:p>
    <w:p>
      <w:pPr>
        <w:numPr>
          <w:ilvl w:val="0"/>
          <w:numId w:val="22"/>
        </w:numPr>
        <w:spacing w:line="240" w:lineRule="auto"/>
        <w:ind w:left="425" w:leftChars="0" w:hanging="425" w:firstLineChars="0"/>
        <w:rPr>
          <w:rFonts w:hint="eastAsia" w:ascii="幼圆" w:hAnsi="幼圆" w:eastAsia="幼圆" w:cs="幼圆"/>
          <w:spacing w:val="14"/>
          <w:sz w:val="21"/>
          <w:szCs w:val="21"/>
          <w:lang w:eastAsia="zh-CN"/>
        </w:rPr>
      </w:pPr>
      <w:r>
        <w:rPr>
          <w:rFonts w:hint="eastAsia" w:ascii="幼圆" w:hAnsi="幼圆" w:eastAsia="幼圆" w:cs="幼圆"/>
          <w:spacing w:val="14"/>
          <w:sz w:val="21"/>
          <w:szCs w:val="21"/>
          <w:lang w:eastAsia="zh-CN"/>
        </w:rPr>
        <w:t>操作人员需具有下述证照：</w:t>
      </w:r>
    </w:p>
    <w:p>
      <w:pPr>
        <w:numPr>
          <w:ilvl w:val="0"/>
          <w:numId w:val="0"/>
        </w:numPr>
        <w:spacing w:line="240" w:lineRule="auto"/>
        <w:ind w:leftChars="100"/>
        <w:rPr>
          <w:rFonts w:hint="eastAsia" w:ascii="幼圆" w:hAnsi="幼圆" w:eastAsia="幼圆" w:cs="幼圆"/>
        </w:rPr>
      </w:pPr>
      <w:r>
        <w:rPr>
          <w:rFonts w:hint="eastAsia" w:ascii="幼圆" w:hAnsi="幼圆" w:eastAsia="幼圆" w:cs="幼圆"/>
          <w:spacing w:val="14"/>
          <w:sz w:val="21"/>
          <w:szCs w:val="21"/>
          <w:highlight w:val="none"/>
        </w:rPr>
        <w:t>《中华人民共和国特种作业操作证（</w:t>
      </w:r>
      <w:r>
        <w:rPr>
          <w:rFonts w:hint="eastAsia" w:ascii="幼圆" w:hAnsi="幼圆" w:eastAsia="幼圆" w:cs="幼圆"/>
          <w:spacing w:val="14"/>
          <w:sz w:val="21"/>
          <w:szCs w:val="21"/>
          <w:highlight w:val="none"/>
          <w:lang w:val="en-US" w:eastAsia="zh-CN"/>
        </w:rPr>
        <w:t>电工证</w:t>
      </w:r>
      <w:r>
        <w:rPr>
          <w:rFonts w:hint="eastAsia" w:ascii="幼圆" w:hAnsi="幼圆" w:eastAsia="幼圆" w:cs="幼圆"/>
          <w:spacing w:val="14"/>
          <w:sz w:val="21"/>
          <w:szCs w:val="21"/>
          <w:highlight w:val="none"/>
        </w:rPr>
        <w:t>）》</w:t>
      </w:r>
      <w:r>
        <w:rPr>
          <w:rFonts w:hint="eastAsia" w:ascii="幼圆" w:hAnsi="幼圆" w:eastAsia="幼圆" w:cs="幼圆"/>
          <w:spacing w:val="14"/>
          <w:sz w:val="21"/>
          <w:szCs w:val="21"/>
          <w:highlight w:val="none"/>
          <w:lang w:eastAsia="zh-CN"/>
        </w:rPr>
        <w:t>，不限高低压</w:t>
      </w:r>
      <w:r>
        <w:rPr>
          <w:rFonts w:hint="eastAsia" w:ascii="幼圆" w:hAnsi="幼圆" w:eastAsia="幼圆" w:cs="幼圆"/>
          <w:spacing w:val="14"/>
          <w:sz w:val="21"/>
          <w:szCs w:val="21"/>
          <w:highlight w:val="none"/>
          <w:lang w:val="en-US" w:eastAsia="zh-CN"/>
        </w:rPr>
        <w:t>。</w:t>
      </w:r>
    </w:p>
    <w:p>
      <w:pPr>
        <w:numPr>
          <w:ilvl w:val="0"/>
          <w:numId w:val="22"/>
        </w:numPr>
        <w:spacing w:line="240" w:lineRule="auto"/>
        <w:ind w:left="425" w:leftChars="0" w:hanging="425" w:firstLineChars="0"/>
        <w:rPr>
          <w:rFonts w:hint="eastAsia" w:ascii="幼圆" w:hAnsi="幼圆" w:eastAsia="幼圆" w:cs="幼圆"/>
          <w:spacing w:val="14"/>
          <w:sz w:val="21"/>
          <w:szCs w:val="21"/>
          <w:lang w:val="en-US" w:eastAsia="zh-CN"/>
        </w:rPr>
      </w:pPr>
      <w:r>
        <w:rPr>
          <w:rFonts w:hint="eastAsia" w:ascii="幼圆" w:hAnsi="幼圆" w:eastAsia="幼圆" w:cs="幼圆"/>
          <w:spacing w:val="14"/>
          <w:sz w:val="21"/>
          <w:szCs w:val="21"/>
          <w:lang w:val="en-US" w:eastAsia="zh-CN"/>
        </w:rPr>
        <w:t>驻场时维保厂商接院方故障报修后，</w:t>
      </w:r>
      <w:r>
        <w:rPr>
          <w:rFonts w:hint="eastAsia" w:ascii="幼圆" w:hAnsi="幼圆" w:eastAsia="幼圆" w:cs="幼圆"/>
          <w:bCs/>
          <w:snapToGrid w:val="0"/>
          <w:kern w:val="21"/>
          <w:sz w:val="21"/>
          <w:szCs w:val="21"/>
          <w:lang w:val="en-US" w:eastAsia="zh-CN"/>
        </w:rPr>
        <w:t>电话响应时间 5分钟之内，紧急维修应 0.5小时内维修完成，一般维修自报修起 2 小时内维修完成</w:t>
      </w:r>
      <w:r>
        <w:rPr>
          <w:rFonts w:hint="eastAsia" w:ascii="幼圆" w:hAnsi="幼圆" w:eastAsia="幼圆" w:cs="幼圆"/>
          <w:spacing w:val="14"/>
          <w:sz w:val="21"/>
          <w:szCs w:val="21"/>
          <w:lang w:val="en-US" w:eastAsia="zh-CN"/>
        </w:rPr>
        <w:t>。</w:t>
      </w:r>
    </w:p>
    <w:p>
      <w:pPr>
        <w:numPr>
          <w:ilvl w:val="0"/>
          <w:numId w:val="22"/>
        </w:numPr>
        <w:spacing w:line="240" w:lineRule="auto"/>
        <w:ind w:left="425" w:leftChars="0" w:hanging="425" w:firstLineChars="0"/>
        <w:rPr>
          <w:rFonts w:hint="eastAsia" w:ascii="幼圆" w:hAnsi="幼圆" w:eastAsia="幼圆" w:cs="幼圆"/>
          <w:sz w:val="21"/>
          <w:szCs w:val="21"/>
          <w:highlight w:val="none"/>
          <w:lang w:val="en-US" w:eastAsia="zh-CN"/>
        </w:rPr>
      </w:pPr>
      <w:r>
        <w:rPr>
          <w:rFonts w:hint="eastAsia" w:ascii="幼圆" w:hAnsi="幼圆" w:eastAsia="幼圆" w:cs="幼圆"/>
          <w:spacing w:val="14"/>
          <w:sz w:val="21"/>
          <w:szCs w:val="21"/>
          <w:highlight w:val="none"/>
          <w:lang w:val="en-US" w:eastAsia="zh-CN"/>
        </w:rPr>
        <w:t>提供人员驻场服务：需全年无间断（包括节假日）按需要为医院提供维保服务，驻场至少1人，驻场服务时间为每日8：00~18：00，夜间维修应响应甲方需求随时到场。</w:t>
      </w:r>
    </w:p>
    <w:p>
      <w:pPr>
        <w:numPr>
          <w:ilvl w:val="0"/>
          <w:numId w:val="9"/>
        </w:numPr>
        <w:spacing w:line="240" w:lineRule="auto"/>
        <w:ind w:leftChars="0"/>
        <w:rPr>
          <w:rFonts w:hint="eastAsia" w:ascii="幼圆" w:hAnsi="幼圆" w:eastAsia="幼圆" w:cs="幼圆"/>
          <w:b/>
          <w:bCs w:val="0"/>
          <w:snapToGrid w:val="0"/>
          <w:kern w:val="21"/>
          <w:sz w:val="28"/>
          <w:szCs w:val="28"/>
          <w:lang w:val="en-US" w:eastAsia="zh-CN"/>
        </w:rPr>
      </w:pPr>
      <w:r>
        <w:rPr>
          <w:rFonts w:hint="eastAsia" w:ascii="幼圆" w:hAnsi="幼圆" w:eastAsia="幼圆" w:cs="幼圆"/>
          <w:b/>
          <w:bCs w:val="0"/>
          <w:snapToGrid w:val="0"/>
          <w:kern w:val="21"/>
          <w:sz w:val="28"/>
          <w:szCs w:val="28"/>
          <w:lang w:val="en-US" w:eastAsia="zh-CN"/>
        </w:rPr>
        <w:t>维保设备清单</w:t>
      </w:r>
    </w:p>
    <w:p>
      <w:pPr>
        <w:numPr>
          <w:ilvl w:val="0"/>
          <w:numId w:val="0"/>
        </w:numPr>
        <w:spacing w:line="240" w:lineRule="auto"/>
        <w:jc w:val="left"/>
        <w:rPr>
          <w:rFonts w:hint="eastAsia" w:ascii="幼圆" w:hAnsi="幼圆" w:eastAsia="幼圆" w:cs="幼圆"/>
          <w:lang w:val="en-US" w:eastAsia="zh-CN"/>
        </w:rPr>
      </w:pPr>
      <w:r>
        <w:rPr>
          <w:rFonts w:hint="eastAsia" w:ascii="幼圆" w:hAnsi="幼圆" w:eastAsia="幼圆" w:cs="幼圆"/>
          <w:sz w:val="21"/>
          <w:szCs w:val="21"/>
          <w:lang w:val="en-US" w:eastAsia="zh-CN"/>
        </w:rPr>
        <w:t>包括但不限于以下设施设备</w:t>
      </w:r>
    </w:p>
    <w:tbl>
      <w:tblPr>
        <w:tblStyle w:val="35"/>
        <w:tblW w:w="92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45"/>
        <w:gridCol w:w="1171"/>
        <w:gridCol w:w="2549"/>
        <w:gridCol w:w="2460"/>
        <w:gridCol w:w="1050"/>
        <w:gridCol w:w="10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228" w:type="dxa"/>
            <w:gridSpan w:val="6"/>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32"/>
                <w:szCs w:val="32"/>
                <w:u w:val="none"/>
              </w:rPr>
            </w:pPr>
            <w:r>
              <w:rPr>
                <w:rFonts w:hint="eastAsia" w:ascii="幼圆" w:hAnsi="幼圆" w:eastAsia="幼圆" w:cs="幼圆"/>
                <w:b/>
                <w:bCs/>
                <w:i w:val="0"/>
                <w:iCs w:val="0"/>
                <w:color w:val="000000"/>
                <w:kern w:val="0"/>
                <w:sz w:val="32"/>
                <w:szCs w:val="32"/>
                <w:u w:val="none"/>
                <w:lang w:val="en-US" w:eastAsia="zh-CN" w:bidi="ar"/>
              </w:rPr>
              <w:t>长庚医院安防一期设备-维保报价清单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tcBorders>
              <w:top w:val="single" w:color="000000" w:sz="8"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0"/>
                <w:szCs w:val="20"/>
                <w:u w:val="none"/>
              </w:rPr>
            </w:pPr>
            <w:r>
              <w:rPr>
                <w:rFonts w:hint="eastAsia" w:ascii="幼圆" w:hAnsi="幼圆" w:eastAsia="幼圆" w:cs="幼圆"/>
                <w:b/>
                <w:bCs/>
                <w:i w:val="0"/>
                <w:iCs w:val="0"/>
                <w:color w:val="000000"/>
                <w:kern w:val="0"/>
                <w:sz w:val="20"/>
                <w:szCs w:val="20"/>
                <w:u w:val="none"/>
                <w:lang w:val="en-US" w:eastAsia="zh-CN" w:bidi="ar"/>
              </w:rPr>
              <w:t>序号</w:t>
            </w:r>
          </w:p>
        </w:tc>
        <w:tc>
          <w:tcPr>
            <w:tcW w:w="1172" w:type="dxa"/>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0"/>
                <w:szCs w:val="20"/>
                <w:u w:val="none"/>
              </w:rPr>
            </w:pPr>
            <w:r>
              <w:rPr>
                <w:rFonts w:hint="eastAsia" w:ascii="幼圆" w:hAnsi="幼圆" w:eastAsia="幼圆" w:cs="幼圆"/>
                <w:b/>
                <w:bCs/>
                <w:i w:val="0"/>
                <w:iCs w:val="0"/>
                <w:color w:val="000000"/>
                <w:kern w:val="0"/>
                <w:sz w:val="20"/>
                <w:szCs w:val="20"/>
                <w:u w:val="none"/>
                <w:lang w:val="en-US" w:eastAsia="zh-CN" w:bidi="ar"/>
              </w:rPr>
              <w:t>系统分类</w:t>
            </w:r>
          </w:p>
        </w:tc>
        <w:tc>
          <w:tcPr>
            <w:tcW w:w="2550" w:type="dxa"/>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0"/>
                <w:szCs w:val="20"/>
                <w:u w:val="none"/>
              </w:rPr>
            </w:pPr>
            <w:r>
              <w:rPr>
                <w:rFonts w:hint="eastAsia" w:ascii="幼圆" w:hAnsi="幼圆" w:eastAsia="幼圆" w:cs="幼圆"/>
                <w:b/>
                <w:bCs/>
                <w:i w:val="0"/>
                <w:iCs w:val="0"/>
                <w:color w:val="000000"/>
                <w:kern w:val="0"/>
                <w:sz w:val="20"/>
                <w:szCs w:val="20"/>
                <w:u w:val="none"/>
                <w:lang w:val="en-US" w:eastAsia="zh-CN" w:bidi="ar"/>
              </w:rPr>
              <w:t>名称</w:t>
            </w:r>
          </w:p>
        </w:tc>
        <w:tc>
          <w:tcPr>
            <w:tcW w:w="2460" w:type="dxa"/>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0"/>
                <w:szCs w:val="20"/>
                <w:u w:val="none"/>
              </w:rPr>
            </w:pPr>
            <w:r>
              <w:rPr>
                <w:rFonts w:hint="eastAsia" w:ascii="幼圆" w:hAnsi="幼圆" w:eastAsia="幼圆" w:cs="幼圆"/>
                <w:b/>
                <w:bCs/>
                <w:i w:val="0"/>
                <w:iCs w:val="0"/>
                <w:color w:val="000000"/>
                <w:kern w:val="0"/>
                <w:sz w:val="20"/>
                <w:szCs w:val="20"/>
                <w:u w:val="none"/>
                <w:lang w:val="en-US" w:eastAsia="zh-CN" w:bidi="ar"/>
              </w:rPr>
              <w:t>型号和规格</w:t>
            </w:r>
          </w:p>
        </w:tc>
        <w:tc>
          <w:tcPr>
            <w:tcW w:w="1050" w:type="dxa"/>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0"/>
                <w:szCs w:val="20"/>
                <w:u w:val="none"/>
              </w:rPr>
            </w:pPr>
            <w:r>
              <w:rPr>
                <w:rFonts w:hint="eastAsia" w:ascii="幼圆" w:hAnsi="幼圆" w:eastAsia="幼圆" w:cs="幼圆"/>
                <w:b/>
                <w:bCs/>
                <w:i w:val="0"/>
                <w:iCs w:val="0"/>
                <w:color w:val="000000"/>
                <w:kern w:val="0"/>
                <w:sz w:val="20"/>
                <w:szCs w:val="20"/>
                <w:u w:val="none"/>
                <w:lang w:val="en-US" w:eastAsia="zh-CN" w:bidi="ar"/>
              </w:rPr>
              <w:t>数量</w:t>
            </w:r>
          </w:p>
        </w:tc>
        <w:tc>
          <w:tcPr>
            <w:tcW w:w="1050" w:type="dxa"/>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0"/>
                <w:szCs w:val="20"/>
                <w:u w:val="none"/>
              </w:rPr>
            </w:pPr>
            <w:r>
              <w:rPr>
                <w:rFonts w:hint="eastAsia" w:ascii="幼圆" w:hAnsi="幼圆" w:eastAsia="幼圆" w:cs="幼圆"/>
                <w:b/>
                <w:bCs/>
                <w:i w:val="0"/>
                <w:iCs w:val="0"/>
                <w:color w:val="000000"/>
                <w:kern w:val="0"/>
                <w:sz w:val="20"/>
                <w:szCs w:val="20"/>
                <w:u w:val="none"/>
                <w:lang w:val="en-US" w:eastAsia="zh-CN" w:bidi="ar"/>
              </w:rPr>
              <w:t>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一</w:t>
            </w:r>
          </w:p>
        </w:tc>
        <w:tc>
          <w:tcPr>
            <w:tcW w:w="11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视频监控系统</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红外半球型摄像机</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C3220-10-SIU</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653</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电梯专用碟型摄像机</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C3220-10-I-P(2.8mm)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23</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红外筒型摄像机</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C2120-10-SIU</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203</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筒型摄像机(人脸抓拍专用)</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M2141-10-EI</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13</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智能球型摄像机</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C6620-10-Z23</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4</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全景球型摄像机</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IPC6091-P360-Z37</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3</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高保真拾音器</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EJS-100.BW-E</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116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视频存储服务器</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IVS2800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3</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硬盘</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IVSMHDD8T000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108</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视频管理平台</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综合安技防智能化网格系统V1.0(SM-SW-VSM)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系统接入费</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定制</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二</w:t>
            </w:r>
          </w:p>
        </w:tc>
        <w:tc>
          <w:tcPr>
            <w:tcW w:w="11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出入口控制系统</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读卡器</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SM-ACS-READER</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286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射频卡门禁控制器</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SM-ACS-CTRL100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111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人脸门禁终端</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SM-CF-FACE</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指纹门禁控制器</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SM-ACS-CTRL200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175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出入口控制系统</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统一门禁综合管理系统V1.0(SM-ACS-MS)</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磁力锁</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SM-PE-LC-S</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开门按钮</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SM-PE-EB</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员工卡</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SM-ACS-CARD-10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10000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制卡机</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SM-ACS-SND</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发卡器</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SM-ACS-SENDER-20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考勤机</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SM-ACS-CWA-20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可视门禁</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SM-ACS-VAC-50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18</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酒店锁</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定制</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72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三</w:t>
            </w:r>
          </w:p>
        </w:tc>
        <w:tc>
          <w:tcPr>
            <w:tcW w:w="11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IP求助系统</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IP对讲分机</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TRADI0.KY-ACB-07C.HBZE</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158</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IP对讲主机</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TRADI0.KY-TAB700C.HBZE</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IP对讲系统管理主机</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KY1.0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四</w:t>
            </w:r>
          </w:p>
        </w:tc>
        <w:tc>
          <w:tcPr>
            <w:tcW w:w="11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入侵报警系统及电子巡查系统</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无线报警点</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SM-PE-BTN-10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255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智能人体感应器</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SM-SEN-HD</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27</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智能定位感知终端(卡式)</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SM-PT-LR100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可视化报警管理主机</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智能定位报警管理系统V1.0(SM-PE-LAS-2000)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人员定位服务主机</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高精度定位引擎系统V1.0(SM-HS-LOC-2000)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双模物联网汇聚基站</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SM-DBS-LR-8000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单模物联网汇聚基站</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SM-DBS-LR-1000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80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智能定位感知点</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SM-LT-B10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1100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无线烟感探测器</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SM-SEN-SMK-20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五</w:t>
            </w:r>
          </w:p>
        </w:tc>
        <w:tc>
          <w:tcPr>
            <w:tcW w:w="11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安防专网系统及网络信息安全系统</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24口接入交换机</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FutureMatrixS5735S-L24P4S-A2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52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12口接入交换机</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FutureMatrixS1730S-L16P2SR-A1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44</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核心交换机</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S7706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接口板卡</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LSS7G48SX6S0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4</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接口板卡</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LSS7G48TX6EO</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千兆光模块</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SFP-GE-LX-SM1310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112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防火墙</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USG6585E</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日志审计系统</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AXTX-LM/V1.0-500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统一运维审计系统</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0SAS50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六</w:t>
            </w:r>
          </w:p>
        </w:tc>
        <w:tc>
          <w:tcPr>
            <w:tcW w:w="11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安全管理平台</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安消防一体化应急指挥主机</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安消防一体化应急指挥系统V1.0(SM-HS-CCS5500)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综合接入网关</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安防系统接入网关软件V1.0(SM-HS-CAG)</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流媒体转发主机</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综合数据对接流转服务系统V1.0(SM-UAG-1000)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七</w:t>
            </w:r>
          </w:p>
        </w:tc>
        <w:tc>
          <w:tcPr>
            <w:tcW w:w="11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消防水监测系统</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消防水系统监测主机</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液体智能监测预警分析系统V1.0(SM-HS-FWS1000)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无线水管网压力监测传感器</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SM-SEN-PRS</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66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无线液位监测传感器</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SM-SEN-LL</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4</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八</w:t>
            </w:r>
          </w:p>
        </w:tc>
        <w:tc>
          <w:tcPr>
            <w:tcW w:w="11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防火门监测系统</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防火门状态监测主机</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智慧消防监测预警系统V1.0(SM-HS-FGS1000)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防火门状态监测传感器</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SM-SEN-G0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328</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九</w:t>
            </w:r>
          </w:p>
        </w:tc>
        <w:tc>
          <w:tcPr>
            <w:tcW w:w="11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智能分析系统</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智能图像识别分析引擎主机</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智能图像识别分析预警系统V1.0(SM-HS-AID-5001)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算法模块：烟雾监测</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烟火识别算法软件V1.0(SM-ALG-AI-SMOG)</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算法模块：吸烟监测</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行为识别算法软件V1.0(SM-ALG-AI-SMOK)</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算法模块：人脸分析系统</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人脸识别算法软件V1.0(SM-ALG-AI-FACE)</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十</w:t>
            </w:r>
          </w:p>
        </w:tc>
        <w:tc>
          <w:tcPr>
            <w:tcW w:w="11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公共广播系统</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网络音频系统控制中心</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TD-SC.HBZE</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网络音频控制软件</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TD-NSA-N</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广播话筒</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TA-HT-00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DVD播放器</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TA-DE</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前置放大器</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TA-QZ</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网络终端音箱</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TD-NT-Y</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网络报警主机</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TD-NCC-1I</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电源时序器</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TA-CP</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广播分控软件</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TD-NSA-N</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网络音频控制输出接口</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TD-NCC</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13</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网络音频功率放大器-70W</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TD-NCP-60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网络音频功率放大器-360W</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TD-NCP-361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网络音频功率放大器-500W</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TD-NCP-501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四通道广播功率放大器</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TR-NPC681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7</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四通道广播功率放大器</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TR-NPC102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吸顶喇叭</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TR-NTC-P</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55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十一</w:t>
            </w:r>
          </w:p>
        </w:tc>
        <w:tc>
          <w:tcPr>
            <w:tcW w:w="11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监控中心相关设备</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操作台</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1200mm×900mm×750mm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LCD拼接屏</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V1372H-49P-AL1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9</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壁挂式前维护支架单元</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V1379H-49</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9</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高清解码器</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PM60MA3/00-8H-BHX</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用户操作终端</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ThinkStationK01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3</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精密空调</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NetCo18000-A045U4WE4</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i w:val="0"/>
                <w:iCs w:val="0"/>
                <w:color w:val="000000"/>
                <w:sz w:val="20"/>
                <w:szCs w:val="20"/>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KVM切换器</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L-1708</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sz w:val="20"/>
                <w:szCs w:val="20"/>
                <w:u w:val="none"/>
              </w:rPr>
            </w:pPr>
            <w:r>
              <w:rPr>
                <w:rFonts w:hint="eastAsia" w:ascii="幼圆" w:hAnsi="幼圆" w:eastAsia="幼圆" w:cs="幼圆"/>
                <w:i w:val="0"/>
                <w:iCs w:val="0"/>
                <w:color w:val="000000"/>
                <w:kern w:val="0"/>
                <w:sz w:val="20"/>
                <w:szCs w:val="20"/>
                <w:u w:val="none"/>
                <w:lang w:val="en-US" w:eastAsia="zh-CN" w:bidi="ar"/>
              </w:rPr>
              <w:t>台</w:t>
            </w:r>
          </w:p>
        </w:tc>
      </w:tr>
    </w:tbl>
    <w:p>
      <w:pPr>
        <w:pStyle w:val="2"/>
        <w:rPr>
          <w:rFonts w:hint="eastAsia" w:ascii="幼圆" w:hAnsi="幼圆" w:eastAsia="幼圆" w:cs="幼圆"/>
          <w:lang w:val="en-US" w:eastAsia="zh-CN"/>
        </w:rPr>
      </w:pPr>
    </w:p>
    <w:p>
      <w:pPr>
        <w:keepNext w:val="0"/>
        <w:keepLines w:val="0"/>
        <w:pageBreakBefore w:val="0"/>
        <w:widowControl/>
        <w:numPr>
          <w:ilvl w:val="0"/>
          <w:numId w:val="0"/>
        </w:numPr>
        <w:kinsoku w:val="0"/>
        <w:wordWrap/>
        <w:overflowPunct w:val="0"/>
        <w:topLinePunct w:val="0"/>
        <w:autoSpaceDE w:val="0"/>
        <w:autoSpaceDN w:val="0"/>
        <w:bidi w:val="0"/>
        <w:adjustRightInd w:val="0"/>
        <w:spacing w:after="0" w:line="24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十、评标方法和评审标准</w:t>
      </w:r>
      <w:bookmarkEnd w:id="0"/>
    </w:p>
    <w:p>
      <w:pPr>
        <w:keepNext w:val="0"/>
        <w:keepLines w:val="0"/>
        <w:pageBreakBefore w:val="0"/>
        <w:widowControl/>
        <w:numPr>
          <w:ilvl w:val="0"/>
          <w:numId w:val="0"/>
        </w:numPr>
        <w:wordWrap/>
        <w:topLinePunct w:val="0"/>
        <w:bidi w:val="0"/>
        <w:spacing w:after="0" w:line="240" w:lineRule="auto"/>
        <w:ind w:leftChars="0"/>
        <w:jc w:val="both"/>
        <w:rPr>
          <w:rFonts w:hint="eastAsia" w:ascii="幼圆" w:hAnsi="幼圆" w:eastAsia="幼圆" w:cs="幼圆"/>
          <w:b/>
          <w:bCs/>
          <w:sz w:val="24"/>
          <w:szCs w:val="20"/>
          <w:lang w:val="en-US" w:eastAsia="zh-CN"/>
        </w:rPr>
      </w:pPr>
      <w:r>
        <w:rPr>
          <w:rFonts w:hint="eastAsia" w:ascii="幼圆" w:hAnsi="幼圆" w:eastAsia="幼圆" w:cs="幼圆"/>
          <w:b/>
          <w:bCs/>
          <w:sz w:val="24"/>
          <w:szCs w:val="20"/>
          <w:lang w:val="en-US" w:eastAsia="zh-CN"/>
        </w:rPr>
        <w:t>1.评标方法</w:t>
      </w:r>
    </w:p>
    <w:p>
      <w:pPr>
        <w:pStyle w:val="22"/>
        <w:spacing w:line="240" w:lineRule="auto"/>
        <w:ind w:firstLine="440" w:firstLineChars="200"/>
        <w:rPr>
          <w:rFonts w:hint="eastAsia" w:ascii="幼圆" w:hAnsi="幼圆" w:eastAsia="幼圆" w:cs="幼圆"/>
          <w:lang w:val="en-US" w:eastAsia="zh-CN"/>
        </w:rPr>
      </w:pPr>
      <w:r>
        <w:rPr>
          <w:rFonts w:hint="eastAsia" w:ascii="幼圆" w:hAnsi="幼圆" w:eastAsia="幼圆" w:cs="幼圆"/>
          <w:lang w:val="en-US" w:eastAsia="zh-CN"/>
        </w:rPr>
        <w:t>本次评标采用</w:t>
      </w:r>
      <w:r>
        <w:rPr>
          <w:rFonts w:hint="eastAsia" w:ascii="幼圆" w:hAnsi="幼圆" w:eastAsia="幼圆" w:cs="幼圆"/>
          <w:b/>
          <w:bCs/>
          <w:lang w:val="en-US" w:eastAsia="zh-CN"/>
        </w:rPr>
        <w:t>综合评分法</w:t>
      </w:r>
      <w:r>
        <w:rPr>
          <w:rFonts w:hint="eastAsia" w:ascii="幼圆" w:hAnsi="幼圆" w:eastAsia="幼圆" w:cs="幼圆"/>
          <w:lang w:val="en-US" w:eastAsia="zh-CN"/>
        </w:rPr>
        <w:t>，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keepNext w:val="0"/>
        <w:keepLines w:val="0"/>
        <w:pageBreakBefore w:val="0"/>
        <w:widowControl/>
        <w:numPr>
          <w:ilvl w:val="0"/>
          <w:numId w:val="0"/>
        </w:numPr>
        <w:wordWrap/>
        <w:topLinePunct w:val="0"/>
        <w:bidi w:val="0"/>
        <w:spacing w:after="0" w:line="240" w:lineRule="auto"/>
        <w:ind w:leftChars="0" w:firstLine="482" w:firstLineChars="200"/>
        <w:jc w:val="both"/>
        <w:rPr>
          <w:rFonts w:hint="eastAsia" w:ascii="幼圆" w:hAnsi="幼圆" w:eastAsia="幼圆" w:cs="幼圆"/>
          <w:b/>
          <w:bCs/>
          <w:color w:val="FF0000"/>
          <w:sz w:val="24"/>
          <w:szCs w:val="20"/>
        </w:rPr>
      </w:pPr>
      <w:r>
        <w:rPr>
          <w:rFonts w:hint="eastAsia" w:ascii="幼圆" w:hAnsi="幼圆" w:eastAsia="幼圆" w:cs="幼圆"/>
          <w:b/>
          <w:bCs/>
          <w:color w:val="FF0000"/>
          <w:sz w:val="24"/>
          <w:szCs w:val="20"/>
        </w:rPr>
        <w:t>投标最低报价不作为中标的唯一理由</w:t>
      </w:r>
    </w:p>
    <w:p>
      <w:pPr>
        <w:keepNext w:val="0"/>
        <w:keepLines w:val="0"/>
        <w:pageBreakBefore w:val="0"/>
        <w:widowControl/>
        <w:numPr>
          <w:ilvl w:val="0"/>
          <w:numId w:val="0"/>
        </w:numPr>
        <w:wordWrap/>
        <w:topLinePunct w:val="0"/>
        <w:bidi w:val="0"/>
        <w:spacing w:after="0" w:line="240" w:lineRule="auto"/>
        <w:ind w:leftChars="0"/>
        <w:jc w:val="both"/>
        <w:rPr>
          <w:rFonts w:hint="eastAsia" w:ascii="幼圆" w:hAnsi="幼圆" w:eastAsia="幼圆" w:cs="幼圆"/>
          <w:b/>
          <w:bCs/>
          <w:sz w:val="24"/>
          <w:szCs w:val="20"/>
          <w:lang w:val="en-US" w:eastAsia="zh-CN"/>
        </w:rPr>
      </w:pPr>
      <w:r>
        <w:rPr>
          <w:rFonts w:hint="eastAsia" w:ascii="幼圆" w:hAnsi="幼圆" w:eastAsia="幼圆" w:cs="幼圆"/>
          <w:b/>
          <w:bCs/>
          <w:sz w:val="24"/>
          <w:szCs w:val="20"/>
          <w:lang w:val="en-US" w:eastAsia="zh-CN"/>
        </w:rPr>
        <w:t>2</w:t>
      </w:r>
      <w:r>
        <w:rPr>
          <w:rFonts w:hint="eastAsia" w:ascii="幼圆" w:hAnsi="幼圆" w:eastAsia="幼圆" w:cs="幼圆"/>
          <w:b/>
          <w:bCs/>
          <w:sz w:val="24"/>
          <w:szCs w:val="20"/>
        </w:rPr>
        <w:t>.</w:t>
      </w:r>
      <w:r>
        <w:rPr>
          <w:rFonts w:hint="eastAsia" w:ascii="幼圆" w:hAnsi="幼圆" w:eastAsia="幼圆" w:cs="幼圆"/>
          <w:b/>
          <w:bCs/>
          <w:sz w:val="24"/>
          <w:szCs w:val="20"/>
          <w:lang w:val="en-US" w:eastAsia="zh-CN"/>
        </w:rPr>
        <w:t>评分标准</w:t>
      </w:r>
    </w:p>
    <w:tbl>
      <w:tblPr>
        <w:tblStyle w:val="35"/>
        <w:tblW w:w="9402"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12"/>
        <w:gridCol w:w="776"/>
        <w:gridCol w:w="1665"/>
        <w:gridCol w:w="574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Align w:val="center"/>
          </w:tcPr>
          <w:p>
            <w:pPr>
              <w:widowControl/>
              <w:spacing w:line="240" w:lineRule="auto"/>
              <w:jc w:val="center"/>
              <w:rPr>
                <w:rFonts w:hint="eastAsia" w:ascii="幼圆" w:hAnsi="幼圆" w:eastAsia="幼圆" w:cs="幼圆"/>
                <w:b/>
                <w:bCs/>
                <w:highlight w:val="none"/>
              </w:rPr>
            </w:pPr>
            <w:bookmarkStart w:id="2" w:name="_Hlk536608376"/>
            <w:r>
              <w:rPr>
                <w:rFonts w:hint="eastAsia" w:ascii="幼圆" w:hAnsi="幼圆" w:eastAsia="幼圆" w:cs="幼圆"/>
                <w:b/>
                <w:bCs/>
                <w:highlight w:val="none"/>
              </w:rPr>
              <w:t>内容</w:t>
            </w:r>
          </w:p>
        </w:tc>
        <w:tc>
          <w:tcPr>
            <w:tcW w:w="776" w:type="dxa"/>
            <w:vAlign w:val="center"/>
          </w:tcPr>
          <w:p>
            <w:pPr>
              <w:widowControl/>
              <w:spacing w:line="240" w:lineRule="auto"/>
              <w:jc w:val="center"/>
              <w:rPr>
                <w:rFonts w:hint="eastAsia" w:ascii="幼圆" w:hAnsi="幼圆" w:eastAsia="幼圆" w:cs="幼圆"/>
                <w:b/>
                <w:bCs/>
                <w:highlight w:val="none"/>
              </w:rPr>
            </w:pPr>
            <w:r>
              <w:rPr>
                <w:rFonts w:hint="eastAsia" w:ascii="幼圆" w:hAnsi="幼圆" w:eastAsia="幼圆" w:cs="幼圆"/>
                <w:b/>
                <w:bCs/>
                <w:highlight w:val="none"/>
              </w:rPr>
              <w:t>分值</w:t>
            </w:r>
          </w:p>
        </w:tc>
        <w:tc>
          <w:tcPr>
            <w:tcW w:w="1665" w:type="dxa"/>
            <w:vAlign w:val="center"/>
          </w:tcPr>
          <w:p>
            <w:pPr>
              <w:widowControl/>
              <w:spacing w:line="240" w:lineRule="auto"/>
              <w:jc w:val="center"/>
              <w:rPr>
                <w:rFonts w:hint="eastAsia" w:ascii="幼圆" w:hAnsi="幼圆" w:eastAsia="幼圆" w:cs="幼圆"/>
                <w:b/>
                <w:bCs/>
                <w:highlight w:val="none"/>
              </w:rPr>
            </w:pPr>
            <w:r>
              <w:rPr>
                <w:rFonts w:hint="eastAsia" w:ascii="幼圆" w:hAnsi="幼圆" w:eastAsia="幼圆" w:cs="幼圆"/>
                <w:b/>
                <w:bCs/>
                <w:highlight w:val="none"/>
              </w:rPr>
              <w:t>评分因素分项</w:t>
            </w:r>
          </w:p>
        </w:tc>
        <w:tc>
          <w:tcPr>
            <w:tcW w:w="5749" w:type="dxa"/>
            <w:vAlign w:val="center"/>
          </w:tcPr>
          <w:p>
            <w:pPr>
              <w:widowControl/>
              <w:spacing w:line="240" w:lineRule="auto"/>
              <w:jc w:val="center"/>
              <w:rPr>
                <w:rFonts w:hint="eastAsia" w:ascii="幼圆" w:hAnsi="幼圆" w:eastAsia="幼圆" w:cs="幼圆"/>
                <w:b/>
                <w:bCs/>
                <w:highlight w:val="none"/>
              </w:rPr>
            </w:pPr>
            <w:r>
              <w:rPr>
                <w:rFonts w:hint="eastAsia" w:ascii="幼圆" w:hAnsi="幼圆" w:eastAsia="幼圆" w:cs="幼圆"/>
                <w:b/>
                <w:bCs/>
                <w:highlight w:val="none"/>
              </w:rPr>
              <w:t>评分标准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价格部分</w:t>
            </w:r>
          </w:p>
        </w:tc>
        <w:tc>
          <w:tcPr>
            <w:tcW w:w="776" w:type="dxa"/>
            <w:vAlign w:val="center"/>
          </w:tcPr>
          <w:p>
            <w:pPr>
              <w:widowControl/>
              <w:spacing w:line="240" w:lineRule="auto"/>
              <w:jc w:val="center"/>
              <w:rPr>
                <w:rFonts w:hint="eastAsia" w:ascii="幼圆" w:hAnsi="幼圆" w:eastAsia="幼圆" w:cs="幼圆"/>
                <w:highlight w:val="none"/>
                <w:lang w:eastAsia="zh-CN"/>
              </w:rPr>
            </w:pPr>
            <w:r>
              <w:rPr>
                <w:rFonts w:hint="eastAsia" w:ascii="幼圆" w:hAnsi="幼圆" w:eastAsia="幼圆" w:cs="幼圆"/>
                <w:highlight w:val="none"/>
                <w:lang w:val="en-US" w:eastAsia="zh-CN"/>
              </w:rPr>
              <w:t>20</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评标价格</w:t>
            </w:r>
          </w:p>
        </w:tc>
        <w:tc>
          <w:tcPr>
            <w:tcW w:w="5749" w:type="dxa"/>
            <w:vAlign w:val="center"/>
          </w:tcPr>
          <w:p>
            <w:pPr>
              <w:pStyle w:val="22"/>
              <w:keepNext w:val="0"/>
              <w:keepLines w:val="0"/>
              <w:pageBreakBefore w:val="0"/>
              <w:tabs>
                <w:tab w:val="left" w:pos="567"/>
              </w:tabs>
              <w:kinsoku/>
              <w:wordWrap/>
              <w:overflowPunct/>
              <w:topLinePunct w:val="0"/>
              <w:autoSpaceDE/>
              <w:autoSpaceDN/>
              <w:bidi w:val="0"/>
              <w:snapToGrid/>
              <w:spacing w:before="0" w:line="240" w:lineRule="auto"/>
              <w:rPr>
                <w:rFonts w:hint="eastAsia" w:ascii="幼圆" w:hAnsi="幼圆" w:eastAsia="幼圆" w:cs="幼圆"/>
                <w:highlight w:val="none"/>
                <w:lang w:eastAsia="zh-CN"/>
              </w:rPr>
            </w:pPr>
            <w:r>
              <w:rPr>
                <w:rFonts w:hint="eastAsia" w:ascii="幼圆" w:hAnsi="幼圆" w:eastAsia="幼圆" w:cs="幼圆"/>
                <w:highlight w:val="none"/>
                <w:lang w:eastAsia="zh-CN"/>
              </w:rPr>
              <w:t>满足招标文件要求且投标价格最低的投标报价为评标基准价，其价格分为满分。其他投标人的价格分统一按照下列公式计算：</w:t>
            </w:r>
          </w:p>
          <w:p>
            <w:pPr>
              <w:pStyle w:val="22"/>
              <w:keepNext w:val="0"/>
              <w:keepLines w:val="0"/>
              <w:pageBreakBefore w:val="0"/>
              <w:tabs>
                <w:tab w:val="left" w:pos="567"/>
              </w:tabs>
              <w:kinsoku/>
              <w:wordWrap/>
              <w:overflowPunct/>
              <w:topLinePunct w:val="0"/>
              <w:autoSpaceDE/>
              <w:autoSpaceDN/>
              <w:bidi w:val="0"/>
              <w:snapToGrid/>
              <w:spacing w:before="0" w:line="240" w:lineRule="auto"/>
              <w:rPr>
                <w:rFonts w:hint="eastAsia" w:ascii="幼圆" w:hAnsi="幼圆" w:eastAsia="幼圆" w:cs="幼圆"/>
                <w:highlight w:val="none"/>
              </w:rPr>
            </w:pPr>
            <w:r>
              <w:rPr>
                <w:rFonts w:hint="eastAsia" w:ascii="幼圆" w:hAnsi="幼圆" w:eastAsia="幼圆" w:cs="幼圆"/>
                <w:highlight w:val="none"/>
                <w:lang w:eastAsia="zh-CN"/>
              </w:rPr>
              <w:t>投标报价得分=(评标基准价／投标报价)×</w:t>
            </w:r>
            <w:r>
              <w:rPr>
                <w:rFonts w:hint="eastAsia" w:ascii="幼圆" w:hAnsi="幼圆" w:eastAsia="幼圆" w:cs="幼圆"/>
                <w:highlight w:val="none"/>
                <w:lang w:val="en-US" w:eastAsia="zh-CN"/>
              </w:rPr>
              <w:t>20</w:t>
            </w:r>
            <w:r>
              <w:rPr>
                <w:rFonts w:hint="eastAsia" w:ascii="幼圆" w:hAnsi="幼圆" w:eastAsia="幼圆" w:cs="幼圆"/>
                <w:highlight w:val="none"/>
                <w:lang w:eastAsia="zh-C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3" w:hRule="atLeast"/>
          <w:jc w:val="center"/>
        </w:trPr>
        <w:tc>
          <w:tcPr>
            <w:tcW w:w="1212"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商务部分</w:t>
            </w: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10</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类似业绩</w:t>
            </w:r>
          </w:p>
        </w:tc>
        <w:tc>
          <w:tcPr>
            <w:tcW w:w="5749" w:type="dxa"/>
            <w:vAlign w:val="center"/>
          </w:tcPr>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自202</w:t>
            </w:r>
            <w:r>
              <w:rPr>
                <w:rFonts w:hint="eastAsia" w:ascii="幼圆" w:hAnsi="幼圆" w:eastAsia="幼圆" w:cs="幼圆"/>
                <w:highlight w:val="none"/>
                <w:lang w:val="en-US" w:eastAsia="zh-CN"/>
              </w:rPr>
              <w:t>3</w:t>
            </w:r>
            <w:r>
              <w:rPr>
                <w:rFonts w:hint="eastAsia" w:ascii="幼圆" w:hAnsi="幼圆" w:eastAsia="幼圆" w:cs="幼圆"/>
                <w:highlight w:val="none"/>
                <w:lang w:eastAsia="zh-CN"/>
              </w:rPr>
              <w:t>年</w:t>
            </w:r>
            <w:r>
              <w:rPr>
                <w:rFonts w:hint="eastAsia" w:ascii="幼圆" w:hAnsi="幼圆" w:eastAsia="幼圆" w:cs="幼圆"/>
                <w:highlight w:val="none"/>
                <w:lang w:val="en-US" w:eastAsia="zh-CN"/>
              </w:rPr>
              <w:t>3</w:t>
            </w:r>
            <w:r>
              <w:rPr>
                <w:rFonts w:hint="eastAsia" w:ascii="幼圆" w:hAnsi="幼圆" w:eastAsia="幼圆" w:cs="幼圆"/>
                <w:highlight w:val="none"/>
                <w:lang w:eastAsia="zh-CN"/>
              </w:rPr>
              <w:t>月1日至今（按合同签订时间计算），投标人每提供一个</w:t>
            </w:r>
            <w:r>
              <w:rPr>
                <w:rFonts w:hint="eastAsia" w:ascii="幼圆" w:hAnsi="幼圆" w:eastAsia="幼圆" w:cs="幼圆"/>
                <w:highlight w:val="none"/>
                <w:lang w:val="en-US" w:eastAsia="zh-CN"/>
              </w:rPr>
              <w:t>同类</w:t>
            </w:r>
            <w:r>
              <w:rPr>
                <w:rFonts w:hint="eastAsia" w:ascii="幼圆" w:hAnsi="幼圆" w:eastAsia="幼圆" w:cs="幼圆"/>
                <w:highlight w:val="none"/>
                <w:lang w:eastAsia="zh-CN"/>
              </w:rPr>
              <w:t>项目</w:t>
            </w:r>
            <w:r>
              <w:rPr>
                <w:rFonts w:hint="eastAsia" w:ascii="幼圆" w:hAnsi="幼圆" w:eastAsia="幼圆" w:cs="幼圆"/>
                <w:highlight w:val="none"/>
                <w:lang w:val="en-US" w:eastAsia="zh-CN"/>
              </w:rPr>
              <w:t>的</w:t>
            </w:r>
            <w:r>
              <w:rPr>
                <w:rFonts w:hint="eastAsia" w:ascii="幼圆" w:hAnsi="幼圆" w:eastAsia="幼圆" w:cs="幼圆"/>
                <w:highlight w:val="none"/>
                <w:lang w:eastAsia="zh-CN"/>
              </w:rPr>
              <w:t>业绩，得</w:t>
            </w:r>
            <w:r>
              <w:rPr>
                <w:rFonts w:hint="eastAsia" w:ascii="幼圆" w:hAnsi="幼圆" w:eastAsia="幼圆" w:cs="幼圆"/>
                <w:highlight w:val="none"/>
                <w:lang w:val="en-US" w:eastAsia="zh-CN"/>
              </w:rPr>
              <w:t>2</w:t>
            </w:r>
            <w:r>
              <w:rPr>
                <w:rFonts w:hint="eastAsia" w:ascii="幼圆" w:hAnsi="幼圆" w:eastAsia="幼圆" w:cs="幼圆"/>
                <w:highlight w:val="none"/>
                <w:lang w:eastAsia="zh-CN"/>
              </w:rPr>
              <w:t>分，最高得</w:t>
            </w:r>
            <w:r>
              <w:rPr>
                <w:rFonts w:hint="eastAsia" w:ascii="幼圆" w:hAnsi="幼圆" w:eastAsia="幼圆" w:cs="幼圆"/>
                <w:highlight w:val="none"/>
                <w:lang w:val="en-US" w:eastAsia="zh-CN"/>
              </w:rPr>
              <w:t>10</w:t>
            </w:r>
            <w:r>
              <w:rPr>
                <w:rFonts w:hint="eastAsia" w:ascii="幼圆" w:hAnsi="幼圆" w:eastAsia="幼圆" w:cs="幼圆"/>
                <w:highlight w:val="none"/>
                <w:lang w:eastAsia="zh-CN"/>
              </w:rPr>
              <w:t>分。须提供合同复印件，内容能体现合同名称、主要服务内容以及双方签字盖章页。未按上述要求提供合同复印件的不得分。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restart"/>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技术部分</w:t>
            </w:r>
          </w:p>
        </w:tc>
        <w:tc>
          <w:tcPr>
            <w:tcW w:w="776" w:type="dxa"/>
            <w:shd w:val="clear" w:color="auto" w:fill="auto"/>
            <w:vAlign w:val="center"/>
          </w:tcPr>
          <w:p>
            <w:pPr>
              <w:widowControl/>
              <w:spacing w:line="240" w:lineRule="auto"/>
              <w:jc w:val="center"/>
              <w:rPr>
                <w:rFonts w:hint="eastAsia" w:ascii="幼圆" w:hAnsi="幼圆" w:eastAsia="幼圆" w:cs="幼圆"/>
                <w:sz w:val="24"/>
                <w:szCs w:val="24"/>
                <w:highlight w:val="none"/>
                <w:lang w:val="en-US" w:eastAsia="zh-CN" w:bidi="ar-SA"/>
              </w:rPr>
            </w:pPr>
            <w:r>
              <w:rPr>
                <w:rFonts w:hint="eastAsia" w:ascii="幼圆" w:hAnsi="幼圆" w:eastAsia="幼圆" w:cs="幼圆"/>
                <w:highlight w:val="none"/>
                <w:lang w:val="en-US" w:eastAsia="zh-CN"/>
              </w:rPr>
              <w:t>27</w:t>
            </w:r>
          </w:p>
        </w:tc>
        <w:tc>
          <w:tcPr>
            <w:tcW w:w="1665" w:type="dxa"/>
            <w:shd w:val="clear" w:color="auto" w:fill="auto"/>
            <w:vAlign w:val="center"/>
          </w:tcPr>
          <w:p>
            <w:pPr>
              <w:widowControl/>
              <w:spacing w:line="240" w:lineRule="auto"/>
              <w:jc w:val="center"/>
              <w:rPr>
                <w:rFonts w:hint="eastAsia" w:ascii="幼圆" w:hAnsi="幼圆" w:eastAsia="幼圆" w:cs="幼圆"/>
                <w:sz w:val="24"/>
                <w:szCs w:val="24"/>
                <w:highlight w:val="none"/>
                <w:lang w:val="en-US" w:eastAsia="zh-CN" w:bidi="ar-SA"/>
              </w:rPr>
            </w:pPr>
            <w:r>
              <w:rPr>
                <w:rFonts w:hint="eastAsia" w:ascii="幼圆" w:hAnsi="幼圆" w:eastAsia="幼圆" w:cs="幼圆"/>
                <w:highlight w:val="none"/>
              </w:rPr>
              <w:t>对文件技术要求的响应程度</w:t>
            </w:r>
          </w:p>
        </w:tc>
        <w:tc>
          <w:tcPr>
            <w:tcW w:w="5749" w:type="dxa"/>
            <w:shd w:val="clear" w:color="auto" w:fill="auto"/>
            <w:vAlign w:val="center"/>
          </w:tcPr>
          <w:p>
            <w:pPr>
              <w:widowControl/>
              <w:spacing w:line="240" w:lineRule="auto"/>
              <w:jc w:val="both"/>
              <w:rPr>
                <w:rFonts w:hint="eastAsia" w:ascii="幼圆" w:hAnsi="幼圆" w:eastAsia="幼圆" w:cs="幼圆"/>
                <w:highlight w:val="none"/>
              </w:rPr>
            </w:pPr>
            <w:r>
              <w:rPr>
                <w:rFonts w:hint="eastAsia" w:ascii="幼圆" w:hAnsi="幼圆" w:eastAsia="幼圆" w:cs="幼圆"/>
                <w:highlight w:val="none"/>
              </w:rPr>
              <w:t>投标人完全满足【技术要求及评分标准】中“</w:t>
            </w:r>
            <w:r>
              <w:rPr>
                <w:rFonts w:hint="eastAsia" w:ascii="幼圆" w:hAnsi="幼圆" w:eastAsia="幼圆" w:cs="幼圆"/>
                <w:highlight w:val="none"/>
                <w:lang w:val="en-US" w:eastAsia="zh-CN"/>
              </w:rPr>
              <w:t>五</w:t>
            </w:r>
            <w:r>
              <w:rPr>
                <w:rFonts w:hint="eastAsia" w:ascii="幼圆" w:hAnsi="幼圆" w:eastAsia="幼圆" w:cs="幼圆"/>
                <w:highlight w:val="none"/>
              </w:rPr>
              <w:t>、</w:t>
            </w:r>
            <w:r>
              <w:rPr>
                <w:rFonts w:hint="eastAsia" w:ascii="幼圆" w:hAnsi="幼圆" w:eastAsia="幼圆" w:cs="幼圆"/>
                <w:highlight w:val="none"/>
                <w:lang w:val="en-US" w:eastAsia="zh-CN"/>
              </w:rPr>
              <w:t>维保内容</w:t>
            </w:r>
            <w:r>
              <w:rPr>
                <w:rFonts w:hint="eastAsia" w:ascii="幼圆" w:hAnsi="幼圆" w:eastAsia="幼圆" w:cs="幼圆"/>
                <w:highlight w:val="none"/>
              </w:rPr>
              <w:t>”的得</w:t>
            </w:r>
            <w:r>
              <w:rPr>
                <w:rFonts w:hint="eastAsia" w:ascii="幼圆" w:hAnsi="幼圆" w:eastAsia="幼圆" w:cs="幼圆"/>
                <w:highlight w:val="none"/>
                <w:lang w:val="en-US" w:eastAsia="zh-CN"/>
              </w:rPr>
              <w:t>27</w:t>
            </w:r>
            <w:r>
              <w:rPr>
                <w:rFonts w:hint="eastAsia" w:ascii="幼圆" w:hAnsi="幼圆" w:eastAsia="幼圆" w:cs="幼圆"/>
                <w:highlight w:val="none"/>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rPr>
              <w:t>共有</w:t>
            </w:r>
            <w:r>
              <w:rPr>
                <w:rFonts w:hint="eastAsia" w:ascii="幼圆" w:hAnsi="幼圆" w:eastAsia="幼圆" w:cs="幼圆"/>
                <w:highlight w:val="none"/>
                <w:lang w:val="en-US" w:eastAsia="zh-CN"/>
              </w:rPr>
              <w:t>12</w:t>
            </w:r>
            <w:r>
              <w:rPr>
                <w:rFonts w:hint="eastAsia" w:ascii="幼圆" w:hAnsi="幼圆" w:eastAsia="幼圆" w:cs="幼圆"/>
                <w:highlight w:val="none"/>
              </w:rPr>
              <w:t>项指标，每满足一项得</w:t>
            </w:r>
            <w:r>
              <w:rPr>
                <w:rFonts w:hint="eastAsia" w:ascii="幼圆" w:hAnsi="幼圆" w:eastAsia="幼圆" w:cs="幼圆"/>
                <w:highlight w:val="none"/>
                <w:lang w:val="en-US" w:eastAsia="zh-CN"/>
              </w:rPr>
              <w:t>2.25</w:t>
            </w:r>
            <w:r>
              <w:rPr>
                <w:rFonts w:hint="eastAsia" w:ascii="幼圆" w:hAnsi="幼圆" w:eastAsia="幼圆" w:cs="幼圆"/>
                <w:highlight w:val="none"/>
              </w:rPr>
              <w:t>分，共</w:t>
            </w:r>
            <w:r>
              <w:rPr>
                <w:rFonts w:hint="eastAsia" w:ascii="幼圆" w:hAnsi="幼圆" w:eastAsia="幼圆" w:cs="幼圆"/>
                <w:highlight w:val="none"/>
                <w:lang w:val="en-US" w:eastAsia="zh-CN"/>
              </w:rPr>
              <w:t>27</w:t>
            </w:r>
            <w:r>
              <w:rPr>
                <w:rFonts w:hint="eastAsia" w:ascii="幼圆" w:hAnsi="幼圆" w:eastAsia="幼圆" w:cs="幼圆"/>
                <w:highlight w:val="none"/>
              </w:rPr>
              <w:t>分</w:t>
            </w:r>
            <w:r>
              <w:rPr>
                <w:rFonts w:hint="eastAsia" w:ascii="幼圆" w:hAnsi="幼圆" w:eastAsia="幼圆" w:cs="幼圆"/>
                <w:highlight w:val="none"/>
                <w:lang w:eastAsia="zh-CN"/>
              </w:rPr>
              <w:t>。</w:t>
            </w:r>
          </w:p>
          <w:p>
            <w:pPr>
              <w:widowControl/>
              <w:spacing w:line="240" w:lineRule="auto"/>
              <w:jc w:val="both"/>
              <w:rPr>
                <w:rFonts w:hint="eastAsia" w:ascii="幼圆" w:hAnsi="幼圆" w:eastAsia="幼圆" w:cs="幼圆"/>
                <w:b/>
                <w:bCs/>
                <w:highlight w:val="none"/>
                <w:lang w:eastAsia="zh-CN"/>
              </w:rPr>
            </w:pPr>
            <w:r>
              <w:rPr>
                <w:rFonts w:hint="eastAsia" w:ascii="幼圆" w:hAnsi="幼圆" w:eastAsia="幼圆" w:cs="幼圆"/>
                <w:b/>
                <w:bCs/>
                <w:highlight w:val="none"/>
                <w:lang w:eastAsia="zh-CN"/>
              </w:rPr>
              <w:t>注：</w:t>
            </w:r>
            <w:r>
              <w:rPr>
                <w:rFonts w:hint="eastAsia" w:ascii="幼圆" w:hAnsi="幼圆" w:eastAsia="幼圆" w:cs="幼圆"/>
                <w:b/>
                <w:bCs/>
                <w:highlight w:val="none"/>
                <w:lang w:val="en-US" w:eastAsia="zh-CN"/>
              </w:rPr>
              <w:t>1</w:t>
            </w:r>
            <w:r>
              <w:rPr>
                <w:rFonts w:hint="eastAsia" w:ascii="幼圆" w:hAnsi="幼圆" w:eastAsia="幼圆" w:cs="幼圆"/>
                <w:b/>
                <w:bCs/>
                <w:highlight w:val="none"/>
                <w:lang w:eastAsia="zh-CN"/>
              </w:rPr>
              <w:t>）“</w:t>
            </w:r>
            <w:r>
              <w:rPr>
                <w:rFonts w:hint="eastAsia" w:ascii="幼圆" w:hAnsi="幼圆" w:eastAsia="幼圆" w:cs="幼圆"/>
                <w:b/>
                <w:bCs/>
                <w:highlight w:val="none"/>
                <w:lang w:val="en-US" w:eastAsia="zh-CN"/>
              </w:rPr>
              <w:t>维保内容</w:t>
            </w:r>
            <w:r>
              <w:rPr>
                <w:rFonts w:hint="eastAsia" w:ascii="幼圆" w:hAnsi="幼圆" w:eastAsia="幼圆" w:cs="幼圆"/>
                <w:b/>
                <w:bCs/>
                <w:highlight w:val="none"/>
                <w:lang w:eastAsia="zh-CN"/>
              </w:rPr>
              <w:t>”以“ 附件《技术规格偏离表》”响应为准，否则不得分。</w:t>
            </w:r>
          </w:p>
          <w:p>
            <w:pPr>
              <w:spacing w:line="240" w:lineRule="auto"/>
              <w:jc w:val="both"/>
              <w:rPr>
                <w:rFonts w:hint="eastAsia" w:ascii="幼圆" w:hAnsi="幼圆" w:eastAsia="幼圆" w:cs="幼圆"/>
                <w:b/>
                <w:bCs/>
                <w:highlight w:val="none"/>
                <w:lang w:val="en-US" w:eastAsia="zh-CN"/>
              </w:rPr>
            </w:pPr>
            <w:r>
              <w:rPr>
                <w:rFonts w:hint="eastAsia" w:ascii="幼圆" w:hAnsi="幼圆" w:eastAsia="幼圆" w:cs="幼圆"/>
                <w:b/>
                <w:bCs/>
                <w:highlight w:val="none"/>
              </w:rPr>
              <w:t>2）以“</w:t>
            </w:r>
            <w:r>
              <w:rPr>
                <w:rFonts w:hint="eastAsia" w:ascii="幼圆" w:hAnsi="幼圆" w:eastAsia="幼圆" w:cs="幼圆"/>
                <w:b/>
                <w:bCs/>
                <w:highlight w:val="none"/>
                <w:lang w:val="en-US" w:eastAsia="zh-CN"/>
              </w:rPr>
              <w:t>维保内容</w:t>
            </w:r>
            <w:r>
              <w:rPr>
                <w:rFonts w:hint="eastAsia" w:ascii="幼圆" w:hAnsi="幼圆" w:eastAsia="幼圆" w:cs="幼圆"/>
                <w:b/>
                <w:bCs/>
                <w:highlight w:val="none"/>
              </w:rPr>
              <w:t>”中的“序号”作为指标项的计算依据，无论该指标项包含几条技术参数。如该指标项中有任意一条指标不满足招标文件要求或负偏离，则该项不得分；漏报该项不得分。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continue"/>
            <w:vAlign w:val="center"/>
          </w:tcPr>
          <w:p>
            <w:pPr>
              <w:widowControl/>
              <w:spacing w:line="240" w:lineRule="auto"/>
              <w:jc w:val="center"/>
              <w:rPr>
                <w:rFonts w:hint="eastAsia" w:ascii="幼圆" w:hAnsi="幼圆" w:eastAsia="幼圆" w:cs="幼圆"/>
                <w:highlight w:val="none"/>
              </w:rPr>
            </w:pPr>
          </w:p>
        </w:tc>
        <w:tc>
          <w:tcPr>
            <w:tcW w:w="776" w:type="dxa"/>
            <w:shd w:val="clear" w:color="auto" w:fill="auto"/>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5</w:t>
            </w:r>
          </w:p>
        </w:tc>
        <w:tc>
          <w:tcPr>
            <w:tcW w:w="1665" w:type="dxa"/>
            <w:shd w:val="clear" w:color="auto" w:fill="auto"/>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内部管理制度及培训方案</w:t>
            </w:r>
          </w:p>
        </w:tc>
        <w:tc>
          <w:tcPr>
            <w:tcW w:w="5749" w:type="dxa"/>
            <w:shd w:val="clear" w:color="auto" w:fill="auto"/>
            <w:vAlign w:val="center"/>
          </w:tcPr>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val="en-US" w:eastAsia="zh-CN"/>
              </w:rPr>
              <w:t>内部管理制度及培训方案</w:t>
            </w:r>
            <w:r>
              <w:rPr>
                <w:rFonts w:hint="eastAsia" w:ascii="幼圆" w:hAnsi="幼圆" w:eastAsia="幼圆" w:cs="幼圆"/>
                <w:highlight w:val="none"/>
                <w:lang w:eastAsia="zh-CN"/>
              </w:rPr>
              <w:t>合理、详细，</w:t>
            </w:r>
            <w:r>
              <w:rPr>
                <w:rFonts w:hint="eastAsia" w:ascii="幼圆" w:hAnsi="幼圆" w:eastAsia="幼圆" w:cs="幼圆"/>
                <w:highlight w:val="none"/>
                <w:lang w:val="en-US" w:eastAsia="zh-CN"/>
              </w:rPr>
              <w:t>培训</w:t>
            </w:r>
            <w:r>
              <w:rPr>
                <w:rFonts w:hint="eastAsia" w:ascii="幼圆" w:hAnsi="幼圆" w:eastAsia="幼圆" w:cs="幼圆"/>
                <w:highlight w:val="none"/>
                <w:lang w:eastAsia="zh-CN"/>
              </w:rPr>
              <w:t>服务承诺周到，具有完善的</w:t>
            </w:r>
            <w:r>
              <w:rPr>
                <w:rFonts w:hint="eastAsia" w:ascii="幼圆" w:hAnsi="幼圆" w:eastAsia="幼圆" w:cs="幼圆"/>
                <w:highlight w:val="none"/>
                <w:lang w:val="en-US" w:eastAsia="zh-CN"/>
              </w:rPr>
              <w:t>管理</w:t>
            </w:r>
            <w:r>
              <w:rPr>
                <w:rFonts w:hint="eastAsia" w:ascii="幼圆" w:hAnsi="幼圆" w:eastAsia="幼圆" w:cs="幼圆"/>
                <w:highlight w:val="none"/>
                <w:lang w:eastAsia="zh-CN"/>
              </w:rPr>
              <w:t>体系：</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方案合理、</w:t>
            </w:r>
            <w:r>
              <w:rPr>
                <w:rFonts w:hint="eastAsia" w:ascii="幼圆" w:hAnsi="幼圆" w:eastAsia="幼圆" w:cs="幼圆"/>
                <w:highlight w:val="none"/>
                <w:lang w:val="en-US" w:eastAsia="zh-CN"/>
              </w:rPr>
              <w:t>详细，体系完善的，</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5</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方案</w:t>
            </w:r>
            <w:r>
              <w:rPr>
                <w:rFonts w:hint="eastAsia" w:ascii="幼圆" w:hAnsi="幼圆" w:eastAsia="幼圆" w:cs="幼圆"/>
                <w:highlight w:val="none"/>
                <w:lang w:val="en-US" w:eastAsia="zh-CN"/>
              </w:rPr>
              <w:t>较为</w:t>
            </w:r>
            <w:r>
              <w:rPr>
                <w:rFonts w:hint="eastAsia" w:ascii="幼圆" w:hAnsi="幼圆" w:eastAsia="幼圆" w:cs="幼圆"/>
                <w:highlight w:val="none"/>
                <w:lang w:eastAsia="zh-CN"/>
              </w:rPr>
              <w:t>合理、</w:t>
            </w:r>
            <w:r>
              <w:rPr>
                <w:rFonts w:hint="eastAsia" w:ascii="幼圆" w:hAnsi="幼圆" w:eastAsia="幼圆" w:cs="幼圆"/>
                <w:highlight w:val="none"/>
                <w:lang w:val="en-US" w:eastAsia="zh-CN"/>
              </w:rPr>
              <w:t>详细，体系较为完善的，</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3</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方案</w:t>
            </w:r>
            <w:r>
              <w:rPr>
                <w:rFonts w:hint="eastAsia" w:ascii="幼圆" w:hAnsi="幼圆" w:eastAsia="幼圆" w:cs="幼圆"/>
                <w:highlight w:val="none"/>
                <w:lang w:val="en-US" w:eastAsia="zh-CN"/>
              </w:rPr>
              <w:t>一般，体系基本完善的，</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1</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b/>
                <w:bCs/>
                <w:highlight w:val="none"/>
                <w:lang w:eastAsia="zh-CN"/>
              </w:rPr>
            </w:pPr>
            <w:r>
              <w:rPr>
                <w:rFonts w:hint="eastAsia" w:ascii="幼圆" w:hAnsi="幼圆" w:eastAsia="幼圆" w:cs="幼圆"/>
                <w:highlight w:val="none"/>
                <w:lang w:val="en-US" w:eastAsia="zh-CN"/>
              </w:rPr>
              <w:t>未提供，</w:t>
            </w:r>
            <w:r>
              <w:rPr>
                <w:rFonts w:hint="eastAsia" w:ascii="幼圆" w:hAnsi="幼圆" w:eastAsia="幼圆" w:cs="幼圆"/>
                <w:highlight w:val="none"/>
                <w:lang w:eastAsia="zh-CN"/>
              </w:rPr>
              <w:t>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restart"/>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服务部分</w:t>
            </w: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7</w:t>
            </w:r>
          </w:p>
        </w:tc>
        <w:tc>
          <w:tcPr>
            <w:tcW w:w="1665" w:type="dxa"/>
            <w:vMerge w:val="restart"/>
            <w:vAlign w:val="center"/>
          </w:tcPr>
          <w:p>
            <w:pPr>
              <w:widowControl/>
              <w:spacing w:line="240" w:lineRule="auto"/>
              <w:jc w:val="center"/>
              <w:rPr>
                <w:rFonts w:hint="eastAsia" w:ascii="幼圆" w:hAnsi="幼圆" w:eastAsia="幼圆" w:cs="幼圆"/>
                <w:highlight w:val="none"/>
                <w:lang w:eastAsia="zh-CN"/>
              </w:rPr>
            </w:pPr>
            <w:r>
              <w:rPr>
                <w:rFonts w:hint="eastAsia" w:ascii="幼圆" w:hAnsi="幼圆" w:eastAsia="幼圆" w:cs="幼圆"/>
                <w:highlight w:val="none"/>
              </w:rPr>
              <w:t>服务方案及人员配备方案</w:t>
            </w:r>
          </w:p>
        </w:tc>
        <w:tc>
          <w:tcPr>
            <w:tcW w:w="5749" w:type="dxa"/>
            <w:vAlign w:val="center"/>
          </w:tcPr>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根据投标人提供的</w:t>
            </w:r>
            <w:r>
              <w:rPr>
                <w:rFonts w:hint="eastAsia" w:ascii="幼圆" w:hAnsi="幼圆" w:eastAsia="幼圆" w:cs="幼圆"/>
                <w:highlight w:val="none"/>
                <w:lang w:val="en-US" w:eastAsia="zh-CN"/>
              </w:rPr>
              <w:t>总体设计方案进行评价</w:t>
            </w:r>
            <w:r>
              <w:rPr>
                <w:rFonts w:hint="eastAsia" w:ascii="幼圆" w:hAnsi="幼圆" w:eastAsia="幼圆" w:cs="幼圆"/>
                <w:highlight w:val="none"/>
                <w:lang w:eastAsia="zh-CN"/>
              </w:rPr>
              <w:t>：</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设计方案亮点突出、针对性强、内容全面、规划统筹考虑充分，得</w:t>
            </w:r>
            <w:r>
              <w:rPr>
                <w:rFonts w:hint="eastAsia" w:ascii="幼圆" w:hAnsi="幼圆" w:eastAsia="幼圆" w:cs="幼圆"/>
                <w:highlight w:val="none"/>
                <w:lang w:val="en-US" w:eastAsia="zh-CN"/>
              </w:rPr>
              <w:t>7</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设计方案</w:t>
            </w:r>
            <w:r>
              <w:rPr>
                <w:rFonts w:hint="eastAsia" w:ascii="幼圆" w:hAnsi="幼圆" w:eastAsia="幼圆" w:cs="幼圆"/>
                <w:highlight w:val="none"/>
                <w:lang w:val="en-US" w:eastAsia="zh-CN"/>
              </w:rPr>
              <w:t>基本全面</w:t>
            </w:r>
            <w:r>
              <w:rPr>
                <w:rFonts w:hint="eastAsia" w:ascii="幼圆" w:hAnsi="幼圆" w:eastAsia="幼圆" w:cs="幼圆"/>
                <w:highlight w:val="none"/>
                <w:lang w:eastAsia="zh-CN"/>
              </w:rPr>
              <w:t>、针对性</w:t>
            </w:r>
            <w:r>
              <w:rPr>
                <w:rFonts w:hint="eastAsia" w:ascii="幼圆" w:hAnsi="幼圆" w:eastAsia="幼圆" w:cs="幼圆"/>
                <w:highlight w:val="none"/>
                <w:lang w:val="en-US" w:eastAsia="zh-CN"/>
              </w:rPr>
              <w:t>一般</w:t>
            </w:r>
            <w:r>
              <w:rPr>
                <w:rFonts w:hint="eastAsia" w:ascii="幼圆" w:hAnsi="幼圆" w:eastAsia="幼圆" w:cs="幼圆"/>
                <w:highlight w:val="none"/>
                <w:lang w:eastAsia="zh-CN"/>
              </w:rPr>
              <w:t>、规划统筹考虑</w:t>
            </w:r>
            <w:r>
              <w:rPr>
                <w:rFonts w:hint="eastAsia" w:ascii="幼圆" w:hAnsi="幼圆" w:eastAsia="幼圆" w:cs="幼圆"/>
                <w:highlight w:val="none"/>
                <w:lang w:val="en-US" w:eastAsia="zh-CN"/>
              </w:rPr>
              <w:t>中规中矩</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4</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设计方案</w:t>
            </w:r>
            <w:r>
              <w:rPr>
                <w:rFonts w:hint="eastAsia" w:ascii="幼圆" w:hAnsi="幼圆" w:eastAsia="幼圆" w:cs="幼圆"/>
                <w:highlight w:val="none"/>
                <w:lang w:val="en-US" w:eastAsia="zh-CN"/>
              </w:rPr>
              <w:t>简单</w:t>
            </w:r>
            <w:r>
              <w:rPr>
                <w:rFonts w:hint="eastAsia" w:ascii="幼圆" w:hAnsi="幼圆" w:eastAsia="幼圆" w:cs="幼圆"/>
                <w:highlight w:val="none"/>
                <w:lang w:eastAsia="zh-CN"/>
              </w:rPr>
              <w:t>、针对性</w:t>
            </w:r>
            <w:r>
              <w:rPr>
                <w:rFonts w:hint="eastAsia" w:ascii="幼圆" w:hAnsi="幼圆" w:eastAsia="幼圆" w:cs="幼圆"/>
                <w:highlight w:val="none"/>
                <w:lang w:val="en-US" w:eastAsia="zh-CN"/>
              </w:rPr>
              <w:t>欠妥</w:t>
            </w:r>
            <w:r>
              <w:rPr>
                <w:rFonts w:hint="eastAsia" w:ascii="幼圆" w:hAnsi="幼圆" w:eastAsia="幼圆" w:cs="幼圆"/>
                <w:highlight w:val="none"/>
                <w:lang w:eastAsia="zh-CN"/>
              </w:rPr>
              <w:t>、规划统筹考虑</w:t>
            </w:r>
            <w:r>
              <w:rPr>
                <w:rFonts w:hint="eastAsia" w:ascii="幼圆" w:hAnsi="幼圆" w:eastAsia="幼圆" w:cs="幼圆"/>
                <w:highlight w:val="none"/>
                <w:lang w:val="en-US" w:eastAsia="zh-CN"/>
              </w:rPr>
              <w:t>欠佳</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1</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未提供该方案不得分。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continue"/>
            <w:vAlign w:val="center"/>
          </w:tcPr>
          <w:p>
            <w:pPr>
              <w:widowControl/>
              <w:spacing w:line="240" w:lineRule="auto"/>
              <w:jc w:val="center"/>
              <w:rPr>
                <w:rFonts w:hint="eastAsia" w:ascii="幼圆" w:hAnsi="幼圆" w:eastAsia="幼圆" w:cs="幼圆"/>
                <w:highlight w:val="none"/>
                <w:lang w:val="en-US" w:eastAsia="zh-CN"/>
              </w:rPr>
            </w:pP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12</w:t>
            </w:r>
          </w:p>
        </w:tc>
        <w:tc>
          <w:tcPr>
            <w:tcW w:w="1665" w:type="dxa"/>
            <w:vMerge w:val="continue"/>
            <w:vAlign w:val="center"/>
          </w:tcPr>
          <w:p>
            <w:pPr>
              <w:widowControl/>
              <w:spacing w:line="240" w:lineRule="auto"/>
              <w:jc w:val="center"/>
              <w:rPr>
                <w:rFonts w:hint="eastAsia" w:ascii="幼圆" w:hAnsi="幼圆" w:eastAsia="幼圆" w:cs="幼圆"/>
                <w:highlight w:val="none"/>
                <w:lang w:eastAsia="zh-CN"/>
              </w:rPr>
            </w:pPr>
          </w:p>
        </w:tc>
        <w:tc>
          <w:tcPr>
            <w:tcW w:w="5749" w:type="dxa"/>
            <w:vAlign w:val="center"/>
          </w:tcPr>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（1）根据各投标人按照采购需求提供的维保团队的规模、专业度、架构方面进行打分。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人员架构科学合理，数量充足，专业度高的，完全满足项目需求的，得7分；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人员架构基本科学合理，数量一般，专业度普通的，得4分；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人员架构不合理，数量稀少，专业度低的，得1分；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未提供不得分。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（2）根据团队成员的专业能力进行评价：</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1）具有《中华人民共和国特种作业操作证（电工证）》，不限高低压。每提供一人得1分，最高5分。</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b/>
                <w:bCs/>
                <w:highlight w:val="none"/>
                <w:lang w:val="en-US" w:eastAsia="zh-CN"/>
              </w:rPr>
              <w:t>注：以上证书需提供有效的证书复印件，并加盖投标单位公章，否则视为无效</w:t>
            </w:r>
            <w:r>
              <w:rPr>
                <w:rFonts w:hint="eastAsia" w:ascii="幼圆" w:hAnsi="幼圆" w:eastAsia="幼圆" w:cs="幼圆"/>
                <w:highlight w:val="none"/>
                <w:lang w:val="en-US" w:eastAsia="zh-C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continue"/>
            <w:vAlign w:val="center"/>
          </w:tcPr>
          <w:p>
            <w:pPr>
              <w:widowControl/>
              <w:spacing w:line="240" w:lineRule="auto"/>
              <w:jc w:val="center"/>
              <w:rPr>
                <w:rFonts w:hint="eastAsia" w:ascii="幼圆" w:hAnsi="幼圆" w:eastAsia="幼圆" w:cs="幼圆"/>
                <w:highlight w:val="none"/>
                <w:lang w:val="en-US" w:eastAsia="zh-CN"/>
              </w:rPr>
            </w:pP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7</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服务响应时间及质量保障措施</w:t>
            </w:r>
          </w:p>
        </w:tc>
        <w:tc>
          <w:tcPr>
            <w:tcW w:w="5749" w:type="dxa"/>
            <w:vAlign w:val="center"/>
          </w:tcPr>
          <w:p>
            <w:pPr>
              <w:widowControl/>
              <w:spacing w:line="240" w:lineRule="auto"/>
              <w:rPr>
                <w:rFonts w:hint="eastAsia" w:ascii="幼圆" w:hAnsi="幼圆" w:eastAsia="幼圆" w:cs="幼圆"/>
                <w:sz w:val="24"/>
                <w:szCs w:val="24"/>
                <w:highlight w:val="none"/>
                <w:lang w:val="en-US" w:eastAsia="zh-CN"/>
              </w:rPr>
            </w:pPr>
            <w:r>
              <w:rPr>
                <w:rFonts w:hint="eastAsia" w:ascii="幼圆" w:hAnsi="幼圆" w:eastAsia="幼圆" w:cs="幼圆"/>
                <w:sz w:val="24"/>
                <w:szCs w:val="24"/>
                <w:highlight w:val="none"/>
                <w:lang w:val="en-US" w:eastAsia="zh-CN"/>
              </w:rPr>
              <w:t>响应时间及时、保障措施到位、分工明确</w:t>
            </w:r>
            <w:r>
              <w:rPr>
                <w:rFonts w:hint="eastAsia" w:ascii="幼圆" w:hAnsi="幼圆" w:eastAsia="幼圆" w:cs="幼圆"/>
                <w:sz w:val="24"/>
                <w:szCs w:val="24"/>
                <w:highlight w:val="none"/>
                <w:lang w:eastAsia="zh-CN"/>
              </w:rPr>
              <w:t>，</w:t>
            </w:r>
            <w:r>
              <w:rPr>
                <w:rFonts w:hint="eastAsia" w:ascii="幼圆" w:hAnsi="幼圆" w:eastAsia="幼圆" w:cs="幼圆"/>
                <w:sz w:val="24"/>
                <w:szCs w:val="24"/>
                <w:highlight w:val="none"/>
                <w:lang w:val="en-US" w:eastAsia="zh-CN"/>
              </w:rPr>
              <w:t>得7分；</w:t>
            </w:r>
          </w:p>
          <w:p>
            <w:pPr>
              <w:widowControl/>
              <w:spacing w:line="240" w:lineRule="auto"/>
              <w:rPr>
                <w:rFonts w:hint="eastAsia" w:ascii="幼圆" w:hAnsi="幼圆" w:eastAsia="幼圆" w:cs="幼圆"/>
                <w:sz w:val="24"/>
                <w:szCs w:val="24"/>
                <w:highlight w:val="none"/>
                <w:lang w:val="en-US" w:eastAsia="zh-CN"/>
              </w:rPr>
            </w:pPr>
            <w:r>
              <w:rPr>
                <w:rFonts w:hint="eastAsia" w:ascii="幼圆" w:hAnsi="幼圆" w:eastAsia="幼圆" w:cs="幼圆"/>
                <w:sz w:val="24"/>
                <w:szCs w:val="24"/>
                <w:highlight w:val="none"/>
                <w:lang w:val="en-US" w:eastAsia="zh-CN"/>
              </w:rPr>
              <w:t>响应时间基本满足需求、保障措施基本到位、分工较为明确</w:t>
            </w:r>
            <w:r>
              <w:rPr>
                <w:rFonts w:hint="eastAsia" w:ascii="幼圆" w:hAnsi="幼圆" w:eastAsia="幼圆" w:cs="幼圆"/>
                <w:sz w:val="24"/>
                <w:szCs w:val="24"/>
                <w:highlight w:val="none"/>
                <w:lang w:eastAsia="zh-CN"/>
              </w:rPr>
              <w:t>，</w:t>
            </w:r>
            <w:r>
              <w:rPr>
                <w:rFonts w:hint="eastAsia" w:ascii="幼圆" w:hAnsi="幼圆" w:eastAsia="幼圆" w:cs="幼圆"/>
                <w:sz w:val="24"/>
                <w:szCs w:val="24"/>
                <w:highlight w:val="none"/>
                <w:lang w:val="en-US" w:eastAsia="zh-CN"/>
              </w:rPr>
              <w:t>得4分；</w:t>
            </w:r>
          </w:p>
          <w:p>
            <w:pPr>
              <w:widowControl/>
              <w:spacing w:line="240" w:lineRule="auto"/>
              <w:rPr>
                <w:rFonts w:hint="eastAsia" w:ascii="幼圆" w:hAnsi="幼圆" w:eastAsia="幼圆" w:cs="幼圆"/>
                <w:sz w:val="24"/>
                <w:szCs w:val="24"/>
                <w:highlight w:val="none"/>
                <w:lang w:val="en-US" w:eastAsia="zh-CN"/>
              </w:rPr>
            </w:pPr>
            <w:r>
              <w:rPr>
                <w:rFonts w:hint="eastAsia" w:ascii="幼圆" w:hAnsi="幼圆" w:eastAsia="幼圆" w:cs="幼圆"/>
                <w:sz w:val="24"/>
                <w:szCs w:val="24"/>
                <w:highlight w:val="none"/>
                <w:lang w:val="en-US" w:eastAsia="zh-CN"/>
              </w:rPr>
              <w:t>响应时间滞后、保障措施欠缺、分工混乱</w:t>
            </w:r>
            <w:r>
              <w:rPr>
                <w:rFonts w:hint="eastAsia" w:ascii="幼圆" w:hAnsi="幼圆" w:eastAsia="幼圆" w:cs="幼圆"/>
                <w:sz w:val="24"/>
                <w:szCs w:val="24"/>
                <w:highlight w:val="none"/>
                <w:lang w:eastAsia="zh-CN"/>
              </w:rPr>
              <w:t>，</w:t>
            </w:r>
            <w:r>
              <w:rPr>
                <w:rFonts w:hint="eastAsia" w:ascii="幼圆" w:hAnsi="幼圆" w:eastAsia="幼圆" w:cs="幼圆"/>
                <w:sz w:val="24"/>
                <w:szCs w:val="24"/>
                <w:highlight w:val="none"/>
                <w:lang w:val="en-US" w:eastAsia="zh-CN"/>
              </w:rPr>
              <w:t>得1分；</w:t>
            </w:r>
          </w:p>
          <w:p>
            <w:pPr>
              <w:keepNext w:val="0"/>
              <w:keepLines w:val="0"/>
              <w:pageBreakBefore w:val="0"/>
              <w:widowControl/>
              <w:kinsoku/>
              <w:wordWrap/>
              <w:overflowPunct/>
              <w:topLinePunct w:val="0"/>
              <w:autoSpaceDE/>
              <w:autoSpaceDN/>
              <w:bidi w:val="0"/>
              <w:snapToGrid/>
              <w:spacing w:line="240" w:lineRule="auto"/>
              <w:rPr>
                <w:rFonts w:hint="eastAsia" w:ascii="幼圆" w:hAnsi="幼圆" w:eastAsia="幼圆" w:cs="幼圆"/>
                <w:highlight w:val="none"/>
              </w:rPr>
            </w:pPr>
            <w:r>
              <w:rPr>
                <w:rFonts w:hint="eastAsia" w:ascii="幼圆" w:hAnsi="幼圆" w:eastAsia="幼圆" w:cs="幼圆"/>
                <w:sz w:val="24"/>
                <w:szCs w:val="24"/>
                <w:highlight w:val="none"/>
                <w:lang w:val="en-US" w:eastAsia="zh-CN"/>
              </w:rPr>
              <w:t>未提供，不得分。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continue"/>
            <w:vAlign w:val="center"/>
          </w:tcPr>
          <w:p>
            <w:pPr>
              <w:widowControl/>
              <w:spacing w:line="240" w:lineRule="auto"/>
              <w:jc w:val="center"/>
              <w:rPr>
                <w:rFonts w:hint="eastAsia" w:ascii="幼圆" w:hAnsi="幼圆" w:eastAsia="幼圆" w:cs="幼圆"/>
                <w:highlight w:val="none"/>
                <w:lang w:val="en-US" w:eastAsia="zh-CN"/>
              </w:rPr>
            </w:pP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7</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后续服务承诺</w:t>
            </w:r>
          </w:p>
        </w:tc>
        <w:tc>
          <w:tcPr>
            <w:tcW w:w="5749" w:type="dxa"/>
            <w:vAlign w:val="center"/>
          </w:tcPr>
          <w:p>
            <w:pPr>
              <w:autoSpaceDN w:val="0"/>
              <w:spacing w:line="240" w:lineRule="auto"/>
              <w:textAlignment w:val="bottom"/>
              <w:rPr>
                <w:rFonts w:hint="eastAsia" w:ascii="幼圆" w:hAnsi="幼圆" w:eastAsia="幼圆" w:cs="幼圆"/>
                <w:highlight w:val="none"/>
              </w:rPr>
            </w:pPr>
            <w:r>
              <w:rPr>
                <w:rFonts w:hint="eastAsia" w:ascii="幼圆" w:hAnsi="幼圆" w:eastAsia="幼圆" w:cs="幼圆"/>
                <w:highlight w:val="none"/>
              </w:rPr>
              <w:t>根据投标人提供的服务承诺进行打分：内容应包含但不限于售后服务及其他情况介绍；</w:t>
            </w:r>
            <w:r>
              <w:rPr>
                <w:rFonts w:hint="eastAsia" w:ascii="幼圆" w:hAnsi="幼圆" w:eastAsia="幼圆" w:cs="幼圆"/>
                <w:b/>
                <w:highlight w:val="none"/>
              </w:rPr>
              <w:t>可提供的优惠条件；突发状况服务时间承诺。</w:t>
            </w:r>
          </w:p>
          <w:p>
            <w:pPr>
              <w:autoSpaceDN w:val="0"/>
              <w:spacing w:line="240" w:lineRule="auto"/>
              <w:textAlignment w:val="bottom"/>
              <w:rPr>
                <w:rFonts w:hint="eastAsia" w:ascii="幼圆" w:hAnsi="幼圆" w:eastAsia="幼圆" w:cs="幼圆"/>
                <w:highlight w:val="none"/>
              </w:rPr>
            </w:pPr>
            <w:r>
              <w:rPr>
                <w:rFonts w:hint="eastAsia" w:ascii="幼圆" w:hAnsi="幼圆" w:eastAsia="幼圆" w:cs="幼圆"/>
                <w:highlight w:val="none"/>
              </w:rPr>
              <w:t>服务承诺完全满足项目需求的，得</w:t>
            </w:r>
            <w:r>
              <w:rPr>
                <w:rFonts w:hint="eastAsia" w:ascii="幼圆" w:hAnsi="幼圆" w:eastAsia="幼圆" w:cs="幼圆"/>
                <w:highlight w:val="none"/>
                <w:lang w:val="en-US" w:eastAsia="zh-CN"/>
              </w:rPr>
              <w:t>7</w:t>
            </w:r>
            <w:r>
              <w:rPr>
                <w:rFonts w:hint="eastAsia" w:ascii="幼圆" w:hAnsi="幼圆" w:eastAsia="幼圆" w:cs="幼圆"/>
                <w:highlight w:val="none"/>
              </w:rPr>
              <w:t>分；</w:t>
            </w:r>
          </w:p>
          <w:p>
            <w:pPr>
              <w:autoSpaceDN w:val="0"/>
              <w:spacing w:line="240" w:lineRule="auto"/>
              <w:textAlignment w:val="bottom"/>
              <w:rPr>
                <w:rFonts w:hint="eastAsia" w:ascii="幼圆" w:hAnsi="幼圆" w:eastAsia="幼圆" w:cs="幼圆"/>
                <w:highlight w:val="none"/>
              </w:rPr>
            </w:pPr>
            <w:r>
              <w:rPr>
                <w:rFonts w:hint="eastAsia" w:ascii="幼圆" w:hAnsi="幼圆" w:eastAsia="幼圆" w:cs="幼圆"/>
                <w:highlight w:val="none"/>
              </w:rPr>
              <w:t>服务承诺基本满足项目需求的，得</w:t>
            </w:r>
            <w:r>
              <w:rPr>
                <w:rFonts w:hint="eastAsia" w:ascii="幼圆" w:hAnsi="幼圆" w:eastAsia="幼圆" w:cs="幼圆"/>
                <w:highlight w:val="none"/>
                <w:lang w:val="en-US" w:eastAsia="zh-CN"/>
              </w:rPr>
              <w:t>4</w:t>
            </w:r>
            <w:r>
              <w:rPr>
                <w:rFonts w:hint="eastAsia" w:ascii="幼圆" w:hAnsi="幼圆" w:eastAsia="幼圆" w:cs="幼圆"/>
                <w:highlight w:val="none"/>
              </w:rPr>
              <w:t>分；</w:t>
            </w:r>
          </w:p>
          <w:p>
            <w:pPr>
              <w:autoSpaceDN w:val="0"/>
              <w:spacing w:line="240" w:lineRule="auto"/>
              <w:textAlignment w:val="bottom"/>
              <w:rPr>
                <w:rFonts w:hint="eastAsia" w:ascii="幼圆" w:hAnsi="幼圆" w:eastAsia="幼圆" w:cs="幼圆"/>
                <w:highlight w:val="none"/>
              </w:rPr>
            </w:pPr>
            <w:r>
              <w:rPr>
                <w:rFonts w:hint="eastAsia" w:ascii="幼圆" w:hAnsi="幼圆" w:eastAsia="幼圆" w:cs="幼圆"/>
                <w:highlight w:val="none"/>
              </w:rPr>
              <w:t>服务承诺不满足项目需求的，得1分；</w:t>
            </w:r>
          </w:p>
          <w:p>
            <w:pPr>
              <w:widowControl/>
              <w:spacing w:line="240" w:lineRule="auto"/>
              <w:rPr>
                <w:rFonts w:hint="eastAsia" w:ascii="幼圆" w:hAnsi="幼圆" w:eastAsia="幼圆" w:cs="幼圆"/>
                <w:highlight w:val="none"/>
              </w:rPr>
            </w:pPr>
            <w:r>
              <w:rPr>
                <w:rFonts w:hint="eastAsia" w:ascii="幼圆" w:hAnsi="幼圆" w:eastAsia="幼圆" w:cs="幼圆"/>
                <w:highlight w:val="none"/>
              </w:rPr>
              <w:t>未提供，不得分。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其他</w:t>
            </w: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5</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拟投入设备</w:t>
            </w:r>
          </w:p>
        </w:tc>
        <w:tc>
          <w:tcPr>
            <w:tcW w:w="5749" w:type="dxa"/>
            <w:vAlign w:val="center"/>
          </w:tcPr>
          <w:p>
            <w:pPr>
              <w:widowControl/>
              <w:spacing w:line="240" w:lineRule="auto"/>
              <w:rPr>
                <w:rFonts w:hint="eastAsia" w:ascii="幼圆" w:hAnsi="幼圆" w:eastAsia="幼圆" w:cs="幼圆"/>
                <w:highlight w:val="none"/>
                <w:lang w:val="en-US" w:eastAsia="zh-CN"/>
              </w:rPr>
            </w:pPr>
            <w:r>
              <w:rPr>
                <w:rFonts w:hint="eastAsia" w:ascii="幼圆" w:hAnsi="幼圆" w:eastAsia="幼圆" w:cs="幼圆"/>
                <w:highlight w:val="none"/>
                <w:lang w:val="en-US" w:eastAsia="zh-CN"/>
              </w:rPr>
              <w:t>设备齐全，完全满足项目需要的，得5分；</w:t>
            </w:r>
          </w:p>
          <w:p>
            <w:pPr>
              <w:widowControl/>
              <w:spacing w:line="240" w:lineRule="auto"/>
              <w:rPr>
                <w:rFonts w:hint="eastAsia" w:ascii="幼圆" w:hAnsi="幼圆" w:eastAsia="幼圆" w:cs="幼圆"/>
                <w:highlight w:val="none"/>
                <w:lang w:val="en-US" w:eastAsia="zh-CN"/>
              </w:rPr>
            </w:pPr>
            <w:r>
              <w:rPr>
                <w:rFonts w:hint="eastAsia" w:ascii="幼圆" w:hAnsi="幼圆" w:eastAsia="幼圆" w:cs="幼圆"/>
                <w:highlight w:val="none"/>
                <w:lang w:val="en-US" w:eastAsia="zh-CN"/>
              </w:rPr>
              <w:t>设备基本满足项目需要的，得3分</w:t>
            </w:r>
          </w:p>
          <w:p>
            <w:pPr>
              <w:widowControl/>
              <w:spacing w:line="240" w:lineRule="auto"/>
              <w:rPr>
                <w:rFonts w:hint="eastAsia" w:ascii="幼圆" w:hAnsi="幼圆" w:eastAsia="幼圆" w:cs="幼圆"/>
                <w:highlight w:val="none"/>
                <w:lang w:val="en-US" w:eastAsia="zh-CN"/>
              </w:rPr>
            </w:pPr>
            <w:r>
              <w:rPr>
                <w:rFonts w:hint="eastAsia" w:ascii="幼圆" w:hAnsi="幼圆" w:eastAsia="幼圆" w:cs="幼圆"/>
                <w:highlight w:val="none"/>
                <w:lang w:val="en-US" w:eastAsia="zh-CN"/>
              </w:rPr>
              <w:t>设备无法满足项目需要的，得1分；</w:t>
            </w:r>
          </w:p>
          <w:p>
            <w:pPr>
              <w:widowControl/>
              <w:spacing w:line="240" w:lineRule="auto"/>
              <w:rPr>
                <w:rFonts w:hint="eastAsia" w:ascii="幼圆" w:hAnsi="幼圆" w:eastAsia="幼圆" w:cs="幼圆"/>
                <w:highlight w:val="none"/>
                <w:lang w:eastAsia="zh-CN"/>
              </w:rPr>
            </w:pPr>
            <w:r>
              <w:rPr>
                <w:rFonts w:hint="eastAsia" w:ascii="幼圆" w:hAnsi="幼圆" w:eastAsia="幼圆" w:cs="幼圆"/>
                <w:highlight w:val="none"/>
                <w:lang w:val="en-US" w:eastAsia="zh-CN"/>
              </w:rPr>
              <w:t>不满足项目需要或未提供，不得分。</w:t>
            </w:r>
          </w:p>
        </w:tc>
      </w:tr>
      <w:bookmarkEnd w:id="2"/>
    </w:tbl>
    <w:p>
      <w:pPr>
        <w:keepNext w:val="0"/>
        <w:keepLines w:val="0"/>
        <w:pageBreakBefore w:val="0"/>
        <w:widowControl/>
        <w:wordWrap/>
        <w:topLinePunct w:val="0"/>
        <w:bidi w:val="0"/>
        <w:spacing w:line="240" w:lineRule="auto"/>
        <w:rPr>
          <w:rFonts w:hint="eastAsia" w:ascii="幼圆" w:hAnsi="幼圆" w:eastAsia="幼圆" w:cs="幼圆"/>
          <w:b/>
          <w:bCs/>
          <w:sz w:val="24"/>
          <w:szCs w:val="20"/>
        </w:rPr>
      </w:pPr>
    </w:p>
    <w:p>
      <w:pPr>
        <w:spacing w:line="240" w:lineRule="auto"/>
        <w:rPr>
          <w:rFonts w:hint="eastAsia" w:ascii="幼圆" w:hAnsi="幼圆" w:eastAsia="幼圆" w:cs="幼圆"/>
          <w:color w:val="FF0000"/>
          <w:kern w:val="2"/>
          <w:highlight w:val="none"/>
          <w:lang w:val="en-US" w:eastAsia="zh-CN" w:bidi="zh-CN"/>
        </w:rPr>
      </w:pPr>
      <w:r>
        <w:rPr>
          <w:rFonts w:hint="eastAsia" w:ascii="幼圆" w:hAnsi="幼圆" w:eastAsia="幼圆" w:cs="幼圆"/>
          <w:color w:val="FF0000"/>
          <w:kern w:val="2"/>
          <w:highlight w:val="none"/>
          <w:lang w:val="en-US" w:eastAsia="zh-CN" w:bidi="zh-CN"/>
        </w:rPr>
        <w:br w:type="page"/>
      </w:r>
    </w:p>
    <w:p>
      <w:pPr>
        <w:snapToGrid w:val="0"/>
        <w:spacing w:line="240" w:lineRule="auto"/>
        <w:textAlignment w:val="auto"/>
        <w:outlineLvl w:val="0"/>
        <w:rPr>
          <w:rFonts w:hint="eastAsia" w:ascii="幼圆" w:hAnsi="幼圆" w:eastAsia="幼圆" w:cs="幼圆"/>
          <w:b/>
          <w:szCs w:val="20"/>
          <w:highlight w:val="none"/>
        </w:rPr>
      </w:pPr>
      <w:bookmarkStart w:id="3" w:name="_Toc70433717"/>
      <w:bookmarkStart w:id="4" w:name="_Toc73536577"/>
      <w:bookmarkStart w:id="5" w:name="_Toc955"/>
      <w:r>
        <w:rPr>
          <w:rFonts w:hint="eastAsia" w:ascii="幼圆" w:hAnsi="幼圆" w:eastAsia="幼圆" w:cs="幼圆"/>
          <w:b/>
          <w:szCs w:val="20"/>
          <w:highlight w:val="none"/>
        </w:rPr>
        <w:t>附件</w:t>
      </w:r>
      <w:r>
        <w:rPr>
          <w:rFonts w:hint="eastAsia" w:ascii="幼圆" w:hAnsi="幼圆" w:eastAsia="幼圆" w:cs="幼圆"/>
          <w:b/>
          <w:szCs w:val="20"/>
          <w:highlight w:val="none"/>
          <w:lang w:eastAsia="zh-CN"/>
        </w:rPr>
        <w:t>（</w:t>
      </w:r>
      <w:r>
        <w:rPr>
          <w:rFonts w:hint="eastAsia" w:ascii="幼圆" w:hAnsi="幼圆" w:eastAsia="幼圆" w:cs="幼圆"/>
          <w:b/>
          <w:szCs w:val="20"/>
          <w:highlight w:val="none"/>
          <w:lang w:val="en-US" w:eastAsia="zh-CN"/>
        </w:rPr>
        <w:t>偏离表示例</w:t>
      </w:r>
      <w:r>
        <w:rPr>
          <w:rFonts w:hint="eastAsia" w:ascii="幼圆" w:hAnsi="幼圆" w:eastAsia="幼圆" w:cs="幼圆"/>
          <w:b/>
          <w:szCs w:val="20"/>
          <w:highlight w:val="none"/>
          <w:lang w:eastAsia="zh-CN"/>
        </w:rPr>
        <w:t>）</w:t>
      </w:r>
      <w:r>
        <w:rPr>
          <w:rFonts w:hint="eastAsia" w:ascii="幼圆" w:hAnsi="幼圆" w:eastAsia="幼圆" w:cs="幼圆"/>
          <w:b/>
          <w:szCs w:val="20"/>
          <w:highlight w:val="none"/>
        </w:rPr>
        <w:t>：</w:t>
      </w:r>
      <w:bookmarkEnd w:id="3"/>
      <w:bookmarkEnd w:id="4"/>
      <w:bookmarkEnd w:id="5"/>
    </w:p>
    <w:p>
      <w:pPr>
        <w:widowControl/>
        <w:snapToGrid w:val="0"/>
        <w:spacing w:line="240" w:lineRule="auto"/>
        <w:textAlignment w:val="auto"/>
        <w:rPr>
          <w:rFonts w:hint="eastAsia" w:ascii="幼圆" w:hAnsi="幼圆" w:eastAsia="幼圆" w:cs="幼圆"/>
          <w:b/>
          <w:highlight w:val="none"/>
        </w:rPr>
      </w:pPr>
    </w:p>
    <w:p>
      <w:pPr>
        <w:snapToGrid w:val="0"/>
        <w:spacing w:line="240" w:lineRule="auto"/>
        <w:jc w:val="center"/>
        <w:rPr>
          <w:rFonts w:hint="eastAsia" w:ascii="幼圆" w:hAnsi="幼圆" w:eastAsia="幼圆" w:cs="幼圆"/>
          <w:caps/>
          <w:sz w:val="36"/>
          <w:szCs w:val="36"/>
          <w:highlight w:val="none"/>
        </w:rPr>
      </w:pPr>
      <w:r>
        <w:rPr>
          <w:rFonts w:hint="eastAsia" w:ascii="幼圆" w:hAnsi="幼圆" w:eastAsia="幼圆" w:cs="幼圆"/>
          <w:caps/>
          <w:sz w:val="36"/>
          <w:szCs w:val="36"/>
          <w:highlight w:val="none"/>
        </w:rPr>
        <w:t>技术规格偏离表</w:t>
      </w:r>
    </w:p>
    <w:p>
      <w:pPr>
        <w:snapToGrid w:val="0"/>
        <w:spacing w:before="120" w:beforeLines="50" w:line="240" w:lineRule="auto"/>
        <w:rPr>
          <w:rFonts w:hint="eastAsia" w:ascii="幼圆" w:hAnsi="幼圆" w:eastAsia="幼圆" w:cs="幼圆"/>
          <w:highlight w:val="none"/>
        </w:rPr>
      </w:pPr>
    </w:p>
    <w:p>
      <w:pPr>
        <w:snapToGrid w:val="0"/>
        <w:spacing w:after="120" w:afterLines="50" w:line="240" w:lineRule="auto"/>
        <w:rPr>
          <w:rFonts w:hint="eastAsia" w:ascii="幼圆" w:hAnsi="幼圆" w:eastAsia="幼圆" w:cs="幼圆"/>
          <w:highlight w:val="none"/>
          <w:u w:val="single"/>
        </w:rPr>
      </w:pPr>
      <w:r>
        <w:rPr>
          <w:rFonts w:hint="eastAsia" w:ascii="幼圆" w:hAnsi="幼圆" w:eastAsia="幼圆" w:cs="幼圆"/>
          <w:highlight w:val="none"/>
        </w:rPr>
        <w:t>项目名称：</w:t>
      </w:r>
    </w:p>
    <w:tbl>
      <w:tblPr>
        <w:tblStyle w:val="35"/>
        <w:tblW w:w="8505"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76"/>
        <w:gridCol w:w="2977"/>
        <w:gridCol w:w="2586"/>
        <w:gridCol w:w="166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Borders>
              <w:top w:val="double" w:color="auto" w:sz="4" w:space="0"/>
            </w:tcBorders>
            <w:vAlign w:val="center"/>
          </w:tcPr>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招标文件条目号</w:t>
            </w:r>
          </w:p>
        </w:tc>
        <w:tc>
          <w:tcPr>
            <w:tcW w:w="2977" w:type="dxa"/>
            <w:tcBorders>
              <w:top w:val="double" w:color="auto" w:sz="4" w:space="0"/>
            </w:tcBorders>
            <w:vAlign w:val="center"/>
          </w:tcPr>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招标文件采购需求的内容与数值</w:t>
            </w:r>
          </w:p>
        </w:tc>
        <w:tc>
          <w:tcPr>
            <w:tcW w:w="2586" w:type="dxa"/>
            <w:tcBorders>
              <w:top w:val="double" w:color="auto" w:sz="4" w:space="0"/>
            </w:tcBorders>
            <w:vAlign w:val="center"/>
          </w:tcPr>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投标人的采购需求响应内容与数值</w:t>
            </w:r>
          </w:p>
        </w:tc>
        <w:tc>
          <w:tcPr>
            <w:tcW w:w="1666" w:type="dxa"/>
            <w:tcBorders>
              <w:top w:val="double" w:color="auto" w:sz="4" w:space="0"/>
            </w:tcBorders>
            <w:vAlign w:val="center"/>
          </w:tcPr>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偏差说明</w:t>
            </w:r>
          </w:p>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（是否偏离/满足）</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240" w:lineRule="auto"/>
              <w:jc w:val="both"/>
              <w:textAlignment w:val="auto"/>
              <w:rPr>
                <w:rFonts w:hint="eastAsia" w:ascii="幼圆" w:hAnsi="幼圆" w:eastAsia="幼圆" w:cs="幼圆"/>
                <w:highlight w:val="none"/>
              </w:rPr>
            </w:pPr>
          </w:p>
        </w:tc>
        <w:tc>
          <w:tcPr>
            <w:tcW w:w="2977" w:type="dxa"/>
          </w:tcPr>
          <w:p>
            <w:pPr>
              <w:snapToGrid w:val="0"/>
              <w:spacing w:line="240" w:lineRule="auto"/>
              <w:jc w:val="both"/>
              <w:textAlignment w:val="auto"/>
              <w:rPr>
                <w:rFonts w:hint="eastAsia" w:ascii="幼圆" w:hAnsi="幼圆" w:eastAsia="幼圆" w:cs="幼圆"/>
                <w:highlight w:val="none"/>
              </w:rPr>
            </w:pPr>
          </w:p>
        </w:tc>
        <w:tc>
          <w:tcPr>
            <w:tcW w:w="2586" w:type="dxa"/>
          </w:tcPr>
          <w:p>
            <w:pPr>
              <w:snapToGrid w:val="0"/>
              <w:spacing w:line="240" w:lineRule="auto"/>
              <w:jc w:val="both"/>
              <w:textAlignment w:val="auto"/>
              <w:rPr>
                <w:rFonts w:hint="eastAsia" w:ascii="幼圆" w:hAnsi="幼圆" w:eastAsia="幼圆" w:cs="幼圆"/>
                <w:highlight w:val="none"/>
              </w:rPr>
            </w:pPr>
          </w:p>
        </w:tc>
        <w:tc>
          <w:tcPr>
            <w:tcW w:w="1666" w:type="dxa"/>
          </w:tcPr>
          <w:p>
            <w:pPr>
              <w:snapToGrid w:val="0"/>
              <w:spacing w:line="240" w:lineRule="auto"/>
              <w:jc w:val="both"/>
              <w:textAlignment w:val="auto"/>
              <w:rPr>
                <w:rFonts w:hint="eastAsia" w:ascii="幼圆" w:hAnsi="幼圆" w:eastAsia="幼圆" w:cs="幼圆"/>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240" w:lineRule="auto"/>
              <w:jc w:val="both"/>
              <w:textAlignment w:val="auto"/>
              <w:rPr>
                <w:rFonts w:hint="eastAsia" w:ascii="幼圆" w:hAnsi="幼圆" w:eastAsia="幼圆" w:cs="幼圆"/>
                <w:highlight w:val="none"/>
              </w:rPr>
            </w:pPr>
          </w:p>
        </w:tc>
        <w:tc>
          <w:tcPr>
            <w:tcW w:w="2977" w:type="dxa"/>
          </w:tcPr>
          <w:p>
            <w:pPr>
              <w:snapToGrid w:val="0"/>
              <w:spacing w:line="240" w:lineRule="auto"/>
              <w:jc w:val="both"/>
              <w:textAlignment w:val="auto"/>
              <w:rPr>
                <w:rFonts w:hint="eastAsia" w:ascii="幼圆" w:hAnsi="幼圆" w:eastAsia="幼圆" w:cs="幼圆"/>
                <w:highlight w:val="none"/>
              </w:rPr>
            </w:pPr>
          </w:p>
        </w:tc>
        <w:tc>
          <w:tcPr>
            <w:tcW w:w="2586" w:type="dxa"/>
          </w:tcPr>
          <w:p>
            <w:pPr>
              <w:snapToGrid w:val="0"/>
              <w:spacing w:line="240" w:lineRule="auto"/>
              <w:jc w:val="both"/>
              <w:textAlignment w:val="auto"/>
              <w:rPr>
                <w:rFonts w:hint="eastAsia" w:ascii="幼圆" w:hAnsi="幼圆" w:eastAsia="幼圆" w:cs="幼圆"/>
                <w:highlight w:val="none"/>
              </w:rPr>
            </w:pPr>
          </w:p>
        </w:tc>
        <w:tc>
          <w:tcPr>
            <w:tcW w:w="1666" w:type="dxa"/>
          </w:tcPr>
          <w:p>
            <w:pPr>
              <w:snapToGrid w:val="0"/>
              <w:spacing w:line="240" w:lineRule="auto"/>
              <w:jc w:val="both"/>
              <w:textAlignment w:val="auto"/>
              <w:rPr>
                <w:rFonts w:hint="eastAsia" w:ascii="幼圆" w:hAnsi="幼圆" w:eastAsia="幼圆" w:cs="幼圆"/>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240" w:lineRule="auto"/>
              <w:jc w:val="both"/>
              <w:textAlignment w:val="auto"/>
              <w:rPr>
                <w:rFonts w:hint="eastAsia" w:ascii="幼圆" w:hAnsi="幼圆" w:eastAsia="幼圆" w:cs="幼圆"/>
                <w:highlight w:val="none"/>
              </w:rPr>
            </w:pPr>
          </w:p>
        </w:tc>
        <w:tc>
          <w:tcPr>
            <w:tcW w:w="2977" w:type="dxa"/>
          </w:tcPr>
          <w:p>
            <w:pPr>
              <w:snapToGrid w:val="0"/>
              <w:spacing w:line="240" w:lineRule="auto"/>
              <w:jc w:val="both"/>
              <w:textAlignment w:val="auto"/>
              <w:rPr>
                <w:rFonts w:hint="eastAsia" w:ascii="幼圆" w:hAnsi="幼圆" w:eastAsia="幼圆" w:cs="幼圆"/>
                <w:highlight w:val="none"/>
              </w:rPr>
            </w:pPr>
          </w:p>
        </w:tc>
        <w:tc>
          <w:tcPr>
            <w:tcW w:w="2586" w:type="dxa"/>
          </w:tcPr>
          <w:p>
            <w:pPr>
              <w:snapToGrid w:val="0"/>
              <w:spacing w:line="240" w:lineRule="auto"/>
              <w:jc w:val="both"/>
              <w:textAlignment w:val="auto"/>
              <w:rPr>
                <w:rFonts w:hint="eastAsia" w:ascii="幼圆" w:hAnsi="幼圆" w:eastAsia="幼圆" w:cs="幼圆"/>
                <w:highlight w:val="none"/>
              </w:rPr>
            </w:pPr>
          </w:p>
        </w:tc>
        <w:tc>
          <w:tcPr>
            <w:tcW w:w="1666" w:type="dxa"/>
          </w:tcPr>
          <w:p>
            <w:pPr>
              <w:snapToGrid w:val="0"/>
              <w:spacing w:line="240" w:lineRule="auto"/>
              <w:jc w:val="both"/>
              <w:textAlignment w:val="auto"/>
              <w:rPr>
                <w:rFonts w:hint="eastAsia" w:ascii="幼圆" w:hAnsi="幼圆" w:eastAsia="幼圆" w:cs="幼圆"/>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240" w:lineRule="auto"/>
              <w:jc w:val="both"/>
              <w:textAlignment w:val="auto"/>
              <w:rPr>
                <w:rFonts w:hint="eastAsia" w:ascii="幼圆" w:hAnsi="幼圆" w:eastAsia="幼圆" w:cs="幼圆"/>
                <w:highlight w:val="none"/>
              </w:rPr>
            </w:pPr>
          </w:p>
        </w:tc>
        <w:tc>
          <w:tcPr>
            <w:tcW w:w="2977" w:type="dxa"/>
          </w:tcPr>
          <w:p>
            <w:pPr>
              <w:snapToGrid w:val="0"/>
              <w:spacing w:line="240" w:lineRule="auto"/>
              <w:jc w:val="both"/>
              <w:textAlignment w:val="auto"/>
              <w:rPr>
                <w:rFonts w:hint="eastAsia" w:ascii="幼圆" w:hAnsi="幼圆" w:eastAsia="幼圆" w:cs="幼圆"/>
                <w:highlight w:val="none"/>
              </w:rPr>
            </w:pPr>
          </w:p>
        </w:tc>
        <w:tc>
          <w:tcPr>
            <w:tcW w:w="2586" w:type="dxa"/>
          </w:tcPr>
          <w:p>
            <w:pPr>
              <w:snapToGrid w:val="0"/>
              <w:spacing w:line="240" w:lineRule="auto"/>
              <w:jc w:val="both"/>
              <w:textAlignment w:val="auto"/>
              <w:rPr>
                <w:rFonts w:hint="eastAsia" w:ascii="幼圆" w:hAnsi="幼圆" w:eastAsia="幼圆" w:cs="幼圆"/>
                <w:highlight w:val="none"/>
              </w:rPr>
            </w:pPr>
          </w:p>
        </w:tc>
        <w:tc>
          <w:tcPr>
            <w:tcW w:w="1666" w:type="dxa"/>
          </w:tcPr>
          <w:p>
            <w:pPr>
              <w:snapToGrid w:val="0"/>
              <w:spacing w:line="240" w:lineRule="auto"/>
              <w:jc w:val="both"/>
              <w:textAlignment w:val="auto"/>
              <w:rPr>
                <w:rFonts w:hint="eastAsia" w:ascii="幼圆" w:hAnsi="幼圆" w:eastAsia="幼圆" w:cs="幼圆"/>
                <w:highlight w:val="none"/>
              </w:rPr>
            </w:pPr>
          </w:p>
        </w:tc>
      </w:tr>
    </w:tbl>
    <w:p>
      <w:pPr>
        <w:snapToGrid w:val="0"/>
        <w:spacing w:line="240" w:lineRule="auto"/>
        <w:ind w:left="540" w:hanging="495" w:hangingChars="225"/>
        <w:rPr>
          <w:rFonts w:hint="eastAsia" w:ascii="幼圆" w:hAnsi="幼圆" w:eastAsia="幼圆" w:cs="幼圆"/>
          <w:highlight w:val="none"/>
        </w:rPr>
      </w:pPr>
    </w:p>
    <w:p>
      <w:pPr>
        <w:snapToGrid w:val="0"/>
        <w:spacing w:line="240" w:lineRule="auto"/>
        <w:ind w:firstLine="440" w:firstLineChars="200"/>
        <w:rPr>
          <w:rFonts w:hint="eastAsia" w:ascii="幼圆" w:hAnsi="幼圆" w:eastAsia="幼圆" w:cs="幼圆"/>
          <w:highlight w:val="none"/>
        </w:rPr>
      </w:pPr>
      <w:r>
        <w:rPr>
          <w:rFonts w:hint="eastAsia" w:ascii="幼圆" w:hAnsi="幼圆" w:eastAsia="幼圆" w:cs="幼圆"/>
          <w:highlight w:val="none"/>
        </w:rPr>
        <w:t>注：1.投标人应对招标文件第三章采购需求要求的内容给予逐条响应，以投标服务所能达到的内容予以填写，有具体需求的应填写具体要求。</w:t>
      </w:r>
    </w:p>
    <w:p>
      <w:pPr>
        <w:snapToGrid w:val="0"/>
        <w:spacing w:line="240" w:lineRule="auto"/>
        <w:ind w:firstLine="440" w:firstLineChars="200"/>
        <w:rPr>
          <w:rFonts w:hint="eastAsia" w:ascii="幼圆" w:hAnsi="幼圆" w:eastAsia="幼圆" w:cs="幼圆"/>
          <w:highlight w:val="none"/>
        </w:rPr>
      </w:pPr>
      <w:r>
        <w:rPr>
          <w:rFonts w:hint="eastAsia" w:ascii="幼圆" w:hAnsi="幼圆" w:eastAsia="幼圆" w:cs="幼圆"/>
          <w:highlight w:val="none"/>
        </w:rPr>
        <w:tab/>
      </w:r>
      <w:r>
        <w:rPr>
          <w:rFonts w:hint="eastAsia" w:ascii="幼圆" w:hAnsi="幼圆" w:eastAsia="幼圆" w:cs="幼圆"/>
          <w:highlight w:val="none"/>
        </w:rPr>
        <w:t>2. 偏差说明处：技术、服务内容满足招标文件相应要求填写：“满足招标文件要求”、或“无偏离”；技术、服务内容不满足招标文件相应要求填写：“不满足招标文件要求”或“负偏离”。</w:t>
      </w:r>
    </w:p>
    <w:p>
      <w:pPr>
        <w:snapToGrid w:val="0"/>
        <w:spacing w:line="240" w:lineRule="auto"/>
        <w:ind w:firstLine="220" w:firstLineChars="100"/>
        <w:jc w:val="both"/>
        <w:textAlignment w:val="auto"/>
        <w:rPr>
          <w:rFonts w:hint="eastAsia" w:ascii="幼圆" w:hAnsi="幼圆" w:eastAsia="幼圆" w:cs="幼圆"/>
          <w:highlight w:val="none"/>
        </w:rPr>
      </w:pPr>
      <w:r>
        <w:rPr>
          <w:rFonts w:hint="eastAsia" w:ascii="幼圆" w:hAnsi="幼圆" w:eastAsia="幼圆" w:cs="幼圆"/>
          <w:highlight w:val="none"/>
        </w:rPr>
        <w:t>投标人名称：（单位公章）</w:t>
      </w:r>
    </w:p>
    <w:p>
      <w:pPr>
        <w:snapToGrid w:val="0"/>
        <w:spacing w:line="240" w:lineRule="auto"/>
        <w:ind w:firstLine="220" w:firstLineChars="100"/>
        <w:jc w:val="both"/>
        <w:textAlignment w:val="auto"/>
        <w:rPr>
          <w:rFonts w:hint="eastAsia" w:ascii="幼圆" w:hAnsi="幼圆" w:eastAsia="幼圆" w:cs="幼圆"/>
          <w:highlight w:val="none"/>
        </w:rPr>
      </w:pPr>
      <w:r>
        <w:rPr>
          <w:rFonts w:hint="eastAsia" w:ascii="幼圆" w:hAnsi="幼圆" w:eastAsia="幼圆" w:cs="幼圆"/>
          <w:highlight w:val="none"/>
        </w:rPr>
        <w:t>法定代表人或授权代表：（签字）</w:t>
      </w:r>
    </w:p>
    <w:p>
      <w:pPr>
        <w:snapToGrid w:val="0"/>
        <w:spacing w:line="240" w:lineRule="auto"/>
        <w:ind w:firstLine="220" w:firstLineChars="100"/>
        <w:jc w:val="both"/>
        <w:textAlignment w:val="auto"/>
        <w:rPr>
          <w:rFonts w:hint="eastAsia" w:ascii="幼圆" w:hAnsi="幼圆" w:eastAsia="幼圆" w:cs="幼圆"/>
          <w:highlight w:val="none"/>
        </w:rPr>
      </w:pPr>
      <w:r>
        <w:rPr>
          <w:rFonts w:hint="eastAsia" w:ascii="幼圆" w:hAnsi="幼圆" w:eastAsia="幼圆" w:cs="幼圆"/>
          <w:highlight w:val="none"/>
        </w:rPr>
        <w:t>日期：</w:t>
      </w:r>
    </w:p>
    <w:p>
      <w:pPr>
        <w:spacing w:line="240" w:lineRule="auto"/>
        <w:rPr>
          <w:rFonts w:hint="eastAsia" w:ascii="幼圆" w:hAnsi="幼圆" w:eastAsia="幼圆" w:cs="幼圆"/>
          <w:lang w:val="en-US" w:eastAsia="zh-CN"/>
        </w:rPr>
      </w:pP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60409020205020404"/>
    <w:charset w:val="00"/>
    <w:family w:val="auto"/>
    <w:pitch w:val="default"/>
    <w:sig w:usb0="00000000" w:usb1="00000000" w:usb2="00000000" w:usb3="00000000" w:csb0="00000093"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幼圆">
    <w:panose1 w:val="0201050906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2C6442"/>
    <w:multiLevelType w:val="singleLevel"/>
    <w:tmpl w:val="822C6442"/>
    <w:lvl w:ilvl="0" w:tentative="0">
      <w:start w:val="1"/>
      <w:numFmt w:val="decimal"/>
      <w:lvlText w:val="%1."/>
      <w:lvlJc w:val="left"/>
      <w:pPr>
        <w:ind w:left="425" w:hanging="425"/>
      </w:pPr>
      <w:rPr>
        <w:rFonts w:hint="default"/>
      </w:rPr>
    </w:lvl>
  </w:abstractNum>
  <w:abstractNum w:abstractNumId="1">
    <w:nsid w:val="B801158A"/>
    <w:multiLevelType w:val="singleLevel"/>
    <w:tmpl w:val="B801158A"/>
    <w:lvl w:ilvl="0" w:tentative="0">
      <w:start w:val="2"/>
      <w:numFmt w:val="chineseCounting"/>
      <w:suff w:val="nothing"/>
      <w:lvlText w:val="%1、"/>
      <w:lvlJc w:val="left"/>
      <w:rPr>
        <w:rFonts w:hint="eastAsia"/>
      </w:rPr>
    </w:lvl>
  </w:abstractNum>
  <w:abstractNum w:abstractNumId="2">
    <w:nsid w:val="CB566BFC"/>
    <w:multiLevelType w:val="singleLevel"/>
    <w:tmpl w:val="CB566BFC"/>
    <w:lvl w:ilvl="0" w:tentative="0">
      <w:start w:val="1"/>
      <w:numFmt w:val="decimal"/>
      <w:lvlText w:val="%1)"/>
      <w:lvlJc w:val="left"/>
      <w:pPr>
        <w:ind w:left="425" w:hanging="425"/>
      </w:pPr>
      <w:rPr>
        <w:rFonts w:hint="default"/>
      </w:rPr>
    </w:lvl>
  </w:abstractNum>
  <w:abstractNum w:abstractNumId="3">
    <w:nsid w:val="E2A26C4D"/>
    <w:multiLevelType w:val="singleLevel"/>
    <w:tmpl w:val="E2A26C4D"/>
    <w:lvl w:ilvl="0" w:tentative="0">
      <w:start w:val="1"/>
      <w:numFmt w:val="decimal"/>
      <w:lvlText w:val="%1)"/>
      <w:lvlJc w:val="left"/>
      <w:pPr>
        <w:ind w:left="425" w:hanging="425"/>
      </w:pPr>
      <w:rPr>
        <w:rFonts w:hint="default"/>
      </w:rPr>
    </w:lvl>
  </w:abstractNum>
  <w:abstractNum w:abstractNumId="4">
    <w:nsid w:val="E9D502EE"/>
    <w:multiLevelType w:val="singleLevel"/>
    <w:tmpl w:val="E9D502EE"/>
    <w:lvl w:ilvl="0" w:tentative="0">
      <w:start w:val="5"/>
      <w:numFmt w:val="chineseCounting"/>
      <w:suff w:val="nothing"/>
      <w:lvlText w:val="%1、"/>
      <w:lvlJc w:val="left"/>
      <w:rPr>
        <w:rFonts w:hint="eastAsia"/>
      </w:rPr>
    </w:lvl>
  </w:abstractNum>
  <w:abstractNum w:abstractNumId="5">
    <w:nsid w:val="FFFFFF7E"/>
    <w:multiLevelType w:val="singleLevel"/>
    <w:tmpl w:val="FFFFFF7E"/>
    <w:lvl w:ilvl="0" w:tentative="0">
      <w:start w:val="1"/>
      <w:numFmt w:val="decimal"/>
      <w:pStyle w:val="24"/>
      <w:lvlText w:val="%1."/>
      <w:lvlJc w:val="left"/>
      <w:pPr>
        <w:tabs>
          <w:tab w:val="left" w:pos="1080"/>
        </w:tabs>
        <w:ind w:left="1080" w:hanging="360"/>
      </w:pPr>
    </w:lvl>
  </w:abstractNum>
  <w:abstractNum w:abstractNumId="6">
    <w:nsid w:val="FFFFFF7F"/>
    <w:multiLevelType w:val="singleLevel"/>
    <w:tmpl w:val="FFFFFF7F"/>
    <w:lvl w:ilvl="0" w:tentative="0">
      <w:start w:val="1"/>
      <w:numFmt w:val="decimal"/>
      <w:pStyle w:val="15"/>
      <w:lvlText w:val="%1."/>
      <w:lvlJc w:val="left"/>
      <w:pPr>
        <w:tabs>
          <w:tab w:val="left" w:pos="720"/>
        </w:tabs>
        <w:ind w:left="720" w:hanging="360"/>
      </w:pPr>
    </w:lvl>
  </w:abstractNum>
  <w:abstractNum w:abstractNumId="7">
    <w:nsid w:val="FFFFFF82"/>
    <w:multiLevelType w:val="singleLevel"/>
    <w:tmpl w:val="FFFFFF82"/>
    <w:lvl w:ilvl="0" w:tentative="0">
      <w:start w:val="1"/>
      <w:numFmt w:val="bullet"/>
      <w:pStyle w:val="21"/>
      <w:lvlText w:val=""/>
      <w:lvlJc w:val="left"/>
      <w:pPr>
        <w:tabs>
          <w:tab w:val="left" w:pos="1080"/>
        </w:tabs>
        <w:ind w:left="1080" w:hanging="360"/>
      </w:pPr>
      <w:rPr>
        <w:rFonts w:hint="default" w:ascii="Symbol" w:hAnsi="Symbol"/>
      </w:rPr>
    </w:lvl>
  </w:abstractNum>
  <w:abstractNum w:abstractNumId="8">
    <w:nsid w:val="FFFFFF83"/>
    <w:multiLevelType w:val="singleLevel"/>
    <w:tmpl w:val="FFFFFF83"/>
    <w:lvl w:ilvl="0" w:tentative="0">
      <w:start w:val="1"/>
      <w:numFmt w:val="bullet"/>
      <w:pStyle w:val="27"/>
      <w:lvlText w:val=""/>
      <w:lvlJc w:val="left"/>
      <w:pPr>
        <w:tabs>
          <w:tab w:val="left" w:pos="720"/>
        </w:tabs>
        <w:ind w:left="720" w:hanging="360"/>
      </w:pPr>
      <w:rPr>
        <w:rFonts w:hint="default" w:ascii="Symbol" w:hAnsi="Symbol"/>
      </w:rPr>
    </w:lvl>
  </w:abstractNum>
  <w:abstractNum w:abstractNumId="9">
    <w:nsid w:val="FFFFFF88"/>
    <w:multiLevelType w:val="singleLevel"/>
    <w:tmpl w:val="FFFFFF88"/>
    <w:lvl w:ilvl="0" w:tentative="0">
      <w:start w:val="1"/>
      <w:numFmt w:val="decimal"/>
      <w:pStyle w:val="16"/>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abstractNum w:abstractNumId="11">
    <w:nsid w:val="01135CE0"/>
    <w:multiLevelType w:val="singleLevel"/>
    <w:tmpl w:val="01135CE0"/>
    <w:lvl w:ilvl="0" w:tentative="0">
      <w:start w:val="1"/>
      <w:numFmt w:val="decimal"/>
      <w:lvlText w:val="%1."/>
      <w:lvlJc w:val="left"/>
      <w:pPr>
        <w:ind w:left="425" w:hanging="425"/>
      </w:pPr>
      <w:rPr>
        <w:rFonts w:hint="default"/>
      </w:rPr>
    </w:lvl>
  </w:abstractNum>
  <w:abstractNum w:abstractNumId="12">
    <w:nsid w:val="0E0A9788"/>
    <w:multiLevelType w:val="singleLevel"/>
    <w:tmpl w:val="0E0A9788"/>
    <w:lvl w:ilvl="0" w:tentative="0">
      <w:start w:val="1"/>
      <w:numFmt w:val="decimal"/>
      <w:suff w:val="nothing"/>
      <w:lvlText w:val="（%1）"/>
      <w:lvlJc w:val="left"/>
    </w:lvl>
  </w:abstractNum>
  <w:abstractNum w:abstractNumId="13">
    <w:nsid w:val="219B2BE2"/>
    <w:multiLevelType w:val="singleLevel"/>
    <w:tmpl w:val="219B2BE2"/>
    <w:lvl w:ilvl="0" w:tentative="0">
      <w:start w:val="1"/>
      <w:numFmt w:val="decimal"/>
      <w:lvlText w:val="%1)"/>
      <w:lvlJc w:val="left"/>
      <w:pPr>
        <w:ind w:left="425" w:hanging="425"/>
      </w:pPr>
      <w:rPr>
        <w:rFonts w:hint="default"/>
      </w:rPr>
    </w:lvl>
  </w:abstractNum>
  <w:abstractNum w:abstractNumId="14">
    <w:nsid w:val="433F00E0"/>
    <w:multiLevelType w:val="multilevel"/>
    <w:tmpl w:val="433F00E0"/>
    <w:lvl w:ilvl="0" w:tentative="0">
      <w:start w:val="1"/>
      <w:numFmt w:val="decimal"/>
      <w:pStyle w:val="172"/>
      <w:suff w:val="nothing"/>
      <w:lvlText w:val="（%1）"/>
      <w:lvlJc w:val="left"/>
      <w:pPr>
        <w:ind w:left="1413"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5">
    <w:nsid w:val="44449A29"/>
    <w:multiLevelType w:val="multilevel"/>
    <w:tmpl w:val="44449A29"/>
    <w:lvl w:ilvl="0" w:tentative="0">
      <w:start w:val="1"/>
      <w:numFmt w:val="decimal"/>
      <w:lvlText w:val="(%1)"/>
      <w:lvlJc w:val="left"/>
      <w:pPr>
        <w:ind w:left="425" w:hanging="425"/>
      </w:pPr>
      <w:rPr>
        <w:rFonts w:hint="default" w:ascii="幼圆" w:hAnsi="幼圆" w:eastAsia="幼圆" w:cs="幼圆"/>
      </w:rPr>
    </w:lvl>
    <w:lvl w:ilvl="1" w:tentative="0">
      <w:start w:val="1"/>
      <w:numFmt w:val="decimalEnclosedCircleChinese"/>
      <w:lvlText w:val="%2"/>
      <w:lvlJc w:val="left"/>
      <w:pPr>
        <w:tabs>
          <w:tab w:val="left" w:pos="840"/>
        </w:tabs>
        <w:ind w:left="840" w:leftChars="0" w:hanging="420" w:firstLineChars="0"/>
      </w:pPr>
      <w:rPr>
        <w:rFonts w:hint="default"/>
      </w:rPr>
    </w:lvl>
    <w:lvl w:ilvl="2" w:tentative="0">
      <w:start w:val="1"/>
      <w:numFmt w:val="decimal"/>
      <w:lvlText w:val="%3)"/>
      <w:lvlJc w:val="left"/>
      <w:pPr>
        <w:tabs>
          <w:tab w:val="left" w:pos="1260"/>
        </w:tabs>
        <w:ind w:left="1260" w:leftChars="0" w:hanging="420" w:firstLineChars="0"/>
      </w:pPr>
      <w:rPr>
        <w:rFonts w:hint="default"/>
      </w:rPr>
    </w:lvl>
    <w:lvl w:ilvl="3" w:tentative="0">
      <w:start w:val="1"/>
      <w:numFmt w:val="lowerLetter"/>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6">
    <w:nsid w:val="484BEA04"/>
    <w:multiLevelType w:val="singleLevel"/>
    <w:tmpl w:val="484BEA04"/>
    <w:lvl w:ilvl="0" w:tentative="0">
      <w:start w:val="1"/>
      <w:numFmt w:val="decimal"/>
      <w:lvlText w:val="%1)"/>
      <w:lvlJc w:val="left"/>
      <w:pPr>
        <w:ind w:left="425" w:hanging="425"/>
      </w:pPr>
      <w:rPr>
        <w:rFonts w:hint="default"/>
      </w:rPr>
    </w:lvl>
  </w:abstractNum>
  <w:abstractNum w:abstractNumId="17">
    <w:nsid w:val="5075BEBF"/>
    <w:multiLevelType w:val="singleLevel"/>
    <w:tmpl w:val="5075BEBF"/>
    <w:lvl w:ilvl="0" w:tentative="0">
      <w:start w:val="6"/>
      <w:numFmt w:val="decimal"/>
      <w:suff w:val="space"/>
      <w:lvlText w:val="%1）"/>
      <w:lvlJc w:val="left"/>
    </w:lvl>
  </w:abstractNum>
  <w:abstractNum w:abstractNumId="18">
    <w:nsid w:val="5EC5F1E2"/>
    <w:multiLevelType w:val="singleLevel"/>
    <w:tmpl w:val="5EC5F1E2"/>
    <w:lvl w:ilvl="0" w:tentative="0">
      <w:start w:val="1"/>
      <w:numFmt w:val="decimal"/>
      <w:lvlText w:val="%1)"/>
      <w:lvlJc w:val="left"/>
      <w:pPr>
        <w:ind w:left="425" w:hanging="425"/>
      </w:pPr>
      <w:rPr>
        <w:rFonts w:hint="default"/>
      </w:rPr>
    </w:lvl>
  </w:abstractNum>
  <w:abstractNum w:abstractNumId="19">
    <w:nsid w:val="639FD8F0"/>
    <w:multiLevelType w:val="singleLevel"/>
    <w:tmpl w:val="639FD8F0"/>
    <w:lvl w:ilvl="0" w:tentative="0">
      <w:start w:val="1"/>
      <w:numFmt w:val="decimal"/>
      <w:lvlText w:val="%1)"/>
      <w:lvlJc w:val="left"/>
      <w:pPr>
        <w:tabs>
          <w:tab w:val="left" w:pos="420"/>
        </w:tabs>
        <w:ind w:left="845" w:hanging="425"/>
      </w:pPr>
      <w:rPr>
        <w:rFonts w:hint="default"/>
      </w:rPr>
    </w:lvl>
  </w:abstractNum>
  <w:abstractNum w:abstractNumId="20">
    <w:nsid w:val="6FA19528"/>
    <w:multiLevelType w:val="singleLevel"/>
    <w:tmpl w:val="6FA19528"/>
    <w:lvl w:ilvl="0" w:tentative="0">
      <w:start w:val="1"/>
      <w:numFmt w:val="decimal"/>
      <w:lvlText w:val="%1."/>
      <w:lvlJc w:val="left"/>
      <w:pPr>
        <w:ind w:left="425" w:hanging="425"/>
      </w:pPr>
      <w:rPr>
        <w:rFonts w:hint="default"/>
      </w:rPr>
    </w:lvl>
  </w:abstractNum>
  <w:abstractNum w:abstractNumId="21">
    <w:nsid w:val="74FB7E6E"/>
    <w:multiLevelType w:val="multilevel"/>
    <w:tmpl w:val="74FB7E6E"/>
    <w:lvl w:ilvl="0" w:tentative="0">
      <w:start w:val="1"/>
      <w:numFmt w:val="decimal"/>
      <w:lvlText w:val="%1."/>
      <w:lvlJc w:val="left"/>
      <w:pPr>
        <w:ind w:left="425" w:hanging="425"/>
      </w:pPr>
      <w:rPr>
        <w:rFonts w:hint="default"/>
      </w:rPr>
    </w:lvl>
    <w:lvl w:ilvl="1" w:tentative="0">
      <w:start w:val="1"/>
      <w:numFmt w:val="decimal"/>
      <w:lvlText w:val="(%2)"/>
      <w:lvlJc w:val="left"/>
      <w:pPr>
        <w:tabs>
          <w:tab w:val="left" w:pos="840"/>
        </w:tabs>
        <w:ind w:left="840" w:leftChars="0" w:hanging="420" w:firstLineChars="0"/>
      </w:pPr>
      <w:rPr>
        <w:rFonts w:hint="default" w:ascii="宋体" w:hAnsi="宋体" w:eastAsia="宋体" w:cs="宋体"/>
        <w:b w:val="0"/>
        <w:bCs w:val="0"/>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num w:numId="1">
    <w:abstractNumId w:val="6"/>
  </w:num>
  <w:num w:numId="2">
    <w:abstractNumId w:val="9"/>
  </w:num>
  <w:num w:numId="3">
    <w:abstractNumId w:val="10"/>
  </w:num>
  <w:num w:numId="4">
    <w:abstractNumId w:val="7"/>
  </w:num>
  <w:num w:numId="5">
    <w:abstractNumId w:val="5"/>
  </w:num>
  <w:num w:numId="6">
    <w:abstractNumId w:val="8"/>
  </w:num>
  <w:num w:numId="7">
    <w:abstractNumId w:val="14"/>
  </w:num>
  <w:num w:numId="8">
    <w:abstractNumId w:val="1"/>
  </w:num>
  <w:num w:numId="9">
    <w:abstractNumId w:val="4"/>
  </w:num>
  <w:num w:numId="10">
    <w:abstractNumId w:val="20"/>
  </w:num>
  <w:num w:numId="11">
    <w:abstractNumId w:val="12"/>
  </w:num>
  <w:num w:numId="12">
    <w:abstractNumId w:val="15"/>
  </w:num>
  <w:num w:numId="13">
    <w:abstractNumId w:val="19"/>
  </w:num>
  <w:num w:numId="14">
    <w:abstractNumId w:val="16"/>
  </w:num>
  <w:num w:numId="15">
    <w:abstractNumId w:val="3"/>
  </w:num>
  <w:num w:numId="16">
    <w:abstractNumId w:val="17"/>
  </w:num>
  <w:num w:numId="17">
    <w:abstractNumId w:val="18"/>
  </w:num>
  <w:num w:numId="18">
    <w:abstractNumId w:val="13"/>
  </w:num>
  <w:num w:numId="19">
    <w:abstractNumId w:val="2"/>
  </w:num>
  <w:num w:numId="20">
    <w:abstractNumId w:val="0"/>
  </w:num>
  <w:num w:numId="21">
    <w:abstractNumId w:val="21"/>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3ZGYyMzQ2ODU5MTM2M2Q5ZTM2MjRkMmUwOTYxOWUifQ=="/>
  </w:docVars>
  <w:rsids>
    <w:rsidRoot w:val="00B47730"/>
    <w:rsid w:val="00034616"/>
    <w:rsid w:val="0006063C"/>
    <w:rsid w:val="0015074B"/>
    <w:rsid w:val="0029639D"/>
    <w:rsid w:val="00326F90"/>
    <w:rsid w:val="0039276B"/>
    <w:rsid w:val="005F224A"/>
    <w:rsid w:val="008369C7"/>
    <w:rsid w:val="009C7AE2"/>
    <w:rsid w:val="00AA1D8D"/>
    <w:rsid w:val="00B47730"/>
    <w:rsid w:val="00CB0664"/>
    <w:rsid w:val="00FC693F"/>
    <w:rsid w:val="015A556D"/>
    <w:rsid w:val="039B035C"/>
    <w:rsid w:val="03DC6164"/>
    <w:rsid w:val="04BF5B95"/>
    <w:rsid w:val="05B922DB"/>
    <w:rsid w:val="06247180"/>
    <w:rsid w:val="08CA0C86"/>
    <w:rsid w:val="0A4A3DA1"/>
    <w:rsid w:val="0ADE0A96"/>
    <w:rsid w:val="0B772CD7"/>
    <w:rsid w:val="0B9760F9"/>
    <w:rsid w:val="0D32706A"/>
    <w:rsid w:val="0F553938"/>
    <w:rsid w:val="0F6F40AA"/>
    <w:rsid w:val="106611D9"/>
    <w:rsid w:val="113329E6"/>
    <w:rsid w:val="117F262B"/>
    <w:rsid w:val="12A90D4E"/>
    <w:rsid w:val="12C56763"/>
    <w:rsid w:val="12EA542F"/>
    <w:rsid w:val="15901876"/>
    <w:rsid w:val="15B1627B"/>
    <w:rsid w:val="172A7912"/>
    <w:rsid w:val="1990077F"/>
    <w:rsid w:val="19A32D0D"/>
    <w:rsid w:val="1BE71C78"/>
    <w:rsid w:val="1F3C1C4F"/>
    <w:rsid w:val="1F5F6D41"/>
    <w:rsid w:val="202408C8"/>
    <w:rsid w:val="205F522A"/>
    <w:rsid w:val="210C0BC6"/>
    <w:rsid w:val="2274584A"/>
    <w:rsid w:val="229B3C09"/>
    <w:rsid w:val="22BF180F"/>
    <w:rsid w:val="22E24F49"/>
    <w:rsid w:val="24392B0D"/>
    <w:rsid w:val="24A75DD1"/>
    <w:rsid w:val="24AB1841"/>
    <w:rsid w:val="24F414B1"/>
    <w:rsid w:val="258A6E5B"/>
    <w:rsid w:val="25AF67D6"/>
    <w:rsid w:val="25D77D3F"/>
    <w:rsid w:val="25E54A8E"/>
    <w:rsid w:val="26B26BA7"/>
    <w:rsid w:val="27372964"/>
    <w:rsid w:val="27BD3A55"/>
    <w:rsid w:val="28357004"/>
    <w:rsid w:val="2994584A"/>
    <w:rsid w:val="2A663850"/>
    <w:rsid w:val="2B745DF2"/>
    <w:rsid w:val="2BE26EA2"/>
    <w:rsid w:val="2C5F3B91"/>
    <w:rsid w:val="2D056703"/>
    <w:rsid w:val="2D26536C"/>
    <w:rsid w:val="2DA44891"/>
    <w:rsid w:val="2F1D0548"/>
    <w:rsid w:val="2F6E5F01"/>
    <w:rsid w:val="2FF57743"/>
    <w:rsid w:val="30286D46"/>
    <w:rsid w:val="31321010"/>
    <w:rsid w:val="313F5CD8"/>
    <w:rsid w:val="3225199F"/>
    <w:rsid w:val="335911B0"/>
    <w:rsid w:val="347B53E1"/>
    <w:rsid w:val="34813790"/>
    <w:rsid w:val="349013E9"/>
    <w:rsid w:val="34B64844"/>
    <w:rsid w:val="3543266F"/>
    <w:rsid w:val="35A3178F"/>
    <w:rsid w:val="35BA5B31"/>
    <w:rsid w:val="35C02C5D"/>
    <w:rsid w:val="36710DAA"/>
    <w:rsid w:val="374D3D49"/>
    <w:rsid w:val="377C3B60"/>
    <w:rsid w:val="381A7AE8"/>
    <w:rsid w:val="386E2923"/>
    <w:rsid w:val="39577622"/>
    <w:rsid w:val="397720D5"/>
    <w:rsid w:val="399036C4"/>
    <w:rsid w:val="3AA1560E"/>
    <w:rsid w:val="3D3FEA48"/>
    <w:rsid w:val="3DAB702F"/>
    <w:rsid w:val="3DBFD295"/>
    <w:rsid w:val="3DF35805"/>
    <w:rsid w:val="3E543B04"/>
    <w:rsid w:val="3E9B6EC4"/>
    <w:rsid w:val="3EBA3A53"/>
    <w:rsid w:val="3F6E7574"/>
    <w:rsid w:val="40E40ADC"/>
    <w:rsid w:val="411538B7"/>
    <w:rsid w:val="41536D26"/>
    <w:rsid w:val="41BE02EE"/>
    <w:rsid w:val="41EB7473"/>
    <w:rsid w:val="41F027BE"/>
    <w:rsid w:val="420A5259"/>
    <w:rsid w:val="421945B1"/>
    <w:rsid w:val="43F67691"/>
    <w:rsid w:val="44DB5B25"/>
    <w:rsid w:val="455507B5"/>
    <w:rsid w:val="45A307A5"/>
    <w:rsid w:val="45A40BA1"/>
    <w:rsid w:val="45A73923"/>
    <w:rsid w:val="469F2EE7"/>
    <w:rsid w:val="47091014"/>
    <w:rsid w:val="4709160B"/>
    <w:rsid w:val="472B3D0B"/>
    <w:rsid w:val="476165B4"/>
    <w:rsid w:val="480333C8"/>
    <w:rsid w:val="48153C8D"/>
    <w:rsid w:val="48482E26"/>
    <w:rsid w:val="4875046F"/>
    <w:rsid w:val="48D90193"/>
    <w:rsid w:val="491E21A3"/>
    <w:rsid w:val="49B06B72"/>
    <w:rsid w:val="49F927E9"/>
    <w:rsid w:val="4A695CBB"/>
    <w:rsid w:val="4AEF402B"/>
    <w:rsid w:val="4B5410CE"/>
    <w:rsid w:val="4C0D4686"/>
    <w:rsid w:val="4D1D5914"/>
    <w:rsid w:val="4D5C393A"/>
    <w:rsid w:val="4E737776"/>
    <w:rsid w:val="4F884709"/>
    <w:rsid w:val="4FC375E6"/>
    <w:rsid w:val="502A0955"/>
    <w:rsid w:val="5257047F"/>
    <w:rsid w:val="529C7846"/>
    <w:rsid w:val="537D6985"/>
    <w:rsid w:val="53ED7FA3"/>
    <w:rsid w:val="548B5756"/>
    <w:rsid w:val="562D069E"/>
    <w:rsid w:val="5656504D"/>
    <w:rsid w:val="56A9ACE5"/>
    <w:rsid w:val="574D52F6"/>
    <w:rsid w:val="57F124B8"/>
    <w:rsid w:val="586B0DA0"/>
    <w:rsid w:val="5887487A"/>
    <w:rsid w:val="5B5150A4"/>
    <w:rsid w:val="5E4C798F"/>
    <w:rsid w:val="5E75216F"/>
    <w:rsid w:val="5F165949"/>
    <w:rsid w:val="5F1C45FF"/>
    <w:rsid w:val="5FEFBD42"/>
    <w:rsid w:val="62BB227D"/>
    <w:rsid w:val="63A6046B"/>
    <w:rsid w:val="64690EAB"/>
    <w:rsid w:val="64F50F92"/>
    <w:rsid w:val="6653074D"/>
    <w:rsid w:val="678C0E2E"/>
    <w:rsid w:val="68860CA5"/>
    <w:rsid w:val="69281BE2"/>
    <w:rsid w:val="6A177E9C"/>
    <w:rsid w:val="6A5C38C9"/>
    <w:rsid w:val="6BBC5FCE"/>
    <w:rsid w:val="6BD25936"/>
    <w:rsid w:val="6FBD2579"/>
    <w:rsid w:val="6FED3F9B"/>
    <w:rsid w:val="701139EA"/>
    <w:rsid w:val="703B2526"/>
    <w:rsid w:val="70712FCD"/>
    <w:rsid w:val="72014FA3"/>
    <w:rsid w:val="720472B3"/>
    <w:rsid w:val="72E4478C"/>
    <w:rsid w:val="74B344DD"/>
    <w:rsid w:val="755F72B5"/>
    <w:rsid w:val="75C51121"/>
    <w:rsid w:val="75DF8964"/>
    <w:rsid w:val="75F106A5"/>
    <w:rsid w:val="761942CF"/>
    <w:rsid w:val="773A2CDF"/>
    <w:rsid w:val="787B4E47"/>
    <w:rsid w:val="78EF290F"/>
    <w:rsid w:val="79EFCB93"/>
    <w:rsid w:val="7B1D2D88"/>
    <w:rsid w:val="7B4D01D8"/>
    <w:rsid w:val="7BBE4424"/>
    <w:rsid w:val="7CE1176F"/>
    <w:rsid w:val="7DFB6C40"/>
    <w:rsid w:val="7E8A62A7"/>
    <w:rsid w:val="7EDEDA8C"/>
    <w:rsid w:val="7EE782B8"/>
    <w:rsid w:val="7F1BE675"/>
    <w:rsid w:val="7F7794D2"/>
    <w:rsid w:val="7F791B22"/>
    <w:rsid w:val="7F830290"/>
    <w:rsid w:val="7FB72751"/>
    <w:rsid w:val="7FBE09FF"/>
    <w:rsid w:val="7FC06324"/>
    <w:rsid w:val="7FDD7A24"/>
    <w:rsid w:val="7FE4AF14"/>
    <w:rsid w:val="94FDBBE8"/>
    <w:rsid w:val="D62B9F93"/>
    <w:rsid w:val="DAFE3163"/>
    <w:rsid w:val="E66F5834"/>
    <w:rsid w:val="F7F3DB23"/>
    <w:rsid w:val="FB7363AC"/>
    <w:rsid w:val="FDC2730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next w:val="2"/>
    <w:qFormat/>
    <w:uiPriority w:val="0"/>
    <w:pPr>
      <w:spacing w:after="200" w:line="276" w:lineRule="auto"/>
    </w:pPr>
    <w:rPr>
      <w:rFonts w:ascii="Times New Roman" w:hAnsi="Times New Roman" w:eastAsia="宋体" w:cstheme="minorBidi"/>
      <w:sz w:val="22"/>
      <w:szCs w:val="22"/>
      <w:lang w:val="en-US" w:eastAsia="en-US" w:bidi="ar-SA"/>
    </w:rPr>
  </w:style>
  <w:style w:type="paragraph" w:styleId="5">
    <w:name w:val="heading 1"/>
    <w:basedOn w:val="1"/>
    <w:next w:val="1"/>
    <w:link w:val="141"/>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6">
    <w:name w:val="heading 2"/>
    <w:basedOn w:val="1"/>
    <w:next w:val="1"/>
    <w:link w:val="142"/>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7">
    <w:name w:val="heading 3"/>
    <w:basedOn w:val="1"/>
    <w:next w:val="1"/>
    <w:link w:val="143"/>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8">
    <w:name w:val="heading 4"/>
    <w:basedOn w:val="1"/>
    <w:next w:val="1"/>
    <w:link w:val="153"/>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9">
    <w:name w:val="heading 5"/>
    <w:basedOn w:val="1"/>
    <w:next w:val="1"/>
    <w:link w:val="154"/>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10">
    <w:name w:val="heading 6"/>
    <w:basedOn w:val="1"/>
    <w:next w:val="1"/>
    <w:link w:val="155"/>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11">
    <w:name w:val="heading 7"/>
    <w:basedOn w:val="1"/>
    <w:next w:val="1"/>
    <w:link w:val="156"/>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2">
    <w:name w:val="heading 8"/>
    <w:basedOn w:val="1"/>
    <w:next w:val="1"/>
    <w:link w:val="157"/>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3">
    <w:name w:val="heading 9"/>
    <w:basedOn w:val="1"/>
    <w:next w:val="1"/>
    <w:link w:val="158"/>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5">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spacing w:line="360" w:lineRule="auto"/>
      <w:ind w:firstLine="200" w:firstLineChars="200"/>
    </w:pPr>
  </w:style>
  <w:style w:type="paragraph" w:styleId="3">
    <w:name w:val="Body Text Indent"/>
    <w:basedOn w:val="1"/>
    <w:unhideWhenUsed/>
    <w:qFormat/>
    <w:uiPriority w:val="99"/>
    <w:pPr>
      <w:spacing w:after="120"/>
      <w:ind w:left="420" w:leftChars="200"/>
    </w:pPr>
  </w:style>
  <w:style w:type="paragraph" w:styleId="4">
    <w:name w:val="macro"/>
    <w:link w:val="150"/>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4">
    <w:name w:val="List 3"/>
    <w:basedOn w:val="1"/>
    <w:unhideWhenUsed/>
    <w:qFormat/>
    <w:uiPriority w:val="99"/>
    <w:pPr>
      <w:ind w:left="1080" w:hanging="360"/>
      <w:contextualSpacing/>
    </w:pPr>
  </w:style>
  <w:style w:type="paragraph" w:styleId="15">
    <w:name w:val="List Number 2"/>
    <w:basedOn w:val="1"/>
    <w:unhideWhenUsed/>
    <w:qFormat/>
    <w:uiPriority w:val="99"/>
    <w:pPr>
      <w:numPr>
        <w:ilvl w:val="0"/>
        <w:numId w:val="1"/>
      </w:numPr>
      <w:contextualSpacing/>
    </w:pPr>
  </w:style>
  <w:style w:type="paragraph" w:styleId="16">
    <w:name w:val="List Number"/>
    <w:basedOn w:val="1"/>
    <w:unhideWhenUsed/>
    <w:qFormat/>
    <w:uiPriority w:val="99"/>
    <w:pPr>
      <w:numPr>
        <w:ilvl w:val="0"/>
        <w:numId w:val="2"/>
      </w:numPr>
      <w:contextualSpacing/>
    </w:pPr>
  </w:style>
  <w:style w:type="paragraph" w:styleId="1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8">
    <w:name w:val="List Bullet"/>
    <w:basedOn w:val="1"/>
    <w:unhideWhenUsed/>
    <w:qFormat/>
    <w:uiPriority w:val="99"/>
    <w:pPr>
      <w:numPr>
        <w:ilvl w:val="0"/>
        <w:numId w:val="3"/>
      </w:numPr>
      <w:contextualSpacing/>
    </w:pPr>
  </w:style>
  <w:style w:type="paragraph" w:styleId="19">
    <w:name w:val="annotation text"/>
    <w:basedOn w:val="1"/>
    <w:semiHidden/>
    <w:unhideWhenUsed/>
    <w:qFormat/>
    <w:uiPriority w:val="99"/>
    <w:pPr>
      <w:jc w:val="left"/>
    </w:pPr>
  </w:style>
  <w:style w:type="paragraph" w:styleId="20">
    <w:name w:val="Body Text 3"/>
    <w:basedOn w:val="1"/>
    <w:link w:val="149"/>
    <w:unhideWhenUsed/>
    <w:qFormat/>
    <w:uiPriority w:val="99"/>
    <w:pPr>
      <w:spacing w:after="120"/>
    </w:pPr>
    <w:rPr>
      <w:sz w:val="16"/>
      <w:szCs w:val="16"/>
    </w:rPr>
  </w:style>
  <w:style w:type="paragraph" w:styleId="21">
    <w:name w:val="List Bullet 3"/>
    <w:basedOn w:val="1"/>
    <w:unhideWhenUsed/>
    <w:qFormat/>
    <w:uiPriority w:val="99"/>
    <w:pPr>
      <w:numPr>
        <w:ilvl w:val="0"/>
        <w:numId w:val="4"/>
      </w:numPr>
      <w:contextualSpacing/>
    </w:pPr>
  </w:style>
  <w:style w:type="paragraph" w:styleId="22">
    <w:name w:val="Body Text"/>
    <w:basedOn w:val="1"/>
    <w:next w:val="23"/>
    <w:link w:val="147"/>
    <w:unhideWhenUsed/>
    <w:qFormat/>
    <w:uiPriority w:val="99"/>
    <w:pPr>
      <w:spacing w:after="120"/>
    </w:pPr>
  </w:style>
  <w:style w:type="paragraph" w:styleId="23">
    <w:name w:val="Body Text 2"/>
    <w:basedOn w:val="1"/>
    <w:link w:val="148"/>
    <w:unhideWhenUsed/>
    <w:qFormat/>
    <w:uiPriority w:val="99"/>
    <w:pPr>
      <w:spacing w:after="120" w:line="480" w:lineRule="auto"/>
    </w:pPr>
  </w:style>
  <w:style w:type="paragraph" w:styleId="24">
    <w:name w:val="List Number 3"/>
    <w:basedOn w:val="1"/>
    <w:unhideWhenUsed/>
    <w:qFormat/>
    <w:uiPriority w:val="99"/>
    <w:pPr>
      <w:numPr>
        <w:ilvl w:val="0"/>
        <w:numId w:val="5"/>
      </w:numPr>
      <w:contextualSpacing/>
    </w:pPr>
  </w:style>
  <w:style w:type="paragraph" w:styleId="25">
    <w:name w:val="List 2"/>
    <w:basedOn w:val="1"/>
    <w:unhideWhenUsed/>
    <w:qFormat/>
    <w:uiPriority w:val="99"/>
    <w:pPr>
      <w:ind w:left="720" w:hanging="360"/>
      <w:contextualSpacing/>
    </w:pPr>
  </w:style>
  <w:style w:type="paragraph" w:styleId="26">
    <w:name w:val="List Continue"/>
    <w:basedOn w:val="1"/>
    <w:unhideWhenUsed/>
    <w:qFormat/>
    <w:uiPriority w:val="99"/>
    <w:pPr>
      <w:spacing w:after="120"/>
      <w:ind w:left="360"/>
      <w:contextualSpacing/>
    </w:pPr>
  </w:style>
  <w:style w:type="paragraph" w:styleId="27">
    <w:name w:val="List Bullet 2"/>
    <w:basedOn w:val="1"/>
    <w:unhideWhenUsed/>
    <w:qFormat/>
    <w:uiPriority w:val="99"/>
    <w:pPr>
      <w:numPr>
        <w:ilvl w:val="0"/>
        <w:numId w:val="6"/>
      </w:numPr>
      <w:contextualSpacing/>
    </w:pPr>
  </w:style>
  <w:style w:type="paragraph" w:styleId="28">
    <w:name w:val="footer"/>
    <w:basedOn w:val="1"/>
    <w:link w:val="139"/>
    <w:unhideWhenUsed/>
    <w:qFormat/>
    <w:uiPriority w:val="99"/>
    <w:pPr>
      <w:tabs>
        <w:tab w:val="center" w:pos="4680"/>
        <w:tab w:val="right" w:pos="9360"/>
      </w:tabs>
      <w:spacing w:after="0" w:line="240" w:lineRule="auto"/>
    </w:pPr>
  </w:style>
  <w:style w:type="paragraph" w:styleId="29">
    <w:name w:val="header"/>
    <w:basedOn w:val="1"/>
    <w:link w:val="138"/>
    <w:unhideWhenUsed/>
    <w:qFormat/>
    <w:uiPriority w:val="99"/>
    <w:pPr>
      <w:tabs>
        <w:tab w:val="center" w:pos="4680"/>
        <w:tab w:val="right" w:pos="9360"/>
      </w:tabs>
      <w:spacing w:after="0" w:line="240" w:lineRule="auto"/>
    </w:pPr>
  </w:style>
  <w:style w:type="paragraph" w:styleId="30">
    <w:name w:val="Subtitle"/>
    <w:basedOn w:val="1"/>
    <w:next w:val="1"/>
    <w:link w:val="145"/>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31">
    <w:name w:val="List"/>
    <w:basedOn w:val="1"/>
    <w:unhideWhenUsed/>
    <w:qFormat/>
    <w:uiPriority w:val="99"/>
    <w:pPr>
      <w:ind w:left="360" w:hanging="360"/>
      <w:contextualSpacing/>
    </w:pPr>
  </w:style>
  <w:style w:type="paragraph" w:styleId="32">
    <w:name w:val="List Continue 2"/>
    <w:basedOn w:val="1"/>
    <w:unhideWhenUsed/>
    <w:qFormat/>
    <w:uiPriority w:val="99"/>
    <w:pPr>
      <w:spacing w:after="120"/>
      <w:ind w:left="720"/>
      <w:contextualSpacing/>
    </w:pPr>
  </w:style>
  <w:style w:type="paragraph" w:styleId="33">
    <w:name w:val="List Continue 3"/>
    <w:basedOn w:val="1"/>
    <w:unhideWhenUsed/>
    <w:qFormat/>
    <w:uiPriority w:val="99"/>
    <w:pPr>
      <w:spacing w:after="120"/>
      <w:ind w:left="1080"/>
      <w:contextualSpacing/>
    </w:pPr>
  </w:style>
  <w:style w:type="paragraph" w:styleId="34">
    <w:name w:val="Title"/>
    <w:basedOn w:val="1"/>
    <w:next w:val="1"/>
    <w:link w:val="144"/>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6">
    <w:name w:val="Table Grid"/>
    <w:basedOn w:val="35"/>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7">
    <w:name w:val="Light Shading"/>
    <w:basedOn w:val="35"/>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8">
    <w:name w:val="Light Shading Accent 1"/>
    <w:basedOn w:val="35"/>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9">
    <w:name w:val="Light Shading Accent 2"/>
    <w:basedOn w:val="35"/>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40">
    <w:name w:val="Light Shading Accent 3"/>
    <w:basedOn w:val="35"/>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1">
    <w:name w:val="Light Shading Accent 4"/>
    <w:basedOn w:val="35"/>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2">
    <w:name w:val="Light Shading Accent 5"/>
    <w:basedOn w:val="35"/>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3">
    <w:name w:val="Light Shading Accent 6"/>
    <w:basedOn w:val="35"/>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4">
    <w:name w:val="Light List"/>
    <w:basedOn w:val="35"/>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5">
    <w:name w:val="Light List Accent 1"/>
    <w:basedOn w:val="35"/>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6">
    <w:name w:val="Light List Accent 2"/>
    <w:basedOn w:val="35"/>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7">
    <w:name w:val="Light List Accent 3"/>
    <w:basedOn w:val="35"/>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8">
    <w:name w:val="Light List Accent 4"/>
    <w:basedOn w:val="35"/>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9">
    <w:name w:val="Light List Accent 5"/>
    <w:basedOn w:val="35"/>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50">
    <w:name w:val="Light List Accent 6"/>
    <w:basedOn w:val="35"/>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1">
    <w:name w:val="Light Grid"/>
    <w:basedOn w:val="35"/>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2">
    <w:name w:val="Light Grid Accent 1"/>
    <w:basedOn w:val="35"/>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3">
    <w:name w:val="Light Grid Accent 2"/>
    <w:basedOn w:val="35"/>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4">
    <w:name w:val="Light Grid Accent 3"/>
    <w:basedOn w:val="35"/>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5">
    <w:name w:val="Light Grid Accent 4"/>
    <w:basedOn w:val="35"/>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6">
    <w:name w:val="Light Grid Accent 5"/>
    <w:basedOn w:val="35"/>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7">
    <w:name w:val="Light Grid Accent 6"/>
    <w:basedOn w:val="35"/>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8">
    <w:name w:val="Medium Shading 1"/>
    <w:basedOn w:val="35"/>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9">
    <w:name w:val="Medium Shading 1 Accent 1"/>
    <w:basedOn w:val="35"/>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60">
    <w:name w:val="Medium Shading 1 Accent 2"/>
    <w:basedOn w:val="35"/>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61">
    <w:name w:val="Medium Shading 1 Accent 3"/>
    <w:basedOn w:val="35"/>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2">
    <w:name w:val="Medium Shading 1 Accent 4"/>
    <w:basedOn w:val="35"/>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3">
    <w:name w:val="Medium Shading 1 Accent 5"/>
    <w:basedOn w:val="35"/>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4">
    <w:name w:val="Medium Shading 1 Accent 6"/>
    <w:basedOn w:val="35"/>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5">
    <w:name w:val="Medium Shading 2"/>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1"/>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2"/>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3"/>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4"/>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Shading 2 Accent 5"/>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1">
    <w:name w:val="Medium Shading 2 Accent 6"/>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2">
    <w:name w:val="Medium List 1"/>
    <w:basedOn w:val="35"/>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3">
    <w:name w:val="Medium List 1 Accent 1"/>
    <w:basedOn w:val="35"/>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4">
    <w:name w:val="Medium List 1 Accent 2"/>
    <w:basedOn w:val="35"/>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5">
    <w:name w:val="Medium List 1 Accent 3"/>
    <w:basedOn w:val="35"/>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6">
    <w:name w:val="Medium List 1 Accent 4"/>
    <w:basedOn w:val="35"/>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7">
    <w:name w:val="Medium List 1 Accent 5"/>
    <w:basedOn w:val="35"/>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8">
    <w:name w:val="Medium List 1 Accent 6"/>
    <w:basedOn w:val="35"/>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9">
    <w:name w:val="Medium List 2"/>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1"/>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2"/>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3"/>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4"/>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List 2 Accent 5"/>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5">
    <w:name w:val="Medium List 2 Accent 6"/>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6">
    <w:name w:val="Medium Grid 1"/>
    <w:basedOn w:val="35"/>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7">
    <w:name w:val="Medium Grid 1 Accent 1"/>
    <w:basedOn w:val="35"/>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8">
    <w:name w:val="Medium Grid 1 Accent 2"/>
    <w:basedOn w:val="35"/>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9">
    <w:name w:val="Medium Grid 1 Accent 3"/>
    <w:basedOn w:val="35"/>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90">
    <w:name w:val="Medium Grid 1 Accent 4"/>
    <w:basedOn w:val="35"/>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1">
    <w:name w:val="Medium Grid 1 Accent 5"/>
    <w:basedOn w:val="35"/>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2">
    <w:name w:val="Medium Grid 1 Accent 6"/>
    <w:basedOn w:val="35"/>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3">
    <w:name w:val="Medium Grid 2"/>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4">
    <w:name w:val="Medium Grid 2 Accent 1"/>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5">
    <w:name w:val="Medium Grid 2 Accent 2"/>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6">
    <w:name w:val="Medium Grid 2 Accent 3"/>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7">
    <w:name w:val="Medium Grid 2 Accent 4"/>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8">
    <w:name w:val="Medium Grid 2 Accent 5"/>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9">
    <w:name w:val="Medium Grid 2 Accent 6"/>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1">
    <w:name w:val="Medium Grid 3 Accent 1"/>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2">
    <w:name w:val="Medium Grid 3 Accent 2"/>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3">
    <w:name w:val="Medium Grid 3 Accent 3"/>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4">
    <w:name w:val="Medium Grid 3 Accent 4"/>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5">
    <w:name w:val="Medium Grid 3 Accent 5"/>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6">
    <w:name w:val="Medium Grid 3 Accent 6"/>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7">
    <w:name w:val="Dark List"/>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8">
    <w:name w:val="Dark List Accent 1"/>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9">
    <w:name w:val="Dark List Accent 2"/>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10">
    <w:name w:val="Dark List Accent 3"/>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1">
    <w:name w:val="Dark List Accent 4"/>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2">
    <w:name w:val="Dark List Accent 5"/>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3">
    <w:name w:val="Dark List Accent 6"/>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4">
    <w:name w:val="Colorful Shading"/>
    <w:basedOn w:val="35"/>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1"/>
    <w:basedOn w:val="35"/>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2"/>
    <w:basedOn w:val="35"/>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3"/>
    <w:basedOn w:val="35"/>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8">
    <w:name w:val="Colorful Shading Accent 4"/>
    <w:basedOn w:val="35"/>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Shading Accent 5"/>
    <w:basedOn w:val="35"/>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0">
    <w:name w:val="Colorful Shading Accent 6"/>
    <w:basedOn w:val="35"/>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1">
    <w:name w:val="Colorful List"/>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2">
    <w:name w:val="Colorful List Accent 1"/>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3">
    <w:name w:val="Colorful List Accent 2"/>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4">
    <w:name w:val="Colorful List Accent 3"/>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5">
    <w:name w:val="Colorful List Accent 4"/>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6">
    <w:name w:val="Colorful List Accent 5"/>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7">
    <w:name w:val="Colorful List Accent 6"/>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8">
    <w:name w:val="Colorful Grid"/>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9">
    <w:name w:val="Colorful Grid Accent 1"/>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30">
    <w:name w:val="Colorful Grid Accent 2"/>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Colorful Grid Accent 3"/>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2">
    <w:name w:val="Colorful Grid Accent 4"/>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3">
    <w:name w:val="Colorful Grid Accent 5"/>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4">
    <w:name w:val="Colorful Grid Accent 6"/>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6">
    <w:name w:val="Strong"/>
    <w:basedOn w:val="135"/>
    <w:qFormat/>
    <w:uiPriority w:val="22"/>
    <w:rPr>
      <w:b/>
      <w:bCs/>
    </w:rPr>
  </w:style>
  <w:style w:type="character" w:styleId="137">
    <w:name w:val="Emphasis"/>
    <w:basedOn w:val="135"/>
    <w:qFormat/>
    <w:uiPriority w:val="20"/>
    <w:rPr>
      <w:i/>
      <w:iCs/>
    </w:rPr>
  </w:style>
  <w:style w:type="character" w:customStyle="1" w:styleId="138">
    <w:name w:val="Header Char"/>
    <w:basedOn w:val="135"/>
    <w:link w:val="29"/>
    <w:qFormat/>
    <w:uiPriority w:val="99"/>
  </w:style>
  <w:style w:type="character" w:customStyle="1" w:styleId="139">
    <w:name w:val="Footer Char"/>
    <w:basedOn w:val="135"/>
    <w:link w:val="28"/>
    <w:qFormat/>
    <w:uiPriority w:val="99"/>
  </w:style>
  <w:style w:type="paragraph" w:styleId="140">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41">
    <w:name w:val="Heading 1 Char"/>
    <w:basedOn w:val="135"/>
    <w:link w:val="5"/>
    <w:qFormat/>
    <w:uiPriority w:val="9"/>
    <w:rPr>
      <w:rFonts w:asciiTheme="majorHAnsi" w:hAnsiTheme="majorHAnsi" w:eastAsiaTheme="majorEastAsia" w:cstheme="majorBidi"/>
      <w:b/>
      <w:bCs/>
      <w:color w:val="376092" w:themeColor="accent1" w:themeShade="BF"/>
      <w:sz w:val="28"/>
      <w:szCs w:val="28"/>
    </w:rPr>
  </w:style>
  <w:style w:type="character" w:customStyle="1" w:styleId="142">
    <w:name w:val="Heading 2 Char"/>
    <w:basedOn w:val="135"/>
    <w:link w:val="6"/>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3">
    <w:name w:val="Heading 3 Char"/>
    <w:basedOn w:val="135"/>
    <w:link w:val="7"/>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4">
    <w:name w:val="Title Char"/>
    <w:basedOn w:val="135"/>
    <w:link w:val="34"/>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5">
    <w:name w:val="Subtitle Char"/>
    <w:basedOn w:val="135"/>
    <w:link w:val="30"/>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6">
    <w:name w:val="List Paragraph"/>
    <w:basedOn w:val="1"/>
    <w:qFormat/>
    <w:uiPriority w:val="34"/>
    <w:pPr>
      <w:ind w:left="720"/>
      <w:contextualSpacing/>
    </w:pPr>
  </w:style>
  <w:style w:type="character" w:customStyle="1" w:styleId="147">
    <w:name w:val="Body Text Char"/>
    <w:basedOn w:val="135"/>
    <w:link w:val="22"/>
    <w:qFormat/>
    <w:uiPriority w:val="99"/>
  </w:style>
  <w:style w:type="character" w:customStyle="1" w:styleId="148">
    <w:name w:val="Body Text 2 Char"/>
    <w:basedOn w:val="135"/>
    <w:link w:val="23"/>
    <w:qFormat/>
    <w:uiPriority w:val="99"/>
  </w:style>
  <w:style w:type="character" w:customStyle="1" w:styleId="149">
    <w:name w:val="Body Text 3 Char"/>
    <w:basedOn w:val="135"/>
    <w:link w:val="20"/>
    <w:qFormat/>
    <w:uiPriority w:val="99"/>
    <w:rPr>
      <w:sz w:val="16"/>
      <w:szCs w:val="16"/>
    </w:rPr>
  </w:style>
  <w:style w:type="character" w:customStyle="1" w:styleId="150">
    <w:name w:val="Macro Text Char"/>
    <w:basedOn w:val="135"/>
    <w:link w:val="4"/>
    <w:qFormat/>
    <w:uiPriority w:val="99"/>
    <w:rPr>
      <w:rFonts w:ascii="Courier" w:hAnsi="Courier"/>
      <w:sz w:val="20"/>
      <w:szCs w:val="20"/>
    </w:rPr>
  </w:style>
  <w:style w:type="paragraph" w:styleId="151">
    <w:name w:val="Quote"/>
    <w:basedOn w:val="1"/>
    <w:next w:val="1"/>
    <w:link w:val="152"/>
    <w:qFormat/>
    <w:uiPriority w:val="29"/>
    <w:rPr>
      <w:i/>
      <w:iCs/>
      <w:color w:val="000000" w:themeColor="text1"/>
      <w14:textFill>
        <w14:solidFill>
          <w14:schemeClr w14:val="tx1"/>
        </w14:solidFill>
      </w14:textFill>
    </w:rPr>
  </w:style>
  <w:style w:type="character" w:customStyle="1" w:styleId="152">
    <w:name w:val="Quote Char"/>
    <w:basedOn w:val="135"/>
    <w:link w:val="151"/>
    <w:qFormat/>
    <w:uiPriority w:val="29"/>
    <w:rPr>
      <w:i/>
      <w:iCs/>
      <w:color w:val="000000" w:themeColor="text1"/>
      <w14:textFill>
        <w14:solidFill>
          <w14:schemeClr w14:val="tx1"/>
        </w14:solidFill>
      </w14:textFill>
    </w:rPr>
  </w:style>
  <w:style w:type="character" w:customStyle="1" w:styleId="153">
    <w:name w:val="Heading 4 Char"/>
    <w:basedOn w:val="135"/>
    <w:link w:val="8"/>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4">
    <w:name w:val="Heading 5 Char"/>
    <w:basedOn w:val="135"/>
    <w:link w:val="9"/>
    <w:semiHidden/>
    <w:qFormat/>
    <w:uiPriority w:val="9"/>
    <w:rPr>
      <w:rFonts w:asciiTheme="majorHAnsi" w:hAnsiTheme="majorHAnsi" w:eastAsiaTheme="majorEastAsia" w:cstheme="majorBidi"/>
      <w:color w:val="254061" w:themeColor="accent1" w:themeShade="80"/>
    </w:rPr>
  </w:style>
  <w:style w:type="character" w:customStyle="1" w:styleId="155">
    <w:name w:val="Heading 6 Char"/>
    <w:basedOn w:val="135"/>
    <w:link w:val="10"/>
    <w:semiHidden/>
    <w:qFormat/>
    <w:uiPriority w:val="9"/>
    <w:rPr>
      <w:rFonts w:asciiTheme="majorHAnsi" w:hAnsiTheme="majorHAnsi" w:eastAsiaTheme="majorEastAsia" w:cstheme="majorBidi"/>
      <w:i/>
      <w:iCs/>
      <w:color w:val="254061" w:themeColor="accent1" w:themeShade="80"/>
    </w:rPr>
  </w:style>
  <w:style w:type="character" w:customStyle="1" w:styleId="156">
    <w:name w:val="Heading 7 Char"/>
    <w:basedOn w:val="135"/>
    <w:link w:val="11"/>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7">
    <w:name w:val="Heading 8 Char"/>
    <w:basedOn w:val="135"/>
    <w:link w:val="12"/>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8">
    <w:name w:val="Heading 9 Char"/>
    <w:basedOn w:val="135"/>
    <w:link w:val="13"/>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9">
    <w:name w:val="Intense Quote"/>
    <w:basedOn w:val="1"/>
    <w:next w:val="1"/>
    <w:link w:val="160"/>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60">
    <w:name w:val="Intense Quote Char"/>
    <w:basedOn w:val="135"/>
    <w:link w:val="159"/>
    <w:qFormat/>
    <w:uiPriority w:val="30"/>
    <w:rPr>
      <w:b/>
      <w:bCs/>
      <w:i/>
      <w:iCs/>
      <w:color w:val="4F81BD" w:themeColor="accent1"/>
      <w14:textFill>
        <w14:solidFill>
          <w14:schemeClr w14:val="accent1"/>
        </w14:solidFill>
      </w14:textFill>
    </w:rPr>
  </w:style>
  <w:style w:type="character" w:customStyle="1" w:styleId="161">
    <w:name w:val="Subtle Emphasis"/>
    <w:basedOn w:val="135"/>
    <w:qFormat/>
    <w:uiPriority w:val="19"/>
    <w:rPr>
      <w:i/>
      <w:iCs/>
      <w:color w:val="808080" w:themeColor="text1" w:themeTint="80"/>
      <w14:textFill>
        <w14:solidFill>
          <w14:schemeClr w14:val="tx1">
            <w14:lumMod w14:val="50000"/>
            <w14:lumOff w14:val="50000"/>
          </w14:schemeClr>
        </w14:solidFill>
      </w14:textFill>
    </w:rPr>
  </w:style>
  <w:style w:type="character" w:customStyle="1" w:styleId="162">
    <w:name w:val="Intense Emphasis"/>
    <w:basedOn w:val="135"/>
    <w:qFormat/>
    <w:uiPriority w:val="21"/>
    <w:rPr>
      <w:b/>
      <w:bCs/>
      <w:i/>
      <w:iCs/>
      <w:color w:val="4F81BD" w:themeColor="accent1"/>
      <w14:textFill>
        <w14:solidFill>
          <w14:schemeClr w14:val="accent1"/>
        </w14:solidFill>
      </w14:textFill>
    </w:rPr>
  </w:style>
  <w:style w:type="character" w:customStyle="1" w:styleId="163">
    <w:name w:val="Subtle Reference"/>
    <w:basedOn w:val="135"/>
    <w:qFormat/>
    <w:uiPriority w:val="31"/>
    <w:rPr>
      <w:smallCaps/>
      <w:color w:val="C0504D" w:themeColor="accent2"/>
      <w:u w:val="single"/>
      <w14:textFill>
        <w14:solidFill>
          <w14:schemeClr w14:val="accent2"/>
        </w14:solidFill>
      </w14:textFill>
    </w:rPr>
  </w:style>
  <w:style w:type="character" w:customStyle="1" w:styleId="164">
    <w:name w:val="Intense Reference"/>
    <w:basedOn w:val="135"/>
    <w:qFormat/>
    <w:uiPriority w:val="32"/>
    <w:rPr>
      <w:b/>
      <w:bCs/>
      <w:smallCaps/>
      <w:color w:val="C0504D" w:themeColor="accent2"/>
      <w:spacing w:val="5"/>
      <w:u w:val="single"/>
      <w14:textFill>
        <w14:solidFill>
          <w14:schemeClr w14:val="accent2"/>
        </w14:solidFill>
      </w14:textFill>
    </w:rPr>
  </w:style>
  <w:style w:type="character" w:customStyle="1" w:styleId="165">
    <w:name w:val="Book Title"/>
    <w:basedOn w:val="135"/>
    <w:qFormat/>
    <w:uiPriority w:val="33"/>
    <w:rPr>
      <w:b/>
      <w:bCs/>
      <w:smallCaps/>
      <w:spacing w:val="5"/>
    </w:rPr>
  </w:style>
  <w:style w:type="paragraph" w:customStyle="1" w:styleId="166">
    <w:name w:val="TOC Heading"/>
    <w:basedOn w:val="5"/>
    <w:next w:val="1"/>
    <w:semiHidden/>
    <w:unhideWhenUsed/>
    <w:qFormat/>
    <w:uiPriority w:val="39"/>
    <w:pPr>
      <w:outlineLvl w:val="9"/>
    </w:pPr>
  </w:style>
  <w:style w:type="paragraph" w:customStyle="1" w:styleId="167">
    <w:name w:val="体育场正文"/>
    <w:basedOn w:val="1"/>
    <w:qFormat/>
    <w:uiPriority w:val="0"/>
    <w:pPr>
      <w:adjustRightInd w:val="0"/>
      <w:snapToGrid w:val="0"/>
      <w:spacing w:after="156" w:afterLines="50"/>
      <w:ind w:firstLine="480" w:firstLineChars="200"/>
    </w:pPr>
    <w:rPr>
      <w:rFonts w:ascii="宋体" w:hAnsi="宋体"/>
      <w:sz w:val="24"/>
    </w:rPr>
  </w:style>
  <w:style w:type="paragraph" w:customStyle="1" w:styleId="168">
    <w:name w:val="体育场表格框图"/>
    <w:basedOn w:val="1"/>
    <w:qFormat/>
    <w:uiPriority w:val="0"/>
    <w:pPr>
      <w:adjustRightInd w:val="0"/>
      <w:snapToGrid w:val="0"/>
      <w:jc w:val="center"/>
    </w:pPr>
    <w:rPr>
      <w:rFonts w:ascii="宋体" w:hAnsi="宋体" w:eastAsia="宋体"/>
      <w:sz w:val="24"/>
      <w:szCs w:val="24"/>
      <w:lang w:val="en-US" w:eastAsia="zh-CN" w:bidi="ar-SA"/>
    </w:rPr>
  </w:style>
  <w:style w:type="paragraph" w:customStyle="1" w:styleId="169">
    <w:name w:val="王越的表头"/>
    <w:basedOn w:val="170"/>
    <w:qFormat/>
    <w:uiPriority w:val="0"/>
    <w:pPr>
      <w:spacing w:line="240" w:lineRule="auto"/>
      <w:ind w:firstLine="0" w:firstLineChars="0"/>
      <w:jc w:val="center"/>
    </w:pPr>
    <w:rPr>
      <w:b/>
    </w:rPr>
  </w:style>
  <w:style w:type="paragraph" w:customStyle="1" w:styleId="170">
    <w:name w:val="王越的正文"/>
    <w:basedOn w:val="1"/>
    <w:qFormat/>
    <w:uiPriority w:val="0"/>
    <w:pPr>
      <w:ind w:firstLine="480"/>
      <w:jc w:val="left"/>
    </w:pPr>
    <w:rPr>
      <w:rFonts w:ascii="宋体" w:hAnsi="宋体"/>
    </w:rPr>
  </w:style>
  <w:style w:type="paragraph" w:customStyle="1" w:styleId="171">
    <w:name w:val="王越的表格"/>
    <w:basedOn w:val="170"/>
    <w:qFormat/>
    <w:uiPriority w:val="0"/>
    <w:pPr>
      <w:spacing w:line="240" w:lineRule="auto"/>
      <w:ind w:firstLine="0" w:firstLineChars="0"/>
    </w:pPr>
  </w:style>
  <w:style w:type="paragraph" w:customStyle="1" w:styleId="172">
    <w:name w:val="正文-（1）"/>
    <w:qFormat/>
    <w:uiPriority w:val="0"/>
    <w:pPr>
      <w:widowControl w:val="0"/>
      <w:numPr>
        <w:ilvl w:val="0"/>
        <w:numId w:val="7"/>
      </w:numPr>
      <w:spacing w:line="360" w:lineRule="auto"/>
      <w:ind w:left="0" w:firstLine="200" w:firstLineChars="200"/>
      <w:jc w:val="both"/>
    </w:pPr>
    <w:rPr>
      <w:rFonts w:ascii="Times New Roman" w:hAnsi="Times New Roman" w:eastAsia="宋体" w:cs="Times New Roman"/>
      <w:kern w:val="2"/>
      <w:sz w:val="24"/>
      <w:szCs w:val="22"/>
      <w:lang w:val="en-US" w:eastAsia="zh-CN" w:bidi="ar-SA"/>
    </w:rPr>
  </w:style>
  <w:style w:type="paragraph" w:customStyle="1" w:styleId="173">
    <w:name w:val="首行缩进"/>
    <w:basedOn w:val="1"/>
    <w:qFormat/>
    <w:uiPriority w:val="0"/>
    <w:pPr>
      <w:spacing w:line="360" w:lineRule="auto"/>
      <w:ind w:firstLine="480" w:firstLineChars="200"/>
    </w:pPr>
    <w:rPr>
      <w:rFonts w:ascii="Calibri" w:hAnsi="Calibri"/>
      <w:sz w:val="24"/>
      <w:szCs w:val="22"/>
      <w:lang w:val="zh-CN"/>
    </w:rPr>
  </w:style>
  <w:style w:type="paragraph" w:customStyle="1" w:styleId="174">
    <w:name w:val="列出段落11"/>
    <w:basedOn w:val="1"/>
    <w:qFormat/>
    <w:uiPriority w:val="99"/>
    <w:pPr>
      <w:widowControl/>
      <w:adjustRightInd/>
      <w:spacing w:before="40" w:after="160" w:line="240" w:lineRule="auto"/>
      <w:ind w:firstLine="420" w:firstLineChars="200"/>
      <w:textAlignment w:val="auto"/>
    </w:pPr>
    <w:rPr>
      <w:rFonts w:ascii="Cambria" w:hAnsi="Cambria" w:eastAsia="微软雅黑" w:cs="Cambria"/>
      <w:color w:val="565656"/>
      <w:kern w:val="20"/>
      <w:sz w:val="21"/>
      <w:szCs w:val="21"/>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3</Pages>
  <Words>1064</Words>
  <Characters>1175</Characters>
  <Lines>0</Lines>
  <Paragraphs>0</Paragraphs>
  <TotalTime>10</TotalTime>
  <ScaleCrop>false</ScaleCrop>
  <LinksUpToDate>false</LinksUpToDate>
  <CharactersWithSpaces>1197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2013-12-24T07:15:00Z</dcterms:created>
  <dc:creator>Administrator</dc:creator>
  <cp:lastModifiedBy>user</cp:lastModifiedBy>
  <cp:lastPrinted>2025-12-31T00:47:00Z</cp:lastPrinted>
  <dcterms:modified xsi:type="dcterms:W3CDTF">2026-04-15T08:10:59Z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C8E7686C0E4A4896A5772F4D1E254623_13</vt:lpwstr>
  </property>
  <property fmtid="{D5CDD505-2E9C-101B-9397-08002B2CF9AE}" pid="4" name="KSOTemplateDocerSaveRecord">
    <vt:lpwstr>eyJoZGlkIjoiYmIzYjUxZTQ2M2ZiMzcyZWMwODZjMThkZjM2YWIzNzMiLCJ1c2VySWQiOiI0NTA4MjA5MTkifQ==</vt:lpwstr>
  </property>
</Properties>
</file>