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1921" w:firstLineChars="600"/>
        <w:rPr>
          <w:rFonts w:hint="eastAsia" w:ascii="微软雅黑" w:hAnsi="微软雅黑" w:eastAsia="微软雅黑" w:cs="微软雅黑"/>
          <w:b/>
          <w:bCs/>
          <w:i w:val="0"/>
          <w:iCs w:val="0"/>
          <w:caps w:val="0"/>
          <w:color w:val="auto"/>
          <w:spacing w:val="0"/>
          <w:sz w:val="32"/>
          <w:szCs w:val="32"/>
          <w:shd w:val="clear" w:fill="FFFFFF"/>
          <w:lang w:val="en-US" w:eastAsia="zh-CN"/>
        </w:rPr>
      </w:pPr>
      <w:r>
        <w:rPr>
          <w:rFonts w:hint="eastAsia" w:ascii="微软雅黑" w:hAnsi="微软雅黑" w:eastAsia="微软雅黑" w:cs="微软雅黑"/>
          <w:b/>
          <w:bCs/>
          <w:i w:val="0"/>
          <w:iCs w:val="0"/>
          <w:caps w:val="0"/>
          <w:color w:val="auto"/>
          <w:spacing w:val="0"/>
          <w:sz w:val="32"/>
          <w:szCs w:val="32"/>
          <w:shd w:val="clear" w:fill="FFFFFF"/>
        </w:rPr>
        <w:t>二期智慧诊间显示大屏</w:t>
      </w:r>
      <w:r>
        <w:rPr>
          <w:rFonts w:hint="eastAsia" w:ascii="微软雅黑" w:hAnsi="微软雅黑" w:eastAsia="微软雅黑" w:cs="微软雅黑"/>
          <w:b/>
          <w:bCs/>
          <w:i w:val="0"/>
          <w:iCs w:val="0"/>
          <w:caps w:val="0"/>
          <w:color w:val="auto"/>
          <w:spacing w:val="0"/>
          <w:sz w:val="32"/>
          <w:szCs w:val="32"/>
          <w:shd w:val="clear" w:fill="FFFFFF"/>
          <w:lang w:eastAsia="zh-CN"/>
        </w:rPr>
        <w:t>遴选文件</w:t>
      </w:r>
    </w:p>
    <w:p>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i w:val="0"/>
          <w:iCs w:val="0"/>
          <w:caps w:val="0"/>
          <w:color w:val="auto"/>
          <w:spacing w:val="0"/>
          <w:sz w:val="24"/>
          <w:szCs w:val="24"/>
          <w:shd w:val="clear" w:fill="FFFFFF"/>
          <w:lang w:eastAsia="zh-CN"/>
        </w:rPr>
        <w:t>一、</w:t>
      </w:r>
      <w:r>
        <w:rPr>
          <w:rFonts w:hint="eastAsia" w:ascii="微软雅黑" w:hAnsi="微软雅黑" w:eastAsia="微软雅黑" w:cs="微软雅黑"/>
          <w:i w:val="0"/>
          <w:iCs w:val="0"/>
          <w:caps w:val="0"/>
          <w:color w:val="auto"/>
          <w:spacing w:val="0"/>
          <w:sz w:val="24"/>
          <w:szCs w:val="24"/>
          <w:shd w:val="clear" w:fill="FFFFFF"/>
        </w:rPr>
        <w:t>项目背景与目标</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1、</w:t>
      </w:r>
      <w:r>
        <w:rPr>
          <w:rFonts w:hint="eastAsia" w:ascii="微软雅黑" w:hAnsi="微软雅黑" w:eastAsia="微软雅黑" w:cs="微软雅黑"/>
          <w:i w:val="0"/>
          <w:iCs w:val="0"/>
          <w:caps w:val="0"/>
          <w:color w:val="auto"/>
          <w:spacing w:val="0"/>
          <w:sz w:val="24"/>
          <w:szCs w:val="24"/>
          <w:shd w:val="clear" w:fill="FFFFFF"/>
        </w:rPr>
        <w:t>为提升肝胆等科室疾病诊疗水平，推动精准医疗与多学科协作（MDT）模式发展，拟建设智慧诊间专业显示大屏系统，作为临床决策的核心信息化支撑，实现高效、精准、智能化诊疗。</w:t>
      </w:r>
      <w:r>
        <w:rPr>
          <w:rFonts w:hint="eastAsia" w:ascii="微软雅黑" w:hAnsi="微软雅黑" w:eastAsia="微软雅黑" w:cs="微软雅黑"/>
          <w:i w:val="0"/>
          <w:iCs w:val="0"/>
          <w:caps w:val="0"/>
          <w:color w:val="auto"/>
          <w:spacing w:val="0"/>
          <w:sz w:val="24"/>
          <w:szCs w:val="24"/>
          <w:shd w:val="clear" w:fill="FFFFFF"/>
          <w:lang w:eastAsia="zh-CN"/>
        </w:rPr>
        <w:t>现需采购</w:t>
      </w:r>
      <w:r>
        <w:rPr>
          <w:rFonts w:hint="eastAsia" w:ascii="微软雅黑" w:hAnsi="微软雅黑" w:eastAsia="微软雅黑" w:cs="微软雅黑"/>
          <w:i w:val="0"/>
          <w:iCs w:val="0"/>
          <w:caps w:val="0"/>
          <w:color w:val="auto"/>
          <w:spacing w:val="0"/>
          <w:sz w:val="24"/>
          <w:szCs w:val="24"/>
          <w:shd w:val="clear" w:fill="FFFFFF"/>
          <w:lang w:val="en-US" w:eastAsia="zh-CN"/>
        </w:rPr>
        <w:t>2台</w:t>
      </w:r>
      <w:r>
        <w:rPr>
          <w:rFonts w:hint="eastAsia" w:ascii="微软雅黑" w:hAnsi="微软雅黑" w:eastAsia="微软雅黑" w:cs="微软雅黑"/>
          <w:i w:val="0"/>
          <w:iCs w:val="0"/>
          <w:caps w:val="0"/>
          <w:color w:val="auto"/>
          <w:spacing w:val="0"/>
          <w:sz w:val="24"/>
          <w:szCs w:val="24"/>
          <w:shd w:val="clear" w:fill="FFFFFF"/>
        </w:rPr>
        <w:t>显示大屏</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shd w:val="clear" w:fill="FFFFFF"/>
          <w:lang w:val="en-US" w:eastAsia="zh-CN"/>
        </w:rPr>
        <w:t>2、</w:t>
      </w:r>
      <w:r>
        <w:rPr>
          <w:rFonts w:hint="eastAsia" w:ascii="微软雅黑" w:hAnsi="微软雅黑" w:eastAsia="微软雅黑" w:cs="微软雅黑"/>
          <w:i w:val="0"/>
          <w:iCs w:val="0"/>
          <w:caps w:val="0"/>
          <w:color w:val="auto"/>
          <w:spacing w:val="0"/>
          <w:sz w:val="24"/>
          <w:szCs w:val="24"/>
          <w:shd w:val="clear" w:fill="FFFFFF"/>
          <w:lang w:eastAsia="zh-CN"/>
        </w:rPr>
        <w:t>预算：</w:t>
      </w:r>
      <w:r>
        <w:rPr>
          <w:rFonts w:hint="eastAsia" w:ascii="微软雅黑" w:hAnsi="微软雅黑" w:eastAsia="微软雅黑" w:cs="微软雅黑"/>
          <w:i w:val="0"/>
          <w:iCs w:val="0"/>
          <w:caps w:val="0"/>
          <w:color w:val="auto"/>
          <w:spacing w:val="0"/>
          <w:sz w:val="24"/>
          <w:szCs w:val="24"/>
          <w:shd w:val="clear" w:fill="FFFFFF"/>
        </w:rPr>
        <w:t>13</w:t>
      </w:r>
      <w:r>
        <w:rPr>
          <w:rFonts w:hint="eastAsia" w:ascii="微软雅黑" w:hAnsi="微软雅黑" w:eastAsia="微软雅黑" w:cs="微软雅黑"/>
          <w:i w:val="0"/>
          <w:iCs w:val="0"/>
          <w:caps w:val="0"/>
          <w:color w:val="auto"/>
          <w:spacing w:val="0"/>
          <w:sz w:val="24"/>
          <w:szCs w:val="24"/>
          <w:shd w:val="clear" w:fill="FFFFFF"/>
          <w:lang w:val="en-US" w:eastAsia="zh-CN"/>
        </w:rPr>
        <w:t>4</w:t>
      </w:r>
      <w:r>
        <w:rPr>
          <w:rFonts w:hint="eastAsia" w:ascii="微软雅黑" w:hAnsi="微软雅黑" w:eastAsia="微软雅黑" w:cs="微软雅黑"/>
          <w:i w:val="0"/>
          <w:iCs w:val="0"/>
          <w:caps w:val="0"/>
          <w:color w:val="auto"/>
          <w:spacing w:val="0"/>
          <w:sz w:val="24"/>
          <w:szCs w:val="24"/>
          <w:shd w:val="clear" w:fill="FFFFFF"/>
        </w:rPr>
        <w:t>000</w:t>
      </w:r>
      <w:r>
        <w:rPr>
          <w:rFonts w:hint="eastAsia" w:ascii="微软雅黑" w:hAnsi="微软雅黑" w:eastAsia="微软雅黑" w:cs="微软雅黑"/>
          <w:i w:val="0"/>
          <w:iCs w:val="0"/>
          <w:caps w:val="0"/>
          <w:color w:val="auto"/>
          <w:spacing w:val="0"/>
          <w:sz w:val="24"/>
          <w:szCs w:val="24"/>
          <w:shd w:val="clear" w:fill="FFFFFF"/>
          <w:lang w:eastAsia="zh-CN"/>
        </w:rPr>
        <w:t>元</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shd w:val="clear" w:fill="FFFFFF"/>
        </w:rPr>
        <w:t>二、采购内容与技术要求</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1、系统功能</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支持多学科可视化会诊，提升疑难病例诊疗效率。整合电子病历、医学影像、检验报告等关键数据，辅助医生快速掌握病情。融合术前三维重建、术中智能导航、病理数字化阅片及AI辅助判读技术，降低诊疗风险。引入人工智能引擎，推动多学科协作决策智能化。</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2、硬件规格</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屏幕要求：86英寸，4K超高清显示（3840×2160），支持多点触控。</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显示质量：工业级LED背光，对比度≥1200:1，灰阶256级。</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lang w:eastAsia="zh-CN"/>
        </w:rPr>
      </w:pP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防护性：表面覆盖AR（抗反射）、AF（抗指纹）、AG（防眩光）复合玻璃，减少环境光干扰。</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shd w:val="clear" w:fill="FFFFFF"/>
        </w:rPr>
        <w:t>可靠性：支持7×24小时连续运行；内置Android/Windows双系统，支持一键切换，兼容本地与远程会诊系统。</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shd w:val="clear" w:fill="FFFFFF"/>
        </w:rPr>
        <w:t>提供系统集成方案，确保与医院现有信息化系统无缝对接，保障数据互通与业务协同</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lang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4、</w:t>
      </w:r>
      <w:r>
        <w:rPr>
          <w:rFonts w:hint="eastAsia" w:ascii="微软雅黑" w:hAnsi="微软雅黑" w:eastAsia="微软雅黑" w:cs="微软雅黑"/>
          <w:i w:val="0"/>
          <w:iCs w:val="0"/>
          <w:caps w:val="0"/>
          <w:color w:val="auto"/>
          <w:spacing w:val="0"/>
          <w:sz w:val="24"/>
          <w:szCs w:val="24"/>
          <w:shd w:val="clear" w:fill="FFFFFF"/>
        </w:rPr>
        <w:t>提供完善的售后服务及技术支持，定期开展系统巡检与性能优化，及时处理故障并保障系统稳定运行</w:t>
      </w:r>
      <w:r>
        <w:rPr>
          <w:rFonts w:hint="eastAsia" w:ascii="微软雅黑" w:hAnsi="微软雅黑" w:eastAsia="微软雅黑" w:cs="微软雅黑"/>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val="en-US" w:eastAsia="zh-CN"/>
        </w:rPr>
        <w:t>5、</w:t>
      </w:r>
      <w:r>
        <w:rPr>
          <w:rFonts w:hint="eastAsia" w:ascii="微软雅黑" w:hAnsi="微软雅黑" w:eastAsia="微软雅黑" w:cs="微软雅黑"/>
          <w:i w:val="0"/>
          <w:iCs w:val="0"/>
          <w:caps w:val="0"/>
          <w:color w:val="auto"/>
          <w:spacing w:val="0"/>
          <w:sz w:val="24"/>
          <w:szCs w:val="24"/>
          <w:shd w:val="clear" w:fill="FFFFFF"/>
        </w:rPr>
        <w:t>提供操作培训，确保使用人员熟练掌握系统功能与操作流程。</w:t>
      </w:r>
    </w:p>
    <w:p>
      <w:pPr>
        <w:spacing w:line="36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三、评审方法</w:t>
      </w:r>
    </w:p>
    <w:p>
      <w:pPr>
        <w:pStyle w:val="9"/>
        <w:tabs>
          <w:tab w:val="left" w:pos="7980"/>
        </w:tabs>
        <w:snapToGrid/>
        <w:spacing w:before="156" w:beforeLines="50" w:line="360" w:lineRule="auto"/>
        <w:ind w:firstLine="0"/>
        <w:rPr>
          <w:rFonts w:hint="eastAsia" w:ascii="微软雅黑" w:hAnsi="微软雅黑" w:eastAsia="微软雅黑" w:cs="微软雅黑"/>
          <w:b w:val="0"/>
          <w:bCs/>
          <w:szCs w:val="24"/>
          <w:lang w:val="en-US" w:eastAsia="zh-CN"/>
        </w:rPr>
      </w:pPr>
      <w:r>
        <w:rPr>
          <w:rFonts w:hint="eastAsia" w:ascii="微软雅黑" w:hAnsi="微软雅黑" w:eastAsia="微软雅黑" w:cs="微软雅黑"/>
          <w:b w:val="0"/>
          <w:bCs/>
          <w:szCs w:val="24"/>
          <w:lang w:val="en-US" w:eastAsia="zh-CN"/>
        </w:rPr>
        <w:t>1、评标方法</w:t>
      </w:r>
    </w:p>
    <w:p>
      <w:pPr>
        <w:autoSpaceDE w:val="0"/>
        <w:autoSpaceDN w:val="0"/>
        <w:adjustRightInd w:val="0"/>
        <w:spacing w:before="50" w:line="360" w:lineRule="auto"/>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2"/>
        </w:numPr>
        <w:autoSpaceDE w:val="0"/>
        <w:autoSpaceDN w:val="0"/>
        <w:adjustRightInd w:val="0"/>
        <w:spacing w:before="50" w:line="360" w:lineRule="auto"/>
        <w:rPr>
          <w:rFonts w:hint="eastAsia" w:ascii="微软雅黑" w:hAnsi="微软雅黑" w:eastAsia="微软雅黑" w:cs="微软雅黑"/>
          <w:sz w:val="24"/>
        </w:rPr>
      </w:pPr>
      <w:r>
        <w:rPr>
          <w:rFonts w:hint="eastAsia" w:ascii="微软雅黑" w:hAnsi="微软雅黑" w:eastAsia="微软雅黑" w:cs="微软雅黑"/>
          <w:sz w:val="24"/>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233"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评审因素</w:t>
            </w:r>
          </w:p>
        </w:tc>
        <w:tc>
          <w:tcPr>
            <w:tcW w:w="1233"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评分内容</w:t>
            </w:r>
          </w:p>
        </w:tc>
        <w:tc>
          <w:tcPr>
            <w:tcW w:w="5649" w:type="dxa"/>
            <w:vAlign w:val="center"/>
          </w:tcPr>
          <w:p>
            <w:pPr>
              <w:pStyle w:val="10"/>
              <w:ind w:left="105" w:leftChars="50" w:right="105" w:rightChars="5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w w:val="89"/>
                <w:sz w:val="24"/>
                <w:szCs w:val="24"/>
              </w:rPr>
              <w:t>1</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价格部分</w:t>
            </w:r>
          </w:p>
          <w:p>
            <w:pPr>
              <w:pStyle w:val="10"/>
              <w:ind w:left="105" w:leftChars="50" w:right="105" w:rightChars="5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(30分)</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报价</w:t>
            </w:r>
          </w:p>
          <w:p>
            <w:pPr>
              <w:pStyle w:val="10"/>
              <w:ind w:left="105" w:leftChars="50" w:right="105" w:rightChars="5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（30</w:t>
            </w:r>
            <w:r>
              <w:rPr>
                <w:rFonts w:hint="eastAsia" w:ascii="微软雅黑" w:hAnsi="微软雅黑" w:eastAsia="微软雅黑" w:cs="微软雅黑"/>
                <w:color w:val="auto"/>
                <w:spacing w:val="-7"/>
                <w:sz w:val="24"/>
                <w:szCs w:val="24"/>
              </w:rPr>
              <w:t>分</w:t>
            </w:r>
            <w:r>
              <w:rPr>
                <w:rFonts w:hint="eastAsia" w:ascii="微软雅黑" w:hAnsi="微软雅黑" w:eastAsia="微软雅黑" w:cs="微软雅黑"/>
                <w:color w:val="auto"/>
                <w:sz w:val="24"/>
                <w:szCs w:val="24"/>
              </w:rPr>
              <w:t>）</w:t>
            </w:r>
          </w:p>
        </w:tc>
        <w:tc>
          <w:tcPr>
            <w:tcW w:w="5649" w:type="dxa"/>
            <w:vAlign w:val="center"/>
          </w:tcPr>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投标报价得分＝（评标基准价/投标报价）×30。</w:t>
            </w:r>
          </w:p>
          <w:p>
            <w:pPr>
              <w:autoSpaceDE w:val="0"/>
              <w:autoSpaceDN w:val="0"/>
              <w:adjustRightInd w:val="0"/>
              <w:spacing w:line="360" w:lineRule="atLeast"/>
              <w:jc w:val="left"/>
              <w:textAlignment w:val="baseline"/>
              <w:rPr>
                <w:rFonts w:hint="eastAsia" w:ascii="微软雅黑" w:hAnsi="微软雅黑" w:eastAsia="微软雅黑" w:cs="微软雅黑"/>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2</w:t>
            </w:r>
          </w:p>
        </w:tc>
        <w:tc>
          <w:tcPr>
            <w:tcW w:w="1233" w:type="dxa"/>
            <w:vMerge w:val="restart"/>
            <w:vAlign w:val="center"/>
          </w:tcPr>
          <w:p>
            <w:pPr>
              <w:pStyle w:val="10"/>
              <w:ind w:left="105" w:leftChars="50" w:right="105" w:rightChars="50"/>
              <w:jc w:val="center"/>
              <w:rPr>
                <w:rFonts w:hint="eastAsia" w:ascii="微软雅黑" w:hAnsi="微软雅黑" w:eastAsia="微软雅黑" w:cs="微软雅黑"/>
                <w:color w:val="auto"/>
                <w:w w:val="100"/>
                <w:sz w:val="24"/>
                <w:szCs w:val="24"/>
                <w:lang w:eastAsia="zh-CN"/>
              </w:rPr>
            </w:pPr>
            <w:r>
              <w:rPr>
                <w:rFonts w:hint="eastAsia" w:ascii="微软雅黑" w:hAnsi="微软雅黑" w:eastAsia="微软雅黑" w:cs="微软雅黑"/>
                <w:color w:val="auto"/>
                <w:w w:val="100"/>
                <w:sz w:val="24"/>
                <w:szCs w:val="24"/>
                <w:lang w:eastAsia="zh-CN"/>
              </w:rPr>
              <w:t>商务部分</w:t>
            </w:r>
          </w:p>
          <w:p>
            <w:pPr>
              <w:pStyle w:val="10"/>
              <w:ind w:left="105" w:leftChars="50" w:right="105" w:rightChars="50"/>
              <w:jc w:val="center"/>
              <w:rPr>
                <w:rFonts w:hint="eastAsia" w:ascii="微软雅黑" w:hAnsi="微软雅黑" w:eastAsia="微软雅黑" w:cs="微软雅黑"/>
                <w:color w:val="auto"/>
                <w:w w:val="100"/>
                <w:sz w:val="24"/>
                <w:szCs w:val="24"/>
                <w:lang w:eastAsia="zh-CN"/>
              </w:rPr>
            </w:pPr>
            <w:r>
              <w:rPr>
                <w:rFonts w:hint="eastAsia" w:ascii="微软雅黑" w:hAnsi="微软雅黑" w:eastAsia="微软雅黑" w:cs="微软雅黑"/>
                <w:color w:val="auto"/>
                <w:w w:val="100"/>
                <w:sz w:val="24"/>
                <w:szCs w:val="24"/>
                <w:lang w:eastAsia="zh-CN"/>
              </w:rPr>
              <w:t>（</w:t>
            </w:r>
            <w:r>
              <w:rPr>
                <w:rFonts w:hint="eastAsia" w:ascii="微软雅黑" w:hAnsi="微软雅黑" w:eastAsia="微软雅黑" w:cs="微软雅黑"/>
                <w:color w:val="auto"/>
                <w:w w:val="100"/>
                <w:sz w:val="24"/>
                <w:szCs w:val="24"/>
                <w:lang w:val="en-US" w:eastAsia="zh-CN"/>
              </w:rPr>
              <w:t>12分</w:t>
            </w:r>
            <w:r>
              <w:rPr>
                <w:rFonts w:hint="eastAsia" w:ascii="微软雅黑" w:hAnsi="微软雅黑" w:eastAsia="微软雅黑" w:cs="微软雅黑"/>
                <w:color w:val="auto"/>
                <w:w w:val="100"/>
                <w:sz w:val="24"/>
                <w:szCs w:val="24"/>
                <w:lang w:eastAsia="zh-CN"/>
              </w:rPr>
              <w:t>）</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投标产品业绩    （</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lang w:eastAsia="zh-CN"/>
              </w:rPr>
              <w:t>分）</w:t>
            </w:r>
          </w:p>
        </w:tc>
        <w:tc>
          <w:tcPr>
            <w:tcW w:w="5649" w:type="dxa"/>
            <w:vAlign w:val="center"/>
          </w:tcPr>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投标人提供202</w:t>
            </w:r>
            <w:r>
              <w:rPr>
                <w:rFonts w:hint="eastAsia" w:ascii="微软雅黑" w:hAnsi="微软雅黑" w:eastAsia="微软雅黑" w:cs="微软雅黑"/>
                <w:color w:val="auto"/>
                <w:kern w:val="0"/>
                <w:sz w:val="24"/>
                <w:lang w:val="en-US" w:eastAsia="zh-CN" w:bidi="ar"/>
              </w:rPr>
              <w:t>3</w:t>
            </w:r>
            <w:r>
              <w:rPr>
                <w:rFonts w:hint="eastAsia" w:ascii="微软雅黑" w:hAnsi="微软雅黑" w:eastAsia="微软雅黑" w:cs="微软雅黑"/>
                <w:color w:val="auto"/>
                <w:kern w:val="0"/>
                <w:sz w:val="24"/>
                <w:lang w:bidi="ar"/>
              </w:rPr>
              <w:t>年</w:t>
            </w:r>
            <w:r>
              <w:rPr>
                <w:rFonts w:hint="eastAsia" w:ascii="微软雅黑" w:hAnsi="微软雅黑" w:eastAsia="微软雅黑" w:cs="微软雅黑"/>
                <w:color w:val="auto"/>
                <w:kern w:val="0"/>
                <w:sz w:val="24"/>
                <w:lang w:val="en-US" w:eastAsia="zh-CN" w:bidi="ar"/>
              </w:rPr>
              <w:t>3</w:t>
            </w:r>
            <w:r>
              <w:rPr>
                <w:rFonts w:hint="eastAsia" w:ascii="微软雅黑" w:hAnsi="微软雅黑" w:eastAsia="微软雅黑" w:cs="微软雅黑"/>
                <w:color w:val="auto"/>
                <w:kern w:val="0"/>
                <w:sz w:val="24"/>
                <w:lang w:bidi="ar"/>
              </w:rPr>
              <w:t>月至今（以合同签订日期为准），与本项目类似的项目业绩。每提供1个有效业绩得2分，最高得</w:t>
            </w:r>
            <w:r>
              <w:rPr>
                <w:rFonts w:hint="eastAsia" w:ascii="微软雅黑" w:hAnsi="微软雅黑" w:eastAsia="微软雅黑" w:cs="微软雅黑"/>
                <w:color w:val="auto"/>
                <w:kern w:val="0"/>
                <w:sz w:val="24"/>
                <w:lang w:val="en-US" w:eastAsia="zh-CN" w:bidi="ar"/>
              </w:rPr>
              <w:t>8</w:t>
            </w:r>
            <w:r>
              <w:rPr>
                <w:rFonts w:hint="eastAsia" w:ascii="微软雅黑" w:hAnsi="微软雅黑" w:eastAsia="微软雅黑" w:cs="微软雅黑"/>
                <w:color w:val="auto"/>
                <w:kern w:val="0"/>
                <w:sz w:val="24"/>
                <w:lang w:bidi="ar"/>
              </w:rPr>
              <w:t>分。</w:t>
            </w:r>
          </w:p>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注：需至少提供合同首页、内容页以及签署页复印件。未按要求提供视为无效业绩不得分。</w:t>
            </w:r>
          </w:p>
          <w:p>
            <w:pPr>
              <w:autoSpaceDE w:val="0"/>
              <w:autoSpaceDN w:val="0"/>
              <w:ind w:right="105" w:rightChars="50"/>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p>
        </w:tc>
        <w:tc>
          <w:tcPr>
            <w:tcW w:w="1233" w:type="dxa"/>
            <w:vMerge w:val="continue"/>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资质认证(4分)</w:t>
            </w:r>
          </w:p>
        </w:tc>
        <w:tc>
          <w:tcPr>
            <w:tcW w:w="5649" w:type="dxa"/>
            <w:vAlign w:val="center"/>
          </w:tcPr>
          <w:p>
            <w:pPr>
              <w:autoSpaceDE w:val="0"/>
              <w:autoSpaceDN w:val="0"/>
              <w:ind w:right="105" w:rightChars="50"/>
              <w:rPr>
                <w:rFonts w:hint="eastAsia" w:ascii="微软雅黑" w:hAnsi="微软雅黑" w:eastAsia="微软雅黑" w:cs="微软雅黑"/>
                <w:color w:val="auto"/>
                <w:kern w:val="0"/>
                <w:sz w:val="24"/>
                <w:lang w:bidi="ar"/>
              </w:rPr>
            </w:pPr>
            <w:r>
              <w:rPr>
                <w:rFonts w:hint="eastAsia" w:ascii="微软雅黑" w:hAnsi="微软雅黑" w:eastAsia="微软雅黑" w:cs="微软雅黑"/>
                <w:color w:val="auto"/>
                <w:kern w:val="0"/>
                <w:sz w:val="24"/>
                <w:lang w:bidi="ar"/>
              </w:rPr>
              <w:t>资质认证：投标人提供管理体系认证资质证书复印件,每提供一个有效期内证书得1分，最高得</w:t>
            </w:r>
            <w:r>
              <w:rPr>
                <w:rFonts w:hint="eastAsia" w:ascii="微软雅黑" w:hAnsi="微软雅黑" w:eastAsia="微软雅黑" w:cs="微软雅黑"/>
                <w:color w:val="auto"/>
                <w:kern w:val="0"/>
                <w:sz w:val="24"/>
                <w:lang w:val="en-US" w:eastAsia="zh-CN" w:bidi="ar"/>
              </w:rPr>
              <w:t>4</w:t>
            </w:r>
            <w:r>
              <w:rPr>
                <w:rFonts w:hint="eastAsia" w:ascii="微软雅黑" w:hAnsi="微软雅黑" w:eastAsia="微软雅黑" w:cs="微软雅黑"/>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3</w:t>
            </w:r>
          </w:p>
        </w:tc>
        <w:tc>
          <w:tcPr>
            <w:tcW w:w="1233" w:type="dxa"/>
            <w:vMerge w:val="restart"/>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技术部分</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29分</w:t>
            </w:r>
            <w:r>
              <w:rPr>
                <w:rFonts w:hint="eastAsia" w:ascii="微软雅黑" w:hAnsi="微软雅黑" w:eastAsia="微软雅黑" w:cs="微软雅黑"/>
                <w:color w:val="auto"/>
                <w:sz w:val="24"/>
                <w:szCs w:val="24"/>
                <w:lang w:eastAsia="zh-CN"/>
              </w:rPr>
              <w:t>）</w:t>
            </w:r>
          </w:p>
        </w:tc>
        <w:tc>
          <w:tcPr>
            <w:tcW w:w="1233" w:type="dxa"/>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培训方案</w:t>
            </w:r>
          </w:p>
          <w:p>
            <w:pPr>
              <w:pStyle w:val="10"/>
              <w:ind w:left="105" w:leftChars="50" w:right="105" w:rightChars="50"/>
              <w:jc w:val="center"/>
              <w:rPr>
                <w:rFonts w:hint="eastAsia" w:ascii="微软雅黑" w:hAnsi="微软雅黑" w:eastAsia="微软雅黑" w:cs="微软雅黑"/>
                <w:color w:val="auto"/>
                <w:sz w:val="24"/>
                <w:szCs w:val="24"/>
                <w:lang w:eastAsia="zh-CN" w:bidi="ar"/>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分）</w:t>
            </w:r>
          </w:p>
        </w:tc>
        <w:tc>
          <w:tcPr>
            <w:tcW w:w="5649" w:type="dxa"/>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综合考虑投标人提供的培训方案（包括不限于培训内容、主讲人员、培训次数、培训实施计划）：</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 培训方案完善，培训内容科学、专业，高度契合项目实施内容，培训次数、主讲人员，培训实施计划高效，可行，得</w:t>
            </w:r>
            <w:r>
              <w:rPr>
                <w:rFonts w:hint="eastAsia" w:ascii="微软雅黑" w:hAnsi="微软雅黑" w:eastAsia="微软雅黑" w:cs="微软雅黑"/>
                <w:color w:val="auto"/>
                <w:spacing w:val="-3"/>
                <w:sz w:val="24"/>
                <w:szCs w:val="24"/>
                <w:lang w:val="en-US" w:eastAsia="zh-CN"/>
              </w:rPr>
              <w:t>5</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 培训方案完整，培训内容较专业，符合项目实施内容，培训次数、主讲人员满足采购需求，培训实施计划有效，具备一定的可行性，得2分；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 培训方案不完整，或培训次数、主讲人员不满足采购需求，存在重大缺陷，得1分；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sz w:val="24"/>
                <w:szCs w:val="24"/>
                <w:lang w:eastAsia="zh-CN"/>
              </w:rPr>
              <w:t>4.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w w:val="89"/>
                <w:sz w:val="24"/>
                <w:szCs w:val="24"/>
                <w:lang w:eastAsia="zh-CN"/>
              </w:rPr>
              <w:t>4</w:t>
            </w:r>
          </w:p>
        </w:tc>
        <w:tc>
          <w:tcPr>
            <w:tcW w:w="1233" w:type="dxa"/>
            <w:vMerge w:val="continue"/>
            <w:vAlign w:val="center"/>
          </w:tcPr>
          <w:p>
            <w:pPr>
              <w:pStyle w:val="10"/>
              <w:ind w:left="105" w:leftChars="50" w:right="105" w:rightChars="50"/>
              <w:jc w:val="center"/>
              <w:rPr>
                <w:rFonts w:hint="eastAsia" w:ascii="微软雅黑" w:hAnsi="微软雅黑" w:eastAsia="微软雅黑" w:cs="微软雅黑"/>
                <w:color w:val="auto"/>
                <w:sz w:val="24"/>
                <w:szCs w:val="24"/>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技术指标</w:t>
            </w:r>
            <w:r>
              <w:rPr>
                <w:rFonts w:hint="eastAsia" w:ascii="微软雅黑" w:hAnsi="微软雅黑" w:eastAsia="微软雅黑" w:cs="微软雅黑"/>
                <w:color w:val="auto"/>
                <w:sz w:val="24"/>
                <w:szCs w:val="24"/>
                <w:lang w:eastAsia="zh-CN"/>
              </w:rPr>
              <w:t>响应</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分）</w:t>
            </w:r>
          </w:p>
        </w:tc>
        <w:tc>
          <w:tcPr>
            <w:tcW w:w="5649" w:type="dxa"/>
            <w:vAlign w:val="center"/>
          </w:tcPr>
          <w:p>
            <w:pPr>
              <w:ind w:left="105" w:leftChars="50"/>
              <w:rPr>
                <w:rFonts w:hint="eastAsia" w:ascii="微软雅黑" w:hAnsi="微软雅黑" w:eastAsia="微软雅黑" w:cs="微软雅黑"/>
                <w:color w:val="auto"/>
                <w:spacing w:val="-3"/>
                <w:sz w:val="24"/>
              </w:rPr>
            </w:pPr>
            <w:r>
              <w:rPr>
                <w:rFonts w:hint="eastAsia" w:ascii="微软雅黑" w:hAnsi="微软雅黑" w:eastAsia="微软雅黑" w:cs="微软雅黑"/>
                <w:color w:val="auto"/>
                <w:spacing w:val="-3"/>
                <w:sz w:val="24"/>
              </w:rPr>
              <w:t>综合考虑投标人对</w:t>
            </w:r>
            <w:r>
              <w:rPr>
                <w:rFonts w:hint="eastAsia" w:ascii="微软雅黑" w:hAnsi="微软雅黑" w:eastAsia="微软雅黑" w:cs="微软雅黑"/>
                <w:i w:val="0"/>
                <w:iCs w:val="0"/>
                <w:caps w:val="0"/>
                <w:color w:val="auto"/>
                <w:spacing w:val="0"/>
                <w:sz w:val="24"/>
                <w:szCs w:val="24"/>
                <w:shd w:val="clear" w:fill="FFFFFF"/>
              </w:rPr>
              <w:t>二、采购内容与技术要求</w:t>
            </w:r>
            <w:r>
              <w:rPr>
                <w:rFonts w:hint="eastAsia" w:ascii="微软雅黑" w:hAnsi="微软雅黑" w:eastAsia="微软雅黑" w:cs="微软雅黑"/>
                <w:color w:val="auto"/>
                <w:spacing w:val="-3"/>
                <w:sz w:val="24"/>
              </w:rPr>
              <w:t>进行响应，全部满足得满分2</w:t>
            </w:r>
            <w:r>
              <w:rPr>
                <w:rFonts w:hint="eastAsia" w:ascii="微软雅黑" w:hAnsi="微软雅黑" w:eastAsia="微软雅黑" w:cs="微软雅黑"/>
                <w:color w:val="auto"/>
                <w:spacing w:val="-3"/>
                <w:sz w:val="24"/>
                <w:lang w:val="en-US" w:eastAsia="zh-CN"/>
              </w:rPr>
              <w:t>4</w:t>
            </w:r>
            <w:r>
              <w:rPr>
                <w:rFonts w:hint="eastAsia" w:ascii="微软雅黑" w:hAnsi="微软雅黑" w:eastAsia="微软雅黑" w:cs="微软雅黑"/>
                <w:color w:val="auto"/>
                <w:spacing w:val="-3"/>
                <w:sz w:val="24"/>
              </w:rPr>
              <w:t>分。</w:t>
            </w:r>
          </w:p>
          <w:p>
            <w:pPr>
              <w:ind w:left="105" w:leftChars="5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1.完全满足“</w:t>
            </w:r>
            <w:r>
              <w:rPr>
                <w:rFonts w:hint="eastAsia" w:ascii="微软雅黑" w:hAnsi="微软雅黑" w:eastAsia="微软雅黑" w:cs="微软雅黑"/>
                <w:color w:val="auto"/>
                <w:spacing w:val="-3"/>
                <w:sz w:val="24"/>
              </w:rPr>
              <w:t>第二章</w:t>
            </w:r>
            <w:r>
              <w:rPr>
                <w:rFonts w:hint="eastAsia" w:ascii="微软雅黑" w:hAnsi="微软雅黑" w:eastAsia="微软雅黑" w:cs="微软雅黑"/>
                <w:bCs/>
                <w:color w:val="auto"/>
                <w:sz w:val="24"/>
                <w:szCs w:val="24"/>
              </w:rPr>
              <w:t>项目内容及技术要求中核心技术要求</w:t>
            </w:r>
            <w:r>
              <w:rPr>
                <w:rFonts w:hint="eastAsia" w:ascii="微软雅黑" w:hAnsi="微软雅黑" w:eastAsia="微软雅黑" w:cs="微软雅黑"/>
                <w:bCs/>
                <w:color w:val="auto"/>
                <w:sz w:val="24"/>
              </w:rPr>
              <w:t>”得满分2</w:t>
            </w:r>
            <w:r>
              <w:rPr>
                <w:rFonts w:hint="eastAsia" w:ascii="微软雅黑" w:hAnsi="微软雅黑" w:eastAsia="微软雅黑" w:cs="微软雅黑"/>
                <w:bCs/>
                <w:color w:val="auto"/>
                <w:sz w:val="24"/>
                <w:lang w:val="en-US" w:eastAsia="zh-CN"/>
              </w:rPr>
              <w:t>4</w:t>
            </w:r>
            <w:r>
              <w:rPr>
                <w:rFonts w:hint="eastAsia" w:ascii="微软雅黑" w:hAnsi="微软雅黑" w:eastAsia="微软雅黑" w:cs="微软雅黑"/>
                <w:bCs/>
                <w:color w:val="auto"/>
                <w:sz w:val="24"/>
              </w:rPr>
              <w:t xml:space="preserve">分。 </w:t>
            </w:r>
          </w:p>
          <w:p>
            <w:pPr>
              <w:ind w:left="105" w:leftChars="5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2.项目实施要求(共计</w:t>
            </w:r>
            <w:r>
              <w:rPr>
                <w:rFonts w:hint="eastAsia" w:ascii="微软雅黑" w:hAnsi="微软雅黑" w:eastAsia="微软雅黑" w:cs="微软雅黑"/>
                <w:bCs/>
                <w:color w:val="auto"/>
                <w:sz w:val="24"/>
                <w:lang w:val="en-US" w:eastAsia="zh-CN"/>
              </w:rPr>
              <w:t>8</w:t>
            </w:r>
            <w:r>
              <w:rPr>
                <w:rFonts w:hint="eastAsia" w:ascii="微软雅黑" w:hAnsi="微软雅黑" w:eastAsia="微软雅黑" w:cs="微软雅黑"/>
                <w:bCs/>
                <w:color w:val="auto"/>
                <w:sz w:val="24"/>
              </w:rPr>
              <w:t>条)负偏离扣</w:t>
            </w:r>
            <w:r>
              <w:rPr>
                <w:rFonts w:hint="eastAsia" w:ascii="微软雅黑" w:hAnsi="微软雅黑" w:eastAsia="微软雅黑" w:cs="微软雅黑"/>
                <w:bCs/>
                <w:color w:val="auto"/>
                <w:sz w:val="24"/>
                <w:lang w:val="en-US" w:eastAsia="zh-CN"/>
              </w:rPr>
              <w:t>3</w:t>
            </w:r>
            <w:r>
              <w:rPr>
                <w:rFonts w:hint="eastAsia" w:ascii="微软雅黑" w:hAnsi="微软雅黑" w:eastAsia="微软雅黑" w:cs="微软雅黑"/>
                <w:bCs/>
                <w:color w:val="auto"/>
                <w:sz w:val="24"/>
              </w:rPr>
              <w:t>分，最低扣至0分。</w:t>
            </w:r>
          </w:p>
          <w:p>
            <w:pPr>
              <w:spacing w:before="120" w:beforeLines="5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、以标注序号“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bookmarkStart w:id="0" w:name="_GoBack"/>
            <w:bookmarkEnd w:id="0"/>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”……为一条，如有多级序号，以最小级别序号为一条。</w:t>
            </w:r>
          </w:p>
          <w:p>
            <w:pPr>
              <w:ind w:left="105" w:leftChars="50"/>
              <w:rPr>
                <w:rFonts w:hint="eastAsia" w:ascii="微软雅黑" w:hAnsi="微软雅黑" w:eastAsia="微软雅黑" w:cs="微软雅黑"/>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5</w:t>
            </w:r>
          </w:p>
        </w:tc>
        <w:tc>
          <w:tcPr>
            <w:tcW w:w="1233" w:type="dxa"/>
            <w:vMerge w:val="restart"/>
            <w:vAlign w:val="center"/>
          </w:tcPr>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eastAsia="zh-CN"/>
              </w:rPr>
              <w:t>服务部分（</w:t>
            </w:r>
            <w:r>
              <w:rPr>
                <w:rFonts w:hint="eastAsia" w:ascii="微软雅黑" w:hAnsi="微软雅黑" w:eastAsia="微软雅黑" w:cs="微软雅黑"/>
                <w:color w:val="auto"/>
                <w:sz w:val="24"/>
                <w:szCs w:val="24"/>
                <w:lang w:val="en-US" w:eastAsia="zh-CN"/>
              </w:rPr>
              <w:t>22分</w:t>
            </w:r>
            <w:r>
              <w:rPr>
                <w:rFonts w:hint="eastAsia" w:ascii="微软雅黑" w:hAnsi="微软雅黑" w:eastAsia="微软雅黑" w:cs="微软雅黑"/>
                <w:color w:val="auto"/>
                <w:sz w:val="24"/>
                <w:szCs w:val="24"/>
                <w:lang w:eastAsia="zh-CN"/>
              </w:rPr>
              <w:t>）</w:t>
            </w:r>
          </w:p>
        </w:tc>
        <w:tc>
          <w:tcPr>
            <w:tcW w:w="1233" w:type="dxa"/>
            <w:vAlign w:val="center"/>
          </w:tcPr>
          <w:p>
            <w:pPr>
              <w:rPr>
                <w:rFonts w:hint="eastAsia" w:ascii="微软雅黑" w:hAnsi="微软雅黑" w:eastAsia="微软雅黑" w:cs="微软雅黑"/>
                <w:color w:val="auto"/>
                <w:sz w:val="24"/>
              </w:rPr>
            </w:pP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服务方案</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14</w:t>
            </w:r>
            <w:r>
              <w:rPr>
                <w:rFonts w:hint="eastAsia" w:ascii="微软雅黑" w:hAnsi="微软雅黑" w:eastAsia="微软雅黑" w:cs="微软雅黑"/>
                <w:color w:val="auto"/>
                <w:sz w:val="24"/>
                <w:szCs w:val="24"/>
                <w:lang w:eastAsia="zh-CN"/>
              </w:rPr>
              <w:t>分）</w:t>
            </w:r>
          </w:p>
        </w:tc>
        <w:tc>
          <w:tcPr>
            <w:tcW w:w="5649" w:type="dxa"/>
            <w:vAlign w:val="center"/>
          </w:tcPr>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1.对项目理解深刻，服务方案详细且有很强的针对性，可操作性强，方案优秀，得</w:t>
            </w:r>
            <w:r>
              <w:rPr>
                <w:rFonts w:hint="eastAsia" w:ascii="微软雅黑" w:hAnsi="微软雅黑" w:eastAsia="微软雅黑" w:cs="微软雅黑"/>
                <w:color w:val="auto"/>
                <w:spacing w:val="-3"/>
                <w:sz w:val="24"/>
                <w:szCs w:val="24"/>
                <w:lang w:val="en-US" w:eastAsia="zh-CN"/>
              </w:rPr>
              <w:t>14</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2.对项目理解较多，服务方案较为详细且有针对性，可操作性较好，方案良好，得</w:t>
            </w:r>
            <w:r>
              <w:rPr>
                <w:rFonts w:hint="eastAsia" w:ascii="微软雅黑" w:hAnsi="微软雅黑" w:eastAsia="微软雅黑" w:cs="微软雅黑"/>
                <w:color w:val="auto"/>
                <w:spacing w:val="-3"/>
                <w:sz w:val="24"/>
                <w:szCs w:val="24"/>
                <w:lang w:val="en-US" w:eastAsia="zh-CN"/>
              </w:rPr>
              <w:t>9</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3.对项目无理解，服务方案虽阐述但未贴合项目实际情况或内容未包括具体服务细节及措施且无针对性，方案通用，得4分；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4.内容未进行阐述或不满足服务需求，不得分。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6</w:t>
            </w:r>
          </w:p>
        </w:tc>
        <w:tc>
          <w:tcPr>
            <w:tcW w:w="1233" w:type="dxa"/>
            <w:vMerge w:val="continue"/>
            <w:vAlign w:val="center"/>
          </w:tcPr>
          <w:p>
            <w:pPr>
              <w:jc w:val="center"/>
              <w:rPr>
                <w:rFonts w:hint="eastAsia" w:ascii="微软雅黑" w:hAnsi="微软雅黑" w:eastAsia="微软雅黑" w:cs="微软雅黑"/>
                <w:color w:val="auto"/>
                <w:sz w:val="24"/>
              </w:rPr>
            </w:pP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bidi="ar"/>
              </w:rPr>
            </w:pPr>
            <w:r>
              <w:rPr>
                <w:rFonts w:hint="eastAsia" w:ascii="微软雅黑" w:hAnsi="微软雅黑" w:eastAsia="微软雅黑" w:cs="微软雅黑"/>
                <w:color w:val="auto"/>
                <w:sz w:val="24"/>
                <w:szCs w:val="24"/>
                <w:lang w:eastAsia="zh-CN" w:bidi="ar"/>
              </w:rPr>
              <w:t>人员配置</w:t>
            </w:r>
          </w:p>
          <w:p>
            <w:pPr>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lang w:eastAsia="zh-CN" w:bidi="ar"/>
              </w:rPr>
              <w:t>（8分）</w:t>
            </w:r>
          </w:p>
        </w:tc>
        <w:tc>
          <w:tcPr>
            <w:tcW w:w="5649" w:type="dxa"/>
            <w:vAlign w:val="center"/>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投标人应提供针对本项目的项目人员配置情况。 </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1. 技术团队人员配置充裕合理，具有丰富的项目经验、专业能力强的，得8分；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2. 技术团队人员配置基本合理，具备一定的专业能力及相关经验，得5分；</w:t>
            </w:r>
          </w:p>
          <w:p>
            <w:pPr>
              <w:ind w:left="105" w:leftChars="50"/>
              <w:rPr>
                <w:rFonts w:hint="eastAsia" w:ascii="微软雅黑" w:hAnsi="微软雅黑" w:eastAsia="微软雅黑" w:cs="微软雅黑"/>
                <w:color w:val="auto"/>
                <w:spacing w:val="-3"/>
                <w:kern w:val="0"/>
                <w:sz w:val="24"/>
              </w:rPr>
            </w:pPr>
            <w:r>
              <w:rPr>
                <w:rFonts w:hint="eastAsia" w:ascii="微软雅黑" w:hAnsi="微软雅黑" w:eastAsia="微软雅黑" w:cs="微软雅黑"/>
                <w:color w:val="auto"/>
                <w:spacing w:val="-3"/>
                <w:kern w:val="0"/>
                <w:sz w:val="24"/>
              </w:rPr>
              <w:t>3. 技术团队人员配置较少，专业能力或相关经验不足的，得3分；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微软雅黑" w:hAnsi="微软雅黑" w:eastAsia="微软雅黑" w:cs="微软雅黑"/>
                <w:color w:val="auto"/>
                <w:w w:val="89"/>
                <w:sz w:val="24"/>
                <w:szCs w:val="24"/>
                <w:lang w:eastAsia="zh-CN"/>
              </w:rPr>
            </w:pPr>
            <w:r>
              <w:rPr>
                <w:rFonts w:hint="eastAsia" w:ascii="微软雅黑" w:hAnsi="微软雅黑" w:eastAsia="微软雅黑" w:cs="微软雅黑"/>
                <w:color w:val="auto"/>
                <w:w w:val="89"/>
                <w:sz w:val="24"/>
                <w:szCs w:val="24"/>
                <w:lang w:eastAsia="zh-CN"/>
              </w:rPr>
              <w:t>7</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售后服务</w:t>
            </w:r>
          </w:p>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7分</w:t>
            </w:r>
            <w:r>
              <w:rPr>
                <w:rFonts w:hint="eastAsia" w:ascii="微软雅黑" w:hAnsi="微软雅黑" w:eastAsia="微软雅黑" w:cs="微软雅黑"/>
                <w:color w:val="auto"/>
                <w:sz w:val="24"/>
                <w:szCs w:val="24"/>
                <w:lang w:eastAsia="zh-CN"/>
              </w:rPr>
              <w:t>）</w:t>
            </w:r>
          </w:p>
        </w:tc>
        <w:tc>
          <w:tcPr>
            <w:tcW w:w="1233" w:type="dxa"/>
            <w:vAlign w:val="center"/>
          </w:tcPr>
          <w:p>
            <w:pPr>
              <w:pStyle w:val="10"/>
              <w:ind w:left="105" w:leftChars="50" w:right="105" w:rightChars="50"/>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应急方案</w:t>
            </w:r>
          </w:p>
          <w:p>
            <w:pPr>
              <w:pStyle w:val="10"/>
              <w:ind w:left="105" w:leftChars="50" w:right="105" w:rightChars="50"/>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分）</w:t>
            </w:r>
          </w:p>
          <w:p>
            <w:pPr>
              <w:pStyle w:val="10"/>
              <w:ind w:left="105" w:leftChars="50" w:right="105" w:rightChars="50"/>
              <w:jc w:val="center"/>
              <w:rPr>
                <w:rFonts w:hint="eastAsia" w:ascii="微软雅黑" w:hAnsi="微软雅黑" w:eastAsia="微软雅黑" w:cs="微软雅黑"/>
                <w:color w:val="auto"/>
                <w:spacing w:val="-1"/>
                <w:sz w:val="24"/>
                <w:szCs w:val="24"/>
                <w:lang w:eastAsia="zh-CN"/>
              </w:rPr>
            </w:pPr>
          </w:p>
        </w:tc>
        <w:tc>
          <w:tcPr>
            <w:tcW w:w="5649" w:type="dxa"/>
            <w:vAlign w:val="center"/>
          </w:tcPr>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综合考虑投标人提供的应急方案（包括不限于应急响应时效、故障处理能力、服务规范性和风险防控措施）：</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（1）应急响应时效、故障处理能力、服务规范性和风险防控措施等各项服务标准科学、专业、高效，具备充分的技术支撑，能够完全保障项目执行，得</w:t>
            </w:r>
            <w:r>
              <w:rPr>
                <w:rFonts w:hint="eastAsia" w:ascii="微软雅黑" w:hAnsi="微软雅黑" w:eastAsia="微软雅黑" w:cs="微软雅黑"/>
                <w:color w:val="auto"/>
                <w:spacing w:val="-3"/>
                <w:sz w:val="24"/>
                <w:szCs w:val="24"/>
                <w:lang w:val="en-US" w:eastAsia="zh-CN"/>
              </w:rPr>
              <w:t>7</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（2）应急响应时效、故障处理能力、服务规范性和风险防控措施等各项服务标准专业、有效，能对服务要求做出有效响应，具有一定的技术支撑，能够保障项目执行，得</w:t>
            </w:r>
            <w:r>
              <w:rPr>
                <w:rFonts w:hint="eastAsia" w:ascii="微软雅黑" w:hAnsi="微软雅黑" w:eastAsia="微软雅黑" w:cs="微软雅黑"/>
                <w:color w:val="auto"/>
                <w:spacing w:val="-3"/>
                <w:sz w:val="24"/>
                <w:szCs w:val="24"/>
                <w:lang w:val="en-US" w:eastAsia="zh-CN"/>
              </w:rPr>
              <w:t>5</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（3）应急响应时效、故障处理能力、服务规范性和风险防控措施等各项服务标准较专业、较有效，具有一定的技术支撑，能够基本保障项目执行，得</w:t>
            </w:r>
            <w:r>
              <w:rPr>
                <w:rFonts w:hint="eastAsia" w:ascii="微软雅黑" w:hAnsi="微软雅黑" w:eastAsia="微软雅黑" w:cs="微软雅黑"/>
                <w:color w:val="auto"/>
                <w:spacing w:val="-3"/>
                <w:sz w:val="24"/>
                <w:szCs w:val="24"/>
                <w:lang w:val="en-US" w:eastAsia="zh-CN"/>
              </w:rPr>
              <w:t>3</w:t>
            </w:r>
            <w:r>
              <w:rPr>
                <w:rFonts w:hint="eastAsia" w:ascii="微软雅黑" w:hAnsi="微软雅黑" w:eastAsia="微软雅黑" w:cs="微软雅黑"/>
                <w:color w:val="auto"/>
                <w:spacing w:val="-3"/>
                <w:sz w:val="24"/>
                <w:szCs w:val="24"/>
                <w:lang w:eastAsia="zh-CN"/>
              </w:rPr>
              <w:t>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（4）应急方案不完整或存在重大缺陷，不能保障项目执行，得2分；</w:t>
            </w:r>
          </w:p>
          <w:p>
            <w:pPr>
              <w:pStyle w:val="10"/>
              <w:ind w:left="105" w:leftChars="50" w:right="105" w:rightChars="50"/>
              <w:jc w:val="both"/>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合计（100 分）</w:t>
            </w:r>
          </w:p>
        </w:tc>
      </w:tr>
    </w:tbl>
    <w:p>
      <w:pPr>
        <w:spacing w:line="360" w:lineRule="auto"/>
        <w:rPr>
          <w:rFonts w:hint="eastAsia" w:ascii="微软雅黑" w:hAnsi="微软雅黑" w:eastAsia="微软雅黑" w:cs="微软雅黑"/>
          <w:b/>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auto"/>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abstractNum w:abstractNumId="1">
    <w:nsid w:val="67162E93"/>
    <w:multiLevelType w:val="singleLevel"/>
    <w:tmpl w:val="67162E93"/>
    <w:lvl w:ilvl="0" w:tentative="0">
      <w:start w:val="1"/>
      <w:numFmt w:val="chineseCounting"/>
      <w:pStyle w:val="7"/>
      <w:suff w:val="space"/>
      <w:lvlText w:val="第%1章"/>
      <w:lvlJc w:val="left"/>
      <w:pPr>
        <w:ind w:left="3640" w:firstLine="0"/>
      </w:pPr>
      <w:rPr>
        <w:rFonts w:hint="eastAsia" w:ascii="宋体" w:hAnsi="宋体" w:eastAsia="宋体" w:cs="宋体"/>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E2A"/>
    <w:rsid w:val="00F2799B"/>
    <w:rsid w:val="013403C7"/>
    <w:rsid w:val="02990FD0"/>
    <w:rsid w:val="03B2751E"/>
    <w:rsid w:val="0401729D"/>
    <w:rsid w:val="0555214E"/>
    <w:rsid w:val="0729554C"/>
    <w:rsid w:val="07565116"/>
    <w:rsid w:val="07707EC5"/>
    <w:rsid w:val="07F76E9E"/>
    <w:rsid w:val="087D297A"/>
    <w:rsid w:val="09CA5EA0"/>
    <w:rsid w:val="0A1B1122"/>
    <w:rsid w:val="0A5F2B10"/>
    <w:rsid w:val="0AE92A74"/>
    <w:rsid w:val="0BB81E48"/>
    <w:rsid w:val="0CA35A93"/>
    <w:rsid w:val="0DC36A25"/>
    <w:rsid w:val="0E2E60D4"/>
    <w:rsid w:val="0F1572CB"/>
    <w:rsid w:val="101910F7"/>
    <w:rsid w:val="10782796"/>
    <w:rsid w:val="11BF4CAB"/>
    <w:rsid w:val="12714ACF"/>
    <w:rsid w:val="145271E3"/>
    <w:rsid w:val="158B402B"/>
    <w:rsid w:val="15BD1CB8"/>
    <w:rsid w:val="16406A0E"/>
    <w:rsid w:val="19BC6CC5"/>
    <w:rsid w:val="1B1333EB"/>
    <w:rsid w:val="1B294C9D"/>
    <w:rsid w:val="1B462431"/>
    <w:rsid w:val="1BBE6C9B"/>
    <w:rsid w:val="1C3154D0"/>
    <w:rsid w:val="1C3715D7"/>
    <w:rsid w:val="1D2B3169"/>
    <w:rsid w:val="1D551DAF"/>
    <w:rsid w:val="1D667ACB"/>
    <w:rsid w:val="1D740FDF"/>
    <w:rsid w:val="1D9D21A3"/>
    <w:rsid w:val="1FAE7B3B"/>
    <w:rsid w:val="206A35BB"/>
    <w:rsid w:val="217E1DFE"/>
    <w:rsid w:val="23865A57"/>
    <w:rsid w:val="24053DA7"/>
    <w:rsid w:val="25CA5835"/>
    <w:rsid w:val="26AF5F03"/>
    <w:rsid w:val="26E07A42"/>
    <w:rsid w:val="272E2055"/>
    <w:rsid w:val="276D6374"/>
    <w:rsid w:val="27DF65F5"/>
    <w:rsid w:val="299946CD"/>
    <w:rsid w:val="29A739E3"/>
    <w:rsid w:val="29CC039F"/>
    <w:rsid w:val="29D457AB"/>
    <w:rsid w:val="2A020879"/>
    <w:rsid w:val="2A0517FE"/>
    <w:rsid w:val="2A4F0978"/>
    <w:rsid w:val="2B7164D1"/>
    <w:rsid w:val="2C0412C3"/>
    <w:rsid w:val="2CBB2FF0"/>
    <w:rsid w:val="2CF20F4C"/>
    <w:rsid w:val="2D0A07F1"/>
    <w:rsid w:val="2D2F2FAF"/>
    <w:rsid w:val="2D4973DC"/>
    <w:rsid w:val="2DA22455"/>
    <w:rsid w:val="2E3005D3"/>
    <w:rsid w:val="309E37E7"/>
    <w:rsid w:val="30B67078"/>
    <w:rsid w:val="31347947"/>
    <w:rsid w:val="34777AA4"/>
    <w:rsid w:val="34E81C26"/>
    <w:rsid w:val="355E0C9B"/>
    <w:rsid w:val="359E6963"/>
    <w:rsid w:val="35B85EB2"/>
    <w:rsid w:val="35F9691B"/>
    <w:rsid w:val="36C727EB"/>
    <w:rsid w:val="37BE5938"/>
    <w:rsid w:val="392513D1"/>
    <w:rsid w:val="392B54D9"/>
    <w:rsid w:val="392C37CA"/>
    <w:rsid w:val="393B3575"/>
    <w:rsid w:val="3A564FC6"/>
    <w:rsid w:val="3ACC4C05"/>
    <w:rsid w:val="3E255C01"/>
    <w:rsid w:val="40425F7B"/>
    <w:rsid w:val="41EF14BA"/>
    <w:rsid w:val="423179A5"/>
    <w:rsid w:val="43554284"/>
    <w:rsid w:val="45E43639"/>
    <w:rsid w:val="46F91E7C"/>
    <w:rsid w:val="47144FF1"/>
    <w:rsid w:val="49E6704C"/>
    <w:rsid w:val="4BFA6AB7"/>
    <w:rsid w:val="4C0B4865"/>
    <w:rsid w:val="4C166C78"/>
    <w:rsid w:val="4D94224E"/>
    <w:rsid w:val="4DA25B6E"/>
    <w:rsid w:val="4F6457CE"/>
    <w:rsid w:val="4FB50A50"/>
    <w:rsid w:val="516122CB"/>
    <w:rsid w:val="51A273B7"/>
    <w:rsid w:val="539F2640"/>
    <w:rsid w:val="54200610"/>
    <w:rsid w:val="55B6598E"/>
    <w:rsid w:val="560939B3"/>
    <w:rsid w:val="57391B27"/>
    <w:rsid w:val="58237526"/>
    <w:rsid w:val="583F4C58"/>
    <w:rsid w:val="5F0E3C81"/>
    <w:rsid w:val="5F5D7283"/>
    <w:rsid w:val="60045493"/>
    <w:rsid w:val="60191BB5"/>
    <w:rsid w:val="60CA77DA"/>
    <w:rsid w:val="610B0243"/>
    <w:rsid w:val="62194B7D"/>
    <w:rsid w:val="631A7FA3"/>
    <w:rsid w:val="63E818F6"/>
    <w:rsid w:val="643D6E01"/>
    <w:rsid w:val="65351598"/>
    <w:rsid w:val="656E29F6"/>
    <w:rsid w:val="65AF3460"/>
    <w:rsid w:val="669E30E8"/>
    <w:rsid w:val="66AC6934"/>
    <w:rsid w:val="6874746B"/>
    <w:rsid w:val="6A491970"/>
    <w:rsid w:val="6E9C0605"/>
    <w:rsid w:val="721A1840"/>
    <w:rsid w:val="73830E13"/>
    <w:rsid w:val="745B77F1"/>
    <w:rsid w:val="748C3843"/>
    <w:rsid w:val="74C64922"/>
    <w:rsid w:val="74C958A7"/>
    <w:rsid w:val="74D361B6"/>
    <w:rsid w:val="75BC19B7"/>
    <w:rsid w:val="760807B1"/>
    <w:rsid w:val="763F7643"/>
    <w:rsid w:val="772D2B12"/>
    <w:rsid w:val="773C2F3E"/>
    <w:rsid w:val="775E6B64"/>
    <w:rsid w:val="77C72D11"/>
    <w:rsid w:val="77EE514F"/>
    <w:rsid w:val="7A68455E"/>
    <w:rsid w:val="7E0B5C5C"/>
    <w:rsid w:val="7E9F29C9"/>
    <w:rsid w:val="7F2D3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8">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9">
    <w:name w:val="SOW正文"/>
    <w:basedOn w:val="1"/>
    <w:qFormat/>
    <w:uiPriority w:val="0"/>
    <w:pPr>
      <w:snapToGrid w:val="0"/>
      <w:spacing w:before="120" w:line="400" w:lineRule="exact"/>
      <w:ind w:firstLine="425"/>
    </w:pPr>
    <w:rPr>
      <w:sz w:val="24"/>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2026-04-15T01:59:09Z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ies>
</file>