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一、工程概况</w:t>
      </w:r>
      <w:bookmarkStart w:id="1" w:name="_GoBack"/>
      <w:bookmarkEnd w:id="1"/>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工程名称：1号楼回廊改造工程</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建设地点：北京市昌平区立汤路168号</w:t>
      </w:r>
    </w:p>
    <w:p>
      <w:pPr>
        <w:numPr>
          <w:ilvl w:val="0"/>
          <w:numId w:val="7"/>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工程范围</w:t>
      </w:r>
    </w:p>
    <w:p>
      <w:pPr>
        <w:numPr>
          <w:ilvl w:val="0"/>
          <w:numId w:val="0"/>
        </w:numPr>
        <w:spacing w:line="360" w:lineRule="auto"/>
        <w:rPr>
          <w:rFonts w:hint="default" w:ascii="幼圆" w:hAnsi="幼圆" w:eastAsia="幼圆" w:cs="幼圆"/>
          <w:b w:val="0"/>
          <w:bCs w:val="0"/>
          <w:sz w:val="24"/>
          <w:lang w:val="en-US" w:eastAsia="zh-CN"/>
        </w:rPr>
      </w:pPr>
      <w:r>
        <w:rPr>
          <w:rFonts w:hint="eastAsia" w:ascii="幼圆" w:hAnsi="幼圆" w:eastAsia="幼圆" w:cs="幼圆"/>
          <w:b w:val="0"/>
          <w:bCs w:val="0"/>
          <w:sz w:val="24"/>
          <w:lang w:val="en-US" w:eastAsia="zh-CN"/>
        </w:rPr>
        <w:t>详见工程量清单及图纸</w:t>
      </w:r>
      <w:r>
        <w:rPr>
          <w:rFonts w:hint="default" w:ascii="幼圆" w:hAnsi="幼圆" w:eastAsia="幼圆" w:cs="幼圆"/>
          <w:b w:val="0"/>
          <w:bCs w:val="0"/>
          <w:sz w:val="24"/>
          <w:lang w:val="en-US" w:eastAsia="zh-CN"/>
        </w:rPr>
        <w:t>。</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1、具有有效的企业营业执照；</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2、具有建筑工程施工总承包叁级及以上资质或建筑装修装饰工程专业承包二级及以上资质；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3、拟派项目经理应为受聘于投标人的建筑工程专业二级及以上注册建造师，同时具有有效的安全生产考核 合格证书（B 本）；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4、具有合格有效的安全生产许可证；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5、投标人在近三年内（2023年3月-至今） 没有骗取中标和严重违约及重大工程质量问题；参加本采购活动前三年内，在经营活动中没有重大违法记录；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6、具有良好的商业信誉和健全的财务会计制度；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7、具有依法缴纳税收和社会保障资金的良好记录；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8、本项目不接受联合体投标。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四、工期要求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20天（合同签订及现场具备施工条件后20日内）</w:t>
      </w:r>
      <w:r>
        <w:rPr>
          <w:rFonts w:hint="eastAsia" w:ascii="幼圆" w:hAnsi="幼圆" w:eastAsia="幼圆" w:cs="幼圆"/>
          <w:b/>
          <w:bCs/>
          <w:color w:val="FF0000"/>
          <w:sz w:val="24"/>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rPr>
      </w:pPr>
      <w:r>
        <w:rPr>
          <w:rFonts w:hint="eastAsia" w:ascii="幼圆" w:hAnsi="幼圆" w:eastAsia="幼圆" w:cs="幼圆"/>
          <w:b/>
          <w:bCs/>
          <w:sz w:val="28"/>
          <w:szCs w:val="24"/>
          <w:lang w:val="en-US" w:eastAsia="zh-CN"/>
        </w:rPr>
        <w:t>五</w:t>
      </w:r>
      <w:r>
        <w:rPr>
          <w:rFonts w:hint="eastAsia" w:ascii="幼圆" w:hAnsi="幼圆" w:eastAsia="幼圆" w:cs="幼圆"/>
          <w:b/>
          <w:bCs/>
          <w:sz w:val="28"/>
          <w:szCs w:val="24"/>
        </w:rPr>
        <w:t>、关于分部分项工程技术规范的一般说明</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除非设计文件中另有特别注明，本工程适用中华人民共和国现行有效的国家规范、规程和标准。有关文字说明是本工程技术规范的组成部分。对于涉及新技术、新工艺和新材料的工作，相应厂家的使用说明或操作说明等的内容，或适用的国外同类标准的内容也是本工程技术规范的组成部分。</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本合同文件中约定的任何承包人应予遵照执行的规范、规程和标准都指他们各自的最新版本。如果在任何规范、规程和标准之间出现相互矛盾之处或存有任何疑问之处，承包人应书面请求发包人工程师予以澄清。材料、施工工艺和本工程都应依照相关规范、规程和标准的最新版本：或把最新版本的要求当作对承包人工作的最起码要求，而执行更高的标准。</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六、施工标准规范</w:t>
      </w:r>
    </w:p>
    <w:p>
      <w:pPr>
        <w:pStyle w:val="167"/>
        <w:spacing w:line="360" w:lineRule="auto"/>
        <w:ind w:firstLine="0" w:firstLineChars="0"/>
        <w:rPr>
          <w:rFonts w:hint="eastAsia" w:ascii="幼圆" w:hAnsi="幼圆" w:eastAsia="幼圆" w:cs="幼圆"/>
          <w:b/>
          <w:bCs/>
          <w:sz w:val="24"/>
          <w:szCs w:val="24"/>
        </w:rPr>
      </w:pPr>
      <w:r>
        <w:rPr>
          <w:rFonts w:hint="eastAsia" w:ascii="幼圆" w:hAnsi="幼圆" w:eastAsia="幼圆" w:cs="幼圆"/>
          <w:b/>
          <w:bCs/>
          <w:sz w:val="24"/>
          <w:szCs w:val="24"/>
        </w:rPr>
        <w:t>国内目前可以直接引用其索引号的主要施工验收规范（包括但不限于）</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《建筑内部装修设计防火规范》              GB50222-2017</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《建筑设计防火规范》                      GB50016-2014（2018年版）</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《建筑装饰装修工程施工质量验收规范》      GB50210-2018</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《综合医院建筑设计规范》                  GB51039—2014</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《民用建筑电气设计规范》                  JGJ16-2008   </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《建筑电气工程施工质量验收规范》          GB50303-2015</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《低压配电设计规范》                      GB50054—2011</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《医疗建筑电气设计规范》                  JGJ312—2013</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《建筑工程施工质量验收统一标准》GB 50300—2013  </w:t>
      </w:r>
    </w:p>
    <w:p>
      <w:pPr>
        <w:tabs>
          <w:tab w:val="left" w:pos="1462"/>
        </w:tabs>
        <w:bidi w:val="0"/>
        <w:spacing w:line="360" w:lineRule="auto"/>
        <w:jc w:val="left"/>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本工程应执行以上标准规范但并不仅限于此。以上标准所包含的条文，通过在本招标文件中引用而构成技术规范的条文如上述标准过期，各供应商应主动按照相应的最新标准执行。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七、文明施工及安全保卫</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施工期间应遵守建设方的各项规章制度，服从建设方管理。</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施工期间负责施工范围内各种物品及人员的安全。</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施工期间施工人员应注意行为文明规范。</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施工前承包人应和发包人签订安全协议。</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八、招标具体内容说明</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详见图纸及工程量清单。</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九、施工现场安全生产标准化要求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szCs w:val="24"/>
        </w:rPr>
        <w:t>质量标准：合格</w:t>
      </w:r>
      <w:r>
        <w:rPr>
          <w:rFonts w:hint="eastAsia" w:ascii="幼圆" w:hAnsi="幼圆" w:eastAsia="幼圆" w:cs="幼圆"/>
          <w:b/>
          <w:bCs/>
          <w:color w:val="FF0000"/>
          <w:sz w:val="24"/>
          <w:lang w:val="en-US" w:eastAsia="zh-CN"/>
        </w:rPr>
        <w:t>（*必须响应，废标项）</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szCs w:val="24"/>
        </w:rPr>
      </w:pPr>
      <w:r>
        <w:rPr>
          <w:rFonts w:hint="eastAsia" w:ascii="幼圆" w:hAnsi="幼圆" w:eastAsia="幼圆" w:cs="幼圆"/>
          <w:sz w:val="24"/>
          <w:szCs w:val="24"/>
        </w:rPr>
        <w:t>施工现场安全生产标准化管理目标等级：达标</w:t>
      </w:r>
      <w:r>
        <w:rPr>
          <w:rFonts w:hint="eastAsia" w:ascii="幼圆" w:hAnsi="幼圆" w:eastAsia="幼圆" w:cs="幼圆"/>
          <w:b/>
          <w:bCs/>
          <w:color w:val="FF0000"/>
          <w:sz w:val="24"/>
          <w:lang w:val="en-US" w:eastAsia="zh-CN"/>
        </w:rPr>
        <w:t>（*必须响应，废标项）</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现行施工现场安全生产标准化分级管理标准：《北京市建设工程施工现场安全生产标准化管理图集》（2020版）。</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 xml:space="preserve">特殊安全文明施工措施要求：无 </w:t>
      </w:r>
    </w:p>
    <w:p>
      <w:pPr>
        <w:numPr>
          <w:ilvl w:val="0"/>
          <w:numId w:val="8"/>
        </w:num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相关要求</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1</w:t>
      </w:r>
      <w:r>
        <w:rPr>
          <w:rFonts w:hint="default" w:ascii="幼圆" w:hAnsi="幼圆" w:eastAsia="幼圆" w:cs="幼圆"/>
          <w:sz w:val="24"/>
          <w:szCs w:val="24"/>
          <w:lang w:val="en-US" w:eastAsia="zh-CN"/>
        </w:rPr>
        <w:t>、</w:t>
      </w:r>
      <w:r>
        <w:rPr>
          <w:rFonts w:hint="eastAsia" w:ascii="幼圆" w:hAnsi="幼圆" w:eastAsia="幼圆" w:cs="幼圆"/>
          <w:sz w:val="24"/>
          <w:szCs w:val="24"/>
          <w:lang w:val="en-US" w:eastAsia="zh-CN"/>
        </w:rPr>
        <w:t>供应商</w:t>
      </w:r>
      <w:r>
        <w:rPr>
          <w:rFonts w:hint="default" w:ascii="幼圆" w:hAnsi="幼圆" w:eastAsia="幼圆" w:cs="幼圆"/>
          <w:sz w:val="24"/>
          <w:szCs w:val="24"/>
          <w:lang w:val="en-US" w:eastAsia="zh-CN"/>
        </w:rPr>
        <w:t>按照我院工程师要求进行施工作业。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2</w:t>
      </w:r>
      <w:r>
        <w:rPr>
          <w:rFonts w:hint="default" w:ascii="幼圆" w:hAnsi="幼圆" w:eastAsia="幼圆" w:cs="幼圆"/>
          <w:sz w:val="24"/>
          <w:szCs w:val="24"/>
          <w:lang w:val="en-US" w:eastAsia="zh-CN"/>
        </w:rPr>
        <w:t>、施工作业中依照规程及操作方法进行，不可违章作业。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3</w:t>
      </w:r>
      <w:r>
        <w:rPr>
          <w:rFonts w:hint="default" w:ascii="幼圆" w:hAnsi="幼圆" w:eastAsia="幼圆" w:cs="幼圆"/>
          <w:sz w:val="24"/>
          <w:szCs w:val="24"/>
          <w:lang w:val="en-US" w:eastAsia="zh-CN"/>
        </w:rPr>
        <w:t>、施工作业人员持有相关的证照，并配合我院工程师检查。</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4</w:t>
      </w:r>
      <w:r>
        <w:rPr>
          <w:rFonts w:hint="default" w:ascii="幼圆" w:hAnsi="幼圆" w:eastAsia="幼圆" w:cs="幼圆"/>
          <w:sz w:val="24"/>
          <w:szCs w:val="24"/>
          <w:lang w:val="en-US" w:eastAsia="zh-CN"/>
        </w:rPr>
        <w:t>、施工作业中，如有因操作不当引起设备损坏，由施工方进行免费更换。</w:t>
      </w:r>
    </w:p>
    <w:p>
      <w:pPr>
        <w:rPr>
          <w:rFonts w:hint="eastAsia" w:ascii="幼圆" w:hAnsi="幼圆" w:eastAsia="幼圆" w:cs="幼圆"/>
          <w:b w:val="0"/>
          <w:bCs w:val="0"/>
          <w:sz w:val="24"/>
          <w:szCs w:val="24"/>
        </w:rPr>
      </w:pPr>
      <w:r>
        <w:rPr>
          <w:rFonts w:hint="eastAsia" w:ascii="幼圆" w:hAnsi="幼圆" w:eastAsia="幼圆" w:cs="幼圆"/>
          <w:b w:val="0"/>
          <w:bCs w:val="0"/>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color w:val="FF0000"/>
          <w:sz w:val="28"/>
          <w:szCs w:val="24"/>
          <w:lang w:val="en-US" w:eastAsia="zh-CN"/>
        </w:rPr>
      </w:pPr>
      <w:bookmarkStart w:id="0" w:name="_Toc195775598"/>
      <w:r>
        <w:rPr>
          <w:rFonts w:hint="eastAsia" w:ascii="幼圆" w:hAnsi="幼圆" w:eastAsia="幼圆" w:cs="幼圆"/>
          <w:b/>
          <w:bCs/>
          <w:sz w:val="28"/>
          <w:szCs w:val="24"/>
          <w:lang w:val="en-US" w:eastAsia="zh-CN"/>
        </w:rPr>
        <w:t>十、评审标准</w:t>
      </w:r>
      <w:bookmarkEnd w:id="0"/>
      <w:r>
        <w:rPr>
          <w:rFonts w:hint="eastAsia" w:ascii="幼圆" w:hAnsi="幼圆" w:eastAsia="幼圆" w:cs="幼圆"/>
          <w:b/>
          <w:bCs/>
          <w:color w:val="FF0000"/>
          <w:sz w:val="28"/>
          <w:szCs w:val="24"/>
          <w:lang w:val="en-US" w:eastAsia="zh-CN"/>
        </w:rPr>
        <w:t>（采用综合评分法）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3"/>
        <w:gridCol w:w="2355"/>
        <w:gridCol w:w="1005"/>
        <w:gridCol w:w="43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napToGrid w:val="0"/>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序号</w:t>
            </w:r>
          </w:p>
        </w:tc>
        <w:tc>
          <w:tcPr>
            <w:tcW w:w="1354" w:type="pct"/>
            <w:noWrap w:val="0"/>
            <w:vAlign w:val="center"/>
          </w:tcPr>
          <w:p>
            <w:pPr>
              <w:snapToGrid w:val="0"/>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c>
          <w:tcPr>
            <w:tcW w:w="578"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30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20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50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2.评分标准</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2.1价格部分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17"/>
        <w:gridCol w:w="808"/>
        <w:gridCol w:w="5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13"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56"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50"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1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456"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30</w:t>
            </w:r>
          </w:p>
        </w:tc>
        <w:tc>
          <w:tcPr>
            <w:tcW w:w="3250"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价格分数=（评审基准价/响应报价）×价格权重（30%）×100 （注：实质性响应</w:t>
            </w:r>
            <w:r>
              <w:rPr>
                <w:rFonts w:hint="eastAsia" w:ascii="幼圆" w:hAnsi="幼圆" w:eastAsia="幼圆" w:cs="幼圆"/>
                <w:sz w:val="24"/>
                <w:szCs w:val="20"/>
                <w:lang w:val="en-US" w:eastAsia="zh-CN"/>
              </w:rPr>
              <w:t>招标</w:t>
            </w:r>
            <w:r>
              <w:rPr>
                <w:rFonts w:hint="eastAsia" w:ascii="幼圆" w:hAnsi="幼圆" w:eastAsia="幼圆" w:cs="幼圆"/>
                <w:sz w:val="24"/>
                <w:szCs w:val="20"/>
              </w:rPr>
              <w:t>文件要求且响应报价最低的</w:t>
            </w:r>
            <w:r>
              <w:rPr>
                <w:rFonts w:hint="eastAsia" w:ascii="幼圆" w:hAnsi="幼圆" w:eastAsia="幼圆" w:cs="幼圆"/>
                <w:sz w:val="24"/>
                <w:szCs w:val="20"/>
                <w:lang w:val="en-US" w:eastAsia="zh-CN"/>
              </w:rPr>
              <w:t>投标</w:t>
            </w:r>
            <w:r>
              <w:rPr>
                <w:rFonts w:hint="eastAsia" w:ascii="幼圆" w:hAnsi="幼圆" w:eastAsia="幼圆" w:cs="幼圆"/>
                <w:sz w:val="24"/>
                <w:szCs w:val="20"/>
              </w:rPr>
              <w:t>报价为评审基准价）</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价格分数保留两位小数。</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2.2商务部分</w:t>
      </w:r>
    </w:p>
    <w:tbl>
      <w:tblPr>
        <w:tblStyle w:val="32"/>
        <w:tblW w:w="513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36"/>
        <w:gridCol w:w="1620"/>
        <w:gridCol w:w="736"/>
        <w:gridCol w:w="58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69" w:type="pct"/>
            <w:noWrap w:val="0"/>
            <w:vAlign w:val="center"/>
          </w:tcPr>
          <w:p>
            <w:pPr>
              <w:spacing w:after="0" w:line="240" w:lineRule="auto"/>
              <w:ind w:firstLine="600" w:firstLineChars="250"/>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类似业绩</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15</w:t>
            </w:r>
          </w:p>
        </w:tc>
        <w:tc>
          <w:tcPr>
            <w:tcW w:w="3269" w:type="pct"/>
            <w:noWrap w:val="0"/>
            <w:vAlign w:val="center"/>
          </w:tcPr>
          <w:p>
            <w:pPr>
              <w:spacing w:after="0" w:line="240" w:lineRule="auto"/>
              <w:jc w:val="both"/>
              <w:rPr>
                <w:rFonts w:hint="eastAsia" w:ascii="幼圆" w:hAnsi="幼圆" w:eastAsia="幼圆" w:cs="幼圆"/>
                <w:sz w:val="24"/>
                <w:szCs w:val="20"/>
                <w:lang w:val="en-US" w:eastAsia="zh-CN"/>
              </w:rPr>
            </w:pPr>
            <w:r>
              <w:rPr>
                <w:rFonts w:hint="eastAsia" w:ascii="幼圆" w:hAnsi="幼圆" w:eastAsia="幼圆" w:cs="幼圆"/>
                <w:sz w:val="24"/>
                <w:szCs w:val="20"/>
              </w:rPr>
              <w:t>供应商近3年（202</w:t>
            </w:r>
            <w:r>
              <w:rPr>
                <w:rFonts w:hint="eastAsia" w:ascii="幼圆" w:hAnsi="幼圆" w:eastAsia="幼圆" w:cs="幼圆"/>
                <w:sz w:val="24"/>
                <w:szCs w:val="20"/>
                <w:lang w:val="en-US" w:eastAsia="zh-CN"/>
              </w:rPr>
              <w:t>3</w:t>
            </w:r>
            <w:r>
              <w:rPr>
                <w:rFonts w:hint="eastAsia" w:ascii="幼圆" w:hAnsi="幼圆" w:eastAsia="幼圆" w:cs="幼圆"/>
                <w:sz w:val="24"/>
                <w:szCs w:val="20"/>
              </w:rPr>
              <w:t>年</w:t>
            </w:r>
            <w:r>
              <w:rPr>
                <w:rFonts w:hint="eastAsia" w:ascii="幼圆" w:hAnsi="幼圆" w:eastAsia="幼圆" w:cs="幼圆"/>
                <w:sz w:val="24"/>
                <w:szCs w:val="20"/>
                <w:lang w:val="en-US" w:eastAsia="zh-CN"/>
              </w:rPr>
              <w:t>3</w:t>
            </w:r>
            <w:r>
              <w:rPr>
                <w:rFonts w:hint="eastAsia" w:ascii="幼圆" w:hAnsi="幼圆" w:eastAsia="幼圆" w:cs="幼圆"/>
                <w:sz w:val="24"/>
                <w:szCs w:val="20"/>
              </w:rPr>
              <w:t>月-至今</w:t>
            </w:r>
            <w:r>
              <w:rPr>
                <w:rFonts w:hint="eastAsia" w:ascii="幼圆" w:hAnsi="幼圆" w:eastAsia="幼圆" w:cs="幼圆"/>
                <w:sz w:val="24"/>
                <w:szCs w:val="20"/>
                <w:lang w:eastAsia="zh-CN"/>
              </w:rPr>
              <w:t>，以合同签订时间为准</w:t>
            </w:r>
            <w:r>
              <w:rPr>
                <w:rFonts w:hint="eastAsia" w:ascii="幼圆" w:hAnsi="幼圆" w:eastAsia="幼圆" w:cs="幼圆"/>
                <w:sz w:val="24"/>
                <w:szCs w:val="20"/>
              </w:rPr>
              <w:t>）每有1项已完工的类似项目业绩得5分，最多得15分。</w:t>
            </w:r>
            <w:r>
              <w:rPr>
                <w:rFonts w:hint="eastAsia" w:ascii="幼圆" w:hAnsi="幼圆" w:eastAsia="幼圆" w:cs="幼圆"/>
                <w:sz w:val="24"/>
                <w:szCs w:val="20"/>
                <w:lang w:val="en-US" w:eastAsia="zh-CN"/>
              </w:rPr>
              <w:t>{</w:t>
            </w:r>
            <w:r>
              <w:rPr>
                <w:rFonts w:hint="eastAsia" w:ascii="幼圆" w:hAnsi="幼圆" w:eastAsia="幼圆" w:cs="幼圆"/>
                <w:sz w:val="24"/>
                <w:szCs w:val="20"/>
              </w:rPr>
              <w:t>需提供合同复印件（包含合同首页、合同主要内容页及签字盖章页）并加盖供应商公章</w:t>
            </w:r>
            <w:r>
              <w:rPr>
                <w:rFonts w:hint="eastAsia" w:ascii="幼圆" w:hAnsi="幼圆" w:eastAsia="幼圆" w:cs="幼圆"/>
                <w:sz w:val="24"/>
                <w:szCs w:val="20"/>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项目经理</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3269" w:type="pct"/>
            <w:tcBorders>
              <w:bottom w:val="single" w:color="auto" w:sz="4" w:space="0"/>
            </w:tcBorders>
            <w:noWrap w:val="0"/>
            <w:vAlign w:val="center"/>
          </w:tcPr>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（1）具有高级职称得3分，中级职称得1分，其他不得分。</w:t>
            </w:r>
          </w:p>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（2）具有本科及以上学历得2分，其他不得分。</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2.3技术部分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351"/>
        <w:gridCol w:w="654"/>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6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施工方案与技术措施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根据供应商提供的“施工方案与技术措施”进行综合评审：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质量管理体系与保证措施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根据供应商提供的“质量管理体系与保证措施”进行综合评审：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安全和绿色施工保障措施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根据供应商提供的“安全和绿色施工保障措施”进行综合评审：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4</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成品保护和工程保修的管理措施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根据供应商提供的“成品保护和工程保修的管理措施”进行综合评审：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任何可能的紧急情况的处理措施、预案以及抵抗风险的措施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根据供应商提供的“任何可能的紧急情况的处理措施、预案以及抵抗风险的措施”进行综合评审：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bl>
    <w:p>
      <w:pPr>
        <w:pStyle w:val="167"/>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7">
    <w:nsid w:val="66B00039"/>
    <w:multiLevelType w:val="singleLevel"/>
    <w:tmpl w:val="66B00039"/>
    <w:lvl w:ilvl="0" w:tentative="0">
      <w:start w:val="10"/>
      <w:numFmt w:val="chineseCounting"/>
      <w:suff w:val="nothing"/>
      <w:lvlText w:val="%1、"/>
      <w:lvlJc w:val="left"/>
      <w:rPr>
        <w:rFonts w:hint="eastAsia"/>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DC6164"/>
    <w:rsid w:val="05B922DB"/>
    <w:rsid w:val="08CA0C86"/>
    <w:rsid w:val="0ADE0A96"/>
    <w:rsid w:val="0B9760F9"/>
    <w:rsid w:val="113329E6"/>
    <w:rsid w:val="115C159E"/>
    <w:rsid w:val="117F262B"/>
    <w:rsid w:val="12A90D4E"/>
    <w:rsid w:val="12C56763"/>
    <w:rsid w:val="15F90244"/>
    <w:rsid w:val="18641A8B"/>
    <w:rsid w:val="1990077F"/>
    <w:rsid w:val="19DC6ECE"/>
    <w:rsid w:val="1BE71C78"/>
    <w:rsid w:val="1F3C1C4F"/>
    <w:rsid w:val="2006445A"/>
    <w:rsid w:val="205F522A"/>
    <w:rsid w:val="22E24F49"/>
    <w:rsid w:val="23E13DA6"/>
    <w:rsid w:val="24392B0D"/>
    <w:rsid w:val="25D77D3F"/>
    <w:rsid w:val="26B26BA7"/>
    <w:rsid w:val="27372964"/>
    <w:rsid w:val="27BD3A55"/>
    <w:rsid w:val="2AA22C5F"/>
    <w:rsid w:val="2C5F3B91"/>
    <w:rsid w:val="2D056703"/>
    <w:rsid w:val="307E5EFA"/>
    <w:rsid w:val="31321010"/>
    <w:rsid w:val="328423C6"/>
    <w:rsid w:val="347B53E1"/>
    <w:rsid w:val="34813790"/>
    <w:rsid w:val="35A3178F"/>
    <w:rsid w:val="35BA5B31"/>
    <w:rsid w:val="3719768F"/>
    <w:rsid w:val="377C3B60"/>
    <w:rsid w:val="3AAC6B47"/>
    <w:rsid w:val="3BAB6C58"/>
    <w:rsid w:val="3D3FEA48"/>
    <w:rsid w:val="3DAB702F"/>
    <w:rsid w:val="3DBFD295"/>
    <w:rsid w:val="3EBA3A53"/>
    <w:rsid w:val="40E40ADC"/>
    <w:rsid w:val="411538B7"/>
    <w:rsid w:val="41536D26"/>
    <w:rsid w:val="41BE02EE"/>
    <w:rsid w:val="44DB5B25"/>
    <w:rsid w:val="455507B5"/>
    <w:rsid w:val="45A73923"/>
    <w:rsid w:val="48BB3715"/>
    <w:rsid w:val="49AC38D7"/>
    <w:rsid w:val="49F927E9"/>
    <w:rsid w:val="4A5D2DD2"/>
    <w:rsid w:val="4AEF402B"/>
    <w:rsid w:val="4FC375E6"/>
    <w:rsid w:val="5257047F"/>
    <w:rsid w:val="537D6985"/>
    <w:rsid w:val="53ED7FA3"/>
    <w:rsid w:val="56A9ACE5"/>
    <w:rsid w:val="56B06322"/>
    <w:rsid w:val="574D52F6"/>
    <w:rsid w:val="581519CB"/>
    <w:rsid w:val="5FEFBD42"/>
    <w:rsid w:val="618B5EA0"/>
    <w:rsid w:val="63A6046B"/>
    <w:rsid w:val="64690EAB"/>
    <w:rsid w:val="66321E01"/>
    <w:rsid w:val="67C72DF9"/>
    <w:rsid w:val="6A5C38C9"/>
    <w:rsid w:val="6BBC5FCE"/>
    <w:rsid w:val="6EF04D2C"/>
    <w:rsid w:val="6FBD2579"/>
    <w:rsid w:val="6FED3F9B"/>
    <w:rsid w:val="703B2526"/>
    <w:rsid w:val="720472B3"/>
    <w:rsid w:val="75C51121"/>
    <w:rsid w:val="75DF8964"/>
    <w:rsid w:val="75F106A5"/>
    <w:rsid w:val="761942CF"/>
    <w:rsid w:val="787B4E47"/>
    <w:rsid w:val="78EF290F"/>
    <w:rsid w:val="79EFCB93"/>
    <w:rsid w:val="7AA52CAE"/>
    <w:rsid w:val="7CE1176F"/>
    <w:rsid w:val="7DFB6C40"/>
    <w:rsid w:val="7E8A62A7"/>
    <w:rsid w:val="7EDEDA8C"/>
    <w:rsid w:val="7EE782B8"/>
    <w:rsid w:val="7F1BE675"/>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5">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6">
    <w:name w:val="王越的表头"/>
    <w:basedOn w:val="167"/>
    <w:qFormat/>
    <w:uiPriority w:val="0"/>
    <w:pPr>
      <w:spacing w:line="240" w:lineRule="auto"/>
      <w:ind w:firstLine="0" w:firstLineChars="0"/>
      <w:jc w:val="center"/>
    </w:pPr>
    <w:rPr>
      <w:b/>
    </w:rPr>
  </w:style>
  <w:style w:type="paragraph" w:customStyle="1" w:styleId="167">
    <w:name w:val="王越的正文"/>
    <w:basedOn w:val="1"/>
    <w:qFormat/>
    <w:uiPriority w:val="0"/>
    <w:pPr>
      <w:ind w:firstLine="480"/>
      <w:jc w:val="left"/>
    </w:pPr>
    <w:rPr>
      <w:rFonts w:ascii="宋体" w:hAnsi="宋体"/>
    </w:rPr>
  </w:style>
  <w:style w:type="paragraph" w:customStyle="1" w:styleId="168">
    <w:name w:val="王越的表格"/>
    <w:basedOn w:val="167"/>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3</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dcterms:modified xsi:type="dcterms:W3CDTF">2026-04-17T07:12:14Z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