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wordWrap/>
        <w:topLinePunct w:val="0"/>
        <w:bidi w:val="0"/>
        <w:spacing w:line="24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numPr>
          <w:numId w:val="0"/>
        </w:numPr>
        <w:spacing w:line="240" w:lineRule="auto"/>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一、项目概况</w:t>
      </w:r>
    </w:p>
    <w:p>
      <w:pPr>
        <w:pStyle w:val="2"/>
        <w:rPr>
          <w:rFonts w:hint="eastAsia"/>
          <w:lang w:val="en-US" w:eastAsia="zh-CN"/>
        </w:rPr>
      </w:pP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名称：一期防火门维修服务采购项目</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eepNext w:val="0"/>
        <w:keepLines w:val="0"/>
        <w:pageBreakBefore w:val="0"/>
        <w:widowControl/>
        <w:kinsoku w:val="0"/>
        <w:wordWrap/>
        <w:overflowPunct w:val="0"/>
        <w:topLinePunct w:val="0"/>
        <w:autoSpaceDE w:val="0"/>
        <w:autoSpaceDN w:val="0"/>
        <w:bidi w:val="0"/>
        <w:adjustRightInd w:val="0"/>
        <w:snapToGrid/>
        <w:spacing w:after="0" w:line="240" w:lineRule="auto"/>
        <w:jc w:val="both"/>
        <w:textAlignment w:val="auto"/>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numPr>
          <w:numId w:val="0"/>
        </w:numPr>
        <w:spacing w:line="240" w:lineRule="auto"/>
        <w:rPr>
          <w:rFonts w:hint="eastAsia" w:ascii="幼圆" w:hAnsi="幼圆" w:eastAsia="幼圆" w:cs="幼圆"/>
          <w:b/>
          <w:bCs/>
          <w:sz w:val="28"/>
          <w:szCs w:val="24"/>
          <w:lang w:val="en-US" w:eastAsia="zh-CN"/>
        </w:rPr>
      </w:pPr>
      <w:r>
        <w:rPr>
          <w:rFonts w:hint="eastAsia" w:ascii="幼圆" w:hAnsi="幼圆" w:eastAsia="幼圆" w:cs="幼圆"/>
          <w:b/>
          <w:bCs w:val="0"/>
          <w:snapToGrid w:val="0"/>
          <w:kern w:val="21"/>
          <w:sz w:val="28"/>
          <w:szCs w:val="28"/>
          <w:lang w:val="en-US" w:eastAsia="zh-CN"/>
        </w:rPr>
        <w:t>二、</w:t>
      </w:r>
      <w:r>
        <w:rPr>
          <w:rFonts w:hint="eastAsia" w:ascii="幼圆" w:hAnsi="幼圆" w:eastAsia="幼圆" w:cs="幼圆"/>
          <w:b/>
          <w:bCs/>
          <w:sz w:val="28"/>
          <w:szCs w:val="24"/>
          <w:lang w:val="en-US" w:eastAsia="zh-CN"/>
        </w:rPr>
        <w:t>项目类型</w:t>
      </w:r>
    </w:p>
    <w:p>
      <w:pPr>
        <w:keepNext w:val="0"/>
        <w:keepLines w:val="0"/>
        <w:pageBreakBefore w:val="0"/>
        <w:widowControl/>
        <w:numPr>
          <w:ilvl w:val="0"/>
          <w:numId w:val="0"/>
        </w:numPr>
        <w:wordWrap/>
        <w:topLinePunct w:val="0"/>
        <w:bidi w:val="0"/>
        <w:snapToGrid/>
        <w:spacing w:line="240" w:lineRule="auto"/>
        <w:textAlignment w:val="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维修服务类</w:t>
      </w:r>
    </w:p>
    <w:p>
      <w:pPr>
        <w:numPr>
          <w:numId w:val="0"/>
        </w:numPr>
        <w:spacing w:line="240" w:lineRule="auto"/>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三、资质要求</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2、在中华人民共和国境内注册登记，有生产或供应能力的本国供应商，包括法人、其他组织和个人；</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3、投标人在近三年内（2023年4月-至今）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4、具有良好的商业信誉和健全的财务会计制度；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6、本项目不接受联合体投标；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b/>
          <w:bCs/>
          <w:color w:val="FF0000"/>
          <w:sz w:val="21"/>
          <w:szCs w:val="20"/>
          <w:lang w:val="en-US" w:eastAsia="zh-CN"/>
        </w:rPr>
      </w:pPr>
      <w:r>
        <w:rPr>
          <w:rFonts w:hint="eastAsia" w:ascii="幼圆" w:hAnsi="幼圆" w:eastAsia="幼圆" w:cs="幼圆"/>
          <w:sz w:val="21"/>
          <w:szCs w:val="20"/>
          <w:lang w:val="en-US" w:eastAsia="zh-CN"/>
        </w:rPr>
        <w:t>7、具有消防设施工程专业承包贰级及以上资质</w:t>
      </w:r>
      <w:r>
        <w:rPr>
          <w:rFonts w:hint="eastAsia" w:ascii="幼圆" w:hAnsi="幼圆" w:eastAsia="幼圆" w:cs="幼圆"/>
          <w:b/>
          <w:bCs/>
          <w:color w:val="FF0000"/>
          <w:sz w:val="21"/>
          <w:szCs w:val="20"/>
          <w:lang w:val="en-US" w:eastAsia="zh-CN"/>
        </w:rPr>
        <w:t xml:space="preserve">(*资格条件必须满足，废标项） </w:t>
      </w:r>
    </w:p>
    <w:p>
      <w:pPr>
        <w:pStyle w:val="36"/>
        <w:ind w:left="0" w:leftChars="0" w:firstLine="0" w:firstLineChars="0"/>
        <w:rPr>
          <w:rFonts w:hint="eastAsia" w:ascii="幼圆" w:hAnsi="幼圆" w:eastAsia="幼圆" w:cs="幼圆"/>
          <w:b w:val="0"/>
          <w:bCs w:val="0"/>
          <w:color w:val="auto"/>
          <w:lang w:val="en-US" w:eastAsia="zh-CN"/>
        </w:rPr>
      </w:pPr>
      <w:r>
        <w:rPr>
          <w:rFonts w:hint="eastAsia" w:ascii="幼圆" w:hAnsi="幼圆" w:eastAsia="幼圆" w:cs="幼圆"/>
          <w:b w:val="0"/>
          <w:bCs w:val="0"/>
          <w:color w:val="auto"/>
          <w:sz w:val="21"/>
          <w:szCs w:val="20"/>
          <w:lang w:val="en-US" w:eastAsia="zh-CN"/>
        </w:rPr>
        <w:t>8、具有《安全生产许可证》</w:t>
      </w:r>
      <w:r>
        <w:rPr>
          <w:rFonts w:hint="eastAsia" w:ascii="幼圆" w:hAnsi="幼圆" w:eastAsia="幼圆" w:cs="幼圆"/>
          <w:b/>
          <w:bCs/>
          <w:color w:val="FF0000"/>
          <w:sz w:val="21"/>
          <w:szCs w:val="20"/>
          <w:lang w:val="en-US" w:eastAsia="zh-CN"/>
        </w:rPr>
        <w:t>(*资格条件必须满足，废标项）</w:t>
      </w:r>
    </w:p>
    <w:p>
      <w:pPr>
        <w:numPr>
          <w:numId w:val="0"/>
        </w:numPr>
        <w:spacing w:line="240" w:lineRule="auto"/>
        <w:rPr>
          <w:rFonts w:hint="eastAsia" w:ascii="幼圆" w:hAnsi="幼圆" w:eastAsia="幼圆" w:cs="幼圆"/>
          <w:b/>
          <w:bCs w:val="0"/>
          <w:snapToGrid w:val="0"/>
          <w:kern w:val="21"/>
          <w:sz w:val="28"/>
          <w:szCs w:val="28"/>
          <w:lang w:val="en-US" w:eastAsia="zh-CN"/>
        </w:rPr>
      </w:pPr>
      <w:bookmarkStart w:id="0" w:name="_Toc195775598"/>
      <w:r>
        <w:rPr>
          <w:rFonts w:hint="eastAsia" w:ascii="幼圆" w:hAnsi="幼圆" w:eastAsia="幼圆" w:cs="幼圆"/>
          <w:b/>
          <w:bCs w:val="0"/>
          <w:snapToGrid w:val="0"/>
          <w:kern w:val="21"/>
          <w:sz w:val="28"/>
          <w:szCs w:val="28"/>
          <w:lang w:val="en-US" w:eastAsia="zh-CN"/>
        </w:rPr>
        <w:t>四、维修服务内容</w:t>
      </w:r>
    </w:p>
    <w:p>
      <w:pPr>
        <w:pStyle w:val="173"/>
        <w:numPr>
          <w:ilvl w:val="0"/>
          <w:numId w:val="0"/>
        </w:numPr>
        <w:spacing w:line="360" w:lineRule="auto"/>
        <w:rPr>
          <w:rFonts w:hint="eastAsia" w:ascii="幼圆" w:hAnsi="幼圆" w:eastAsia="幼圆" w:cs="幼圆"/>
          <w:color w:val="auto"/>
          <w:sz w:val="24"/>
        </w:rPr>
      </w:pPr>
      <w:r>
        <w:rPr>
          <w:rFonts w:hint="eastAsia" w:ascii="幼圆" w:hAnsi="幼圆" w:eastAsia="幼圆" w:cs="幼圆"/>
          <w:color w:val="auto"/>
          <w:sz w:val="24"/>
          <w:lang w:val="en-US" w:eastAsia="zh-CN"/>
        </w:rPr>
        <w:t>1、</w:t>
      </w:r>
      <w:r>
        <w:rPr>
          <w:rFonts w:hint="eastAsia" w:ascii="幼圆" w:hAnsi="幼圆" w:eastAsia="幼圆" w:cs="幼圆"/>
          <w:color w:val="auto"/>
          <w:sz w:val="24"/>
        </w:rPr>
        <w:t>质量要求：合格（环保达标）</w:t>
      </w:r>
      <w:r>
        <w:rPr>
          <w:rFonts w:hint="eastAsia" w:ascii="幼圆" w:hAnsi="幼圆" w:eastAsia="幼圆" w:cs="幼圆"/>
          <w:b/>
          <w:bCs/>
          <w:color w:val="FF0000"/>
          <w:sz w:val="21"/>
          <w:szCs w:val="20"/>
          <w:lang w:val="en-US" w:eastAsia="zh-CN"/>
        </w:rPr>
        <w:t>（*必须响应，废标项）</w:t>
      </w:r>
    </w:p>
    <w:p>
      <w:pPr>
        <w:pStyle w:val="173"/>
        <w:numPr>
          <w:ilvl w:val="0"/>
          <w:numId w:val="0"/>
        </w:numPr>
        <w:spacing w:line="360" w:lineRule="auto"/>
        <w:rPr>
          <w:rFonts w:hint="eastAsia" w:ascii="幼圆" w:hAnsi="幼圆" w:eastAsia="幼圆" w:cs="幼圆"/>
          <w:color w:val="auto"/>
          <w:sz w:val="24"/>
          <w:lang w:val="en-US" w:eastAsia="zh-CN"/>
        </w:rPr>
      </w:pPr>
      <w:r>
        <w:rPr>
          <w:rFonts w:hint="eastAsia" w:ascii="幼圆" w:hAnsi="幼圆" w:eastAsia="幼圆" w:cs="幼圆"/>
          <w:color w:val="auto"/>
          <w:sz w:val="24"/>
          <w:lang w:val="en-US" w:eastAsia="zh-CN"/>
        </w:rPr>
        <w:t>2、工期要求：40天</w:t>
      </w:r>
      <w:r>
        <w:rPr>
          <w:rFonts w:hint="eastAsia" w:ascii="幼圆" w:hAnsi="幼圆" w:eastAsia="幼圆" w:cs="幼圆"/>
          <w:b/>
          <w:bCs/>
          <w:color w:val="FF0000"/>
          <w:sz w:val="21"/>
          <w:szCs w:val="20"/>
          <w:lang w:val="en-US" w:eastAsia="zh-CN"/>
        </w:rPr>
        <w:t>（*必须响应，废标项）</w:t>
      </w:r>
    </w:p>
    <w:p>
      <w:pPr>
        <w:spacing w:line="300" w:lineRule="auto"/>
        <w:rPr>
          <w:rFonts w:hint="eastAsia" w:ascii="幼圆" w:hAnsi="幼圆" w:eastAsia="幼圆" w:cs="幼圆"/>
          <w:color w:val="auto"/>
          <w:sz w:val="24"/>
        </w:rPr>
      </w:pPr>
      <w:r>
        <w:rPr>
          <w:rFonts w:hint="eastAsia" w:ascii="幼圆" w:hAnsi="幼圆" w:eastAsia="幼圆" w:cs="幼圆"/>
          <w:color w:val="auto"/>
          <w:sz w:val="24"/>
          <w:lang w:val="en-US" w:eastAsia="zh-CN"/>
        </w:rPr>
        <w:t>3、</w:t>
      </w:r>
      <w:r>
        <w:rPr>
          <w:rFonts w:hint="eastAsia" w:ascii="幼圆" w:hAnsi="幼圆" w:eastAsia="幼圆" w:cs="幼圆"/>
          <w:color w:val="auto"/>
          <w:sz w:val="24"/>
        </w:rPr>
        <w:t xml:space="preserve"> 技术质量要求:</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w:t>
      </w:r>
      <w:r>
        <w:rPr>
          <w:rFonts w:hint="eastAsia" w:ascii="幼圆" w:hAnsi="幼圆" w:eastAsia="幼圆" w:cs="幼圆"/>
          <w:b/>
          <w:color w:val="auto"/>
          <w:kern w:val="0"/>
          <w:sz w:val="24"/>
        </w:rPr>
        <w:t>防火门技术要求：生产厂家执行标准GB 12955-2008</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.1.1《建筑</w:t>
      </w:r>
      <w:r>
        <w:rPr>
          <w:rFonts w:hint="eastAsia" w:ascii="幼圆" w:hAnsi="幼圆" w:eastAsia="幼圆" w:cs="幼圆"/>
          <w:color w:val="auto"/>
          <w:sz w:val="24"/>
        </w:rPr>
        <w:t>设计防火规范</w:t>
      </w:r>
      <w:r>
        <w:rPr>
          <w:rFonts w:hint="eastAsia" w:ascii="幼圆" w:hAnsi="幼圆" w:eastAsia="幼圆" w:cs="幼圆"/>
          <w:color w:val="auto"/>
          <w:kern w:val="0"/>
          <w:sz w:val="24"/>
        </w:rPr>
        <w:t>》规范GB50016-2014（2018年版）</w:t>
      </w:r>
    </w:p>
    <w:p>
      <w:pPr>
        <w:adjustRightInd w:val="0"/>
        <w:snapToGrid w:val="0"/>
        <w:spacing w:line="440" w:lineRule="exact"/>
        <w:ind w:left="780"/>
        <w:rPr>
          <w:rFonts w:hint="eastAsia" w:ascii="幼圆" w:hAnsi="幼圆" w:eastAsia="幼圆" w:cs="幼圆"/>
          <w:color w:val="auto"/>
          <w:sz w:val="24"/>
        </w:rPr>
      </w:pPr>
      <w:r>
        <w:rPr>
          <w:rFonts w:hint="eastAsia" w:ascii="幼圆" w:hAnsi="幼圆" w:eastAsia="幼圆" w:cs="幼圆"/>
          <w:color w:val="auto"/>
          <w:kern w:val="0"/>
          <w:sz w:val="24"/>
        </w:rPr>
        <w:t xml:space="preserve">     </w:t>
      </w:r>
      <w:r>
        <w:rPr>
          <w:rFonts w:hint="eastAsia" w:ascii="幼圆" w:hAnsi="幼圆" w:eastAsia="幼圆" w:cs="幼圆"/>
          <w:color w:val="auto"/>
          <w:sz w:val="24"/>
        </w:rPr>
        <w:t>《建筑结构荷载规范》——</w:t>
      </w:r>
      <w:r>
        <w:rPr>
          <w:rFonts w:hint="eastAsia" w:ascii="幼圆" w:hAnsi="幼圆" w:eastAsia="幼圆" w:cs="幼圆"/>
          <w:color w:val="auto"/>
          <w:sz w:val="24"/>
        </w:rPr>
        <w:t>GB50009-2012</w:t>
      </w:r>
    </w:p>
    <w:p>
      <w:pPr>
        <w:adjustRightInd w:val="0"/>
        <w:snapToGrid w:val="0"/>
        <w:spacing w:line="440" w:lineRule="exact"/>
        <w:ind w:left="780"/>
        <w:rPr>
          <w:rFonts w:hint="eastAsia" w:ascii="幼圆" w:hAnsi="幼圆" w:eastAsia="幼圆" w:cs="幼圆"/>
          <w:color w:val="auto"/>
          <w:sz w:val="24"/>
        </w:rPr>
      </w:pPr>
      <w:r>
        <w:rPr>
          <w:rFonts w:hint="eastAsia" w:ascii="幼圆" w:hAnsi="幼圆" w:eastAsia="幼圆" w:cs="幼圆"/>
          <w:color w:val="auto"/>
          <w:kern w:val="0"/>
          <w:sz w:val="24"/>
        </w:rPr>
        <w:t xml:space="preserve">     </w:t>
      </w:r>
      <w:r>
        <w:rPr>
          <w:rFonts w:hint="eastAsia" w:ascii="幼圆" w:hAnsi="幼圆" w:eastAsia="幼圆" w:cs="幼圆"/>
          <w:color w:val="auto"/>
          <w:sz w:val="24"/>
        </w:rPr>
        <w:t>《钢结构焊接规范》——</w:t>
      </w:r>
      <w:r>
        <w:rPr>
          <w:rFonts w:hint="eastAsia" w:ascii="幼圆" w:hAnsi="幼圆" w:eastAsia="幼圆" w:cs="幼圆"/>
          <w:color w:val="auto"/>
          <w:sz w:val="24"/>
        </w:rPr>
        <w:t>GB50661-2011</w:t>
      </w:r>
    </w:p>
    <w:p>
      <w:pPr>
        <w:adjustRightInd w:val="0"/>
        <w:snapToGrid w:val="0"/>
        <w:spacing w:line="440" w:lineRule="exact"/>
        <w:ind w:left="780"/>
        <w:rPr>
          <w:rFonts w:hint="eastAsia" w:ascii="幼圆" w:hAnsi="幼圆" w:eastAsia="幼圆" w:cs="幼圆"/>
          <w:color w:val="auto"/>
          <w:sz w:val="24"/>
        </w:rPr>
      </w:pPr>
      <w:r>
        <w:rPr>
          <w:rFonts w:hint="eastAsia" w:ascii="幼圆" w:hAnsi="幼圆" w:eastAsia="幼圆" w:cs="幼圆"/>
          <w:color w:val="auto"/>
          <w:kern w:val="0"/>
          <w:sz w:val="24"/>
        </w:rPr>
        <w:t xml:space="preserve">     </w:t>
      </w:r>
      <w:r>
        <w:rPr>
          <w:rFonts w:hint="eastAsia" w:ascii="幼圆" w:hAnsi="幼圆" w:eastAsia="幼圆" w:cs="幼圆"/>
          <w:color w:val="auto"/>
          <w:sz w:val="24"/>
        </w:rPr>
        <w:t>《民用建筑热工设计规范》——</w:t>
      </w:r>
      <w:r>
        <w:rPr>
          <w:rFonts w:hint="eastAsia" w:ascii="幼圆" w:hAnsi="幼圆" w:eastAsia="幼圆" w:cs="幼圆"/>
          <w:color w:val="auto"/>
          <w:sz w:val="24"/>
        </w:rPr>
        <w:t>GB50176-2016</w:t>
      </w:r>
    </w:p>
    <w:p>
      <w:pPr>
        <w:adjustRightInd w:val="0"/>
        <w:snapToGrid w:val="0"/>
        <w:spacing w:line="440" w:lineRule="exact"/>
        <w:ind w:left="780"/>
        <w:rPr>
          <w:rFonts w:hint="eastAsia" w:ascii="幼圆" w:hAnsi="幼圆" w:eastAsia="幼圆" w:cs="幼圆"/>
          <w:color w:val="auto"/>
          <w:sz w:val="24"/>
        </w:rPr>
      </w:pPr>
      <w:r>
        <w:rPr>
          <w:rFonts w:hint="eastAsia" w:ascii="幼圆" w:hAnsi="幼圆" w:eastAsia="幼圆" w:cs="幼圆"/>
          <w:color w:val="auto"/>
          <w:kern w:val="0"/>
          <w:sz w:val="24"/>
        </w:rPr>
        <w:t xml:space="preserve">     </w:t>
      </w:r>
      <w:r>
        <w:rPr>
          <w:rFonts w:hint="eastAsia" w:ascii="幼圆" w:hAnsi="幼圆" w:eastAsia="幼圆" w:cs="幼圆"/>
          <w:color w:val="auto"/>
          <w:sz w:val="24"/>
        </w:rPr>
        <w:t>《防火门》——GB12955-2008</w:t>
      </w:r>
    </w:p>
    <w:p>
      <w:pPr>
        <w:adjustRightInd w:val="0"/>
        <w:snapToGrid w:val="0"/>
        <w:spacing w:line="440" w:lineRule="exact"/>
        <w:ind w:left="360"/>
        <w:rPr>
          <w:rFonts w:hint="eastAsia" w:ascii="幼圆" w:hAnsi="幼圆" w:eastAsia="幼圆" w:cs="幼圆"/>
          <w:color w:val="auto"/>
          <w:sz w:val="24"/>
        </w:rPr>
      </w:pPr>
      <w:r>
        <w:rPr>
          <w:rFonts w:hint="eastAsia" w:ascii="幼圆" w:hAnsi="幼圆" w:eastAsia="幼圆" w:cs="幼圆"/>
          <w:color w:val="auto"/>
          <w:kern w:val="0"/>
          <w:sz w:val="24"/>
        </w:rPr>
        <w:t xml:space="preserve">        </w:t>
      </w:r>
      <w:r>
        <w:rPr>
          <w:rFonts w:hint="eastAsia" w:ascii="幼圆" w:hAnsi="幼圆" w:eastAsia="幼圆" w:cs="幼圆"/>
          <w:color w:val="auto"/>
          <w:sz w:val="24"/>
        </w:rPr>
        <w:t>《防火门闭门器》——GA93-2004</w:t>
      </w:r>
    </w:p>
    <w:p>
      <w:pPr>
        <w:adjustRightInd w:val="0"/>
        <w:snapToGrid w:val="0"/>
        <w:spacing w:line="440" w:lineRule="exact"/>
        <w:ind w:firstLine="480" w:firstLineChars="200"/>
        <w:outlineLvl w:val="3"/>
        <w:rPr>
          <w:rFonts w:hint="eastAsia" w:ascii="幼圆" w:hAnsi="幼圆" w:eastAsia="幼圆" w:cs="幼圆"/>
          <w:bCs/>
          <w:color w:val="auto"/>
          <w:sz w:val="24"/>
        </w:rPr>
      </w:pPr>
      <w:r>
        <w:rPr>
          <w:rFonts w:hint="eastAsia" w:ascii="幼圆" w:hAnsi="幼圆" w:eastAsia="幼圆" w:cs="幼圆"/>
          <w:bCs/>
          <w:color w:val="auto"/>
          <w:sz w:val="24"/>
          <w:lang w:val="en-US" w:eastAsia="zh-CN"/>
        </w:rPr>
        <w:t>3</w:t>
      </w:r>
      <w:r>
        <w:rPr>
          <w:rFonts w:hint="eastAsia" w:ascii="幼圆" w:hAnsi="幼圆" w:eastAsia="幼圆" w:cs="幼圆"/>
          <w:bCs/>
          <w:color w:val="auto"/>
          <w:sz w:val="24"/>
        </w:rPr>
        <w:t>.1.2、防火门的耐火时间、厚度</w:t>
      </w:r>
    </w:p>
    <w:p>
      <w:pPr>
        <w:adjustRightInd w:val="0"/>
        <w:snapToGrid w:val="0"/>
        <w:spacing w:line="440" w:lineRule="exact"/>
        <w:ind w:firstLine="480" w:firstLineChars="200"/>
        <w:outlineLvl w:val="3"/>
        <w:rPr>
          <w:rFonts w:hint="eastAsia" w:ascii="幼圆" w:hAnsi="幼圆" w:eastAsia="幼圆" w:cs="幼圆"/>
          <w:b/>
          <w:color w:val="auto"/>
          <w:sz w:val="24"/>
        </w:rPr>
      </w:pPr>
      <w:r>
        <w:rPr>
          <w:rFonts w:hint="eastAsia" w:ascii="幼圆" w:hAnsi="幼圆" w:eastAsia="幼圆" w:cs="幼圆"/>
          <w:bCs/>
          <w:color w:val="auto"/>
          <w:sz w:val="24"/>
        </w:rPr>
        <w:t>耐火时间：甲级不低于1.5h、乙级不低于1.0h、丙级不低于0.5h；门扇厚度：甲级不低于50mm、乙级不低于45mm、丙级不低于40mm,其它未列项严格依据国家规范得相应要求。</w:t>
      </w:r>
    </w:p>
    <w:p>
      <w:pPr>
        <w:adjustRightInd w:val="0"/>
        <w:snapToGrid w:val="0"/>
        <w:spacing w:line="440" w:lineRule="exact"/>
        <w:ind w:firstLine="480" w:firstLineChars="200"/>
        <w:outlineLvl w:val="3"/>
        <w:rPr>
          <w:rFonts w:hint="eastAsia" w:ascii="幼圆" w:hAnsi="幼圆" w:eastAsia="幼圆" w:cs="幼圆"/>
          <w:bCs/>
          <w:color w:val="auto"/>
          <w:sz w:val="24"/>
        </w:rPr>
      </w:pPr>
      <w:r>
        <w:rPr>
          <w:rFonts w:hint="eastAsia" w:ascii="幼圆" w:hAnsi="幼圆" w:eastAsia="幼圆" w:cs="幼圆"/>
          <w:bCs/>
          <w:color w:val="auto"/>
          <w:sz w:val="24"/>
        </w:rPr>
        <w:t>防火门加工尺寸允许最大偏差如下表：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4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部位名称</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偏差范围（mm）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门扇高度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w:t>
            </w:r>
            <w:r>
              <w:rPr>
                <w:rFonts w:hint="eastAsia" w:ascii="幼圆" w:hAnsi="幼圆" w:eastAsia="幼圆" w:cs="幼圆"/>
                <w:bCs/>
                <w:color w:val="auto"/>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门扇宽度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w:t>
            </w:r>
            <w:r>
              <w:rPr>
                <w:rFonts w:hint="eastAsia" w:ascii="幼圆" w:hAnsi="幼圆" w:eastAsia="幼圆" w:cs="幼圆"/>
                <w:bCs/>
                <w:color w:val="auto"/>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门扇厚度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门框槽口高度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w:t>
            </w:r>
            <w:r>
              <w:rPr>
                <w:rFonts w:hint="eastAsia" w:ascii="幼圆" w:hAnsi="幼圆" w:eastAsia="幼圆" w:cs="幼圆"/>
                <w:bCs/>
                <w:color w:val="auto"/>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门框侧壁宽度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w:t>
            </w:r>
            <w:r>
              <w:rPr>
                <w:rFonts w:hint="eastAsia" w:ascii="幼圆" w:hAnsi="幼圆" w:eastAsia="幼圆" w:cs="幼圆"/>
                <w:bCs/>
                <w:color w:val="auto"/>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门框槽口宽度</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w:t>
            </w:r>
            <w:r>
              <w:rPr>
                <w:rFonts w:hint="eastAsia" w:ascii="幼圆" w:hAnsi="幼圆" w:eastAsia="幼圆" w:cs="幼圆"/>
                <w:bCs/>
                <w:color w:val="auto"/>
                <w:sz w:val="24"/>
              </w:rPr>
              <w:t>2</w:t>
            </w:r>
          </w:p>
        </w:tc>
      </w:tr>
    </w:tbl>
    <w:p>
      <w:pPr>
        <w:adjustRightInd w:val="0"/>
        <w:snapToGrid w:val="0"/>
        <w:spacing w:line="440" w:lineRule="exact"/>
        <w:ind w:left="360"/>
        <w:rPr>
          <w:rFonts w:hint="eastAsia" w:ascii="幼圆" w:hAnsi="幼圆" w:eastAsia="幼圆" w:cs="幼圆"/>
          <w:bCs/>
          <w:color w:val="auto"/>
          <w:sz w:val="24"/>
        </w:rPr>
      </w:pPr>
      <w:r>
        <w:rPr>
          <w:rFonts w:hint="eastAsia" w:ascii="幼圆" w:hAnsi="幼圆" w:eastAsia="幼圆" w:cs="幼圆"/>
          <w:color w:val="auto"/>
          <w:sz w:val="24"/>
          <w:lang w:val="en-US" w:eastAsia="zh-CN"/>
        </w:rPr>
        <w:t>3</w:t>
      </w:r>
      <w:r>
        <w:rPr>
          <w:rFonts w:hint="eastAsia" w:ascii="幼圆" w:hAnsi="幼圆" w:eastAsia="幼圆" w:cs="幼圆"/>
          <w:color w:val="auto"/>
          <w:sz w:val="24"/>
        </w:rPr>
        <w:t>.1.3、</w:t>
      </w:r>
      <w:r>
        <w:rPr>
          <w:rFonts w:hint="eastAsia" w:ascii="幼圆" w:hAnsi="幼圆" w:eastAsia="幼圆" w:cs="幼圆"/>
          <w:bCs/>
          <w:color w:val="auto"/>
          <w:sz w:val="24"/>
        </w:rPr>
        <w:t>钢制防火门技术、材质要求：</w:t>
      </w:r>
    </w:p>
    <w:p>
      <w:pPr>
        <w:numPr>
          <w:ilvl w:val="0"/>
          <w:numId w:val="8"/>
        </w:numPr>
        <w:spacing w:line="360" w:lineRule="auto"/>
        <w:ind w:left="440" w:leftChars="200" w:firstLine="480" w:firstLineChars="200"/>
        <w:jc w:val="left"/>
        <w:rPr>
          <w:rFonts w:hint="eastAsia" w:ascii="幼圆" w:hAnsi="幼圆" w:eastAsia="幼圆" w:cs="幼圆"/>
          <w:color w:val="auto"/>
          <w:sz w:val="24"/>
        </w:rPr>
      </w:pPr>
      <w:r>
        <w:rPr>
          <w:rFonts w:hint="eastAsia" w:ascii="幼圆" w:hAnsi="幼圆" w:eastAsia="幼圆" w:cs="幼圆"/>
          <w:color w:val="auto"/>
          <w:sz w:val="24"/>
        </w:rPr>
        <w:t>防火门框、门扇面板应采用性能不低于冷轧薄钢板的钢质材料，冷轧薄钢板应符合GB/T708的规定。</w:t>
      </w:r>
    </w:p>
    <w:p>
      <w:pPr>
        <w:numPr>
          <w:ilvl w:val="0"/>
          <w:numId w:val="8"/>
        </w:numPr>
        <w:spacing w:line="360" w:lineRule="auto"/>
        <w:ind w:left="440" w:leftChars="200" w:firstLine="480" w:firstLineChars="200"/>
        <w:jc w:val="left"/>
        <w:rPr>
          <w:rFonts w:hint="eastAsia" w:ascii="幼圆" w:hAnsi="幼圆" w:eastAsia="幼圆" w:cs="幼圆"/>
          <w:color w:val="auto"/>
          <w:sz w:val="24"/>
        </w:rPr>
      </w:pPr>
      <w:r>
        <w:rPr>
          <w:rFonts w:hint="eastAsia" w:ascii="幼圆" w:hAnsi="幼圆" w:eastAsia="幼圆" w:cs="幼圆"/>
          <w:color w:val="auto"/>
          <w:sz w:val="24"/>
        </w:rPr>
        <w:t>防火门所用加固件可采用性能不低于热轧钢材的钢质材料，热轧钢材应符合GB/T709的规定。</w:t>
      </w:r>
    </w:p>
    <w:p>
      <w:pPr>
        <w:numPr>
          <w:ilvl w:val="0"/>
          <w:numId w:val="8"/>
        </w:numPr>
        <w:spacing w:line="360" w:lineRule="auto"/>
        <w:ind w:left="440" w:leftChars="200" w:firstLine="480" w:firstLineChars="200"/>
        <w:jc w:val="left"/>
        <w:rPr>
          <w:rFonts w:hint="eastAsia" w:ascii="幼圆" w:hAnsi="幼圆" w:eastAsia="幼圆" w:cs="幼圆"/>
          <w:color w:val="auto"/>
          <w:sz w:val="24"/>
        </w:rPr>
      </w:pPr>
      <w:r>
        <w:rPr>
          <w:rFonts w:hint="eastAsia" w:ascii="幼圆" w:hAnsi="幼圆" w:eastAsia="幼圆" w:cs="幼圆"/>
          <w:color w:val="auto"/>
          <w:sz w:val="24"/>
        </w:rPr>
        <w:t>防火门所用钢质材料厚度应符合下表的规定。</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4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部位名称</w:t>
            </w:r>
          </w:p>
        </w:tc>
        <w:tc>
          <w:tcPr>
            <w:tcW w:w="4558" w:type="dxa"/>
            <w:noWrap w:val="0"/>
            <w:vAlign w:val="center"/>
          </w:tcPr>
          <w:p>
            <w:pPr>
              <w:adjustRightInd w:val="0"/>
              <w:snapToGrid w:val="0"/>
              <w:spacing w:before="100" w:after="100" w:line="440" w:lineRule="exact"/>
              <w:jc w:val="center"/>
              <w:outlineLvl w:val="3"/>
              <w:rPr>
                <w:rFonts w:hint="eastAsia" w:ascii="幼圆" w:hAnsi="幼圆" w:eastAsia="幼圆" w:cs="幼圆"/>
                <w:bCs/>
                <w:color w:val="auto"/>
                <w:sz w:val="24"/>
              </w:rPr>
            </w:pPr>
            <w:r>
              <w:rPr>
                <w:rFonts w:hint="eastAsia" w:ascii="幼圆" w:hAnsi="幼圆" w:eastAsia="幼圆" w:cs="幼圆"/>
                <w:bCs/>
                <w:color w:val="auto"/>
                <w:sz w:val="24"/>
              </w:rPr>
              <w:t>材料厚度（mm）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门扇面板</w:t>
            </w:r>
          </w:p>
        </w:tc>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门框板</w:t>
            </w:r>
          </w:p>
        </w:tc>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铰链板</w:t>
            </w:r>
          </w:p>
        </w:tc>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不带螺孔的加固件</w:t>
            </w:r>
          </w:p>
        </w:tc>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带螺孔的加固件</w:t>
            </w:r>
          </w:p>
        </w:tc>
        <w:tc>
          <w:tcPr>
            <w:tcW w:w="4558" w:type="dxa"/>
            <w:noWrap w:val="0"/>
            <w:vAlign w:val="center"/>
          </w:tcPr>
          <w:p>
            <w:pPr>
              <w:widowControl/>
              <w:spacing w:before="100" w:after="100"/>
              <w:jc w:val="center"/>
              <w:rPr>
                <w:rFonts w:hint="eastAsia" w:ascii="幼圆" w:hAnsi="幼圆" w:eastAsia="幼圆" w:cs="幼圆"/>
                <w:bCs/>
                <w:color w:val="auto"/>
                <w:sz w:val="24"/>
              </w:rPr>
            </w:pPr>
            <w:r>
              <w:rPr>
                <w:rFonts w:hint="eastAsia" w:ascii="幼圆" w:hAnsi="幼圆" w:eastAsia="幼圆" w:cs="幼圆"/>
                <w:color w:val="auto"/>
                <w:kern w:val="0"/>
                <w:sz w:val="24"/>
                <w:lang w:bidi="ar"/>
              </w:rPr>
              <w:t>≥3.0</w:t>
            </w:r>
          </w:p>
        </w:tc>
      </w:tr>
    </w:tbl>
    <w:p>
      <w:pPr>
        <w:spacing w:line="360" w:lineRule="auto"/>
        <w:jc w:val="left"/>
        <w:rPr>
          <w:rFonts w:hint="eastAsia" w:ascii="幼圆" w:hAnsi="幼圆" w:eastAsia="幼圆" w:cs="幼圆"/>
          <w:color w:val="auto"/>
          <w:sz w:val="24"/>
        </w:rPr>
      </w:pPr>
      <w:r>
        <w:rPr>
          <w:rFonts w:hint="eastAsia" w:ascii="幼圆" w:hAnsi="幼圆" w:eastAsia="幼圆" w:cs="幼圆"/>
          <w:color w:val="auto"/>
          <w:sz w:val="24"/>
        </w:rPr>
        <w:t xml:space="preserve">   4、防火门所用其他材质材料应对人体无毒无害，应经国家认可授权检测机构检验达到GB/T20285-2006规定产烟毒性危险分级ZA2级要求。防火门所用其他材质材料应经国家认可授权检测机构检验达到GB/T8625-2005第7章规定难燃性要求或GB8624-2006规定燃烧性能A1级要求，其力学性能应达到有关标准的相关规定并满足制作防火门的有关要求。</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防火门所用粘结剂应是对人体无毒无害的产品。且应经国家认可授权检测机构检验达到GB/T20285-2006规定产烟毒性危险分级ZA2级要求。</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填充物：防火门门扇填充的对人体无毒无害的防火隔热材料，应经国家认可授权检测机构检验达到GB8624-2006规定燃烧性能A1级要求和GB/T20285-2006规定产烟毒性危险分级ZA2级要求。</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密封要求：门框设置密封槽,槽内镶嵌耐火阻燃得防火膨胀胶条；防火膨胀胶条膨胀性能：在升温100℃膨胀扩大2-3倍。耐温性：温升至980℃时,不燃烧、不灰化、耐酸、碱、水性；浸泡72h以上，无溶蚀、无溶胀，重量变化率小于6%。提供国家相关部门颁发得检测合格报告；</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门安装的门锁应是防火锁。在门扇的有锁芯机构处，防火锁均应有执手或推杠机构，不允许以圆形或球形旋钮代替执手(特殊部位使用除外，如管道井门等)。防火锁应经国家认可授权检测机构检验合格，其耐火性能应符合附录A的规定。</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防火门用合页(铰链)板厚应不少于3mm，其耐火性能应符合附录B的规定。</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门应安装防火门闭门器，或设置让常开防火门在火灾发生时能自动关闭门扇的闭门装置(特殊部位使用除外，如管道井门等)。防火门闭门器应经国家认可授权检测机构检验合格，其性能应符合GA93的规定。自动关闭门扇的闭门装置，应经国家认可授权检测机构检验合格。</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双扇、多扇防火门设置盖缝板或止口的应安装顺序器（特殊部位使用除外），其耐火性能应符合附录C的规定。</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采用钢质防火插销，应安装在双扇防火门或多扇防火门的相对固定一侧的门扇上（若有要求时），其耐火性能应符合附录D的规定。</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平口或止口结构的双扇防火门宜设盖缝板。盖缝板与门扇连接应牢固。盖缝板不应妨碍门扇的正常启闭。</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防火门门框与门扇、门扇与门扇的缝隙处应嵌装防火密封件。</w:t>
      </w:r>
    </w:p>
    <w:p>
      <w:pPr>
        <w:numPr>
          <w:ilvl w:val="0"/>
          <w:numId w:val="9"/>
        </w:numPr>
        <w:spacing w:line="360" w:lineRule="auto"/>
        <w:ind w:left="0" w:leftChars="0" w:firstLine="400" w:firstLineChars="0"/>
        <w:jc w:val="left"/>
        <w:rPr>
          <w:rFonts w:hint="eastAsia" w:ascii="幼圆" w:hAnsi="幼圆" w:eastAsia="幼圆" w:cs="幼圆"/>
          <w:color w:val="auto"/>
          <w:sz w:val="24"/>
        </w:rPr>
      </w:pPr>
      <w:r>
        <w:rPr>
          <w:rFonts w:hint="eastAsia" w:ascii="幼圆" w:hAnsi="幼圆" w:eastAsia="幼圆" w:cs="幼圆"/>
          <w:color w:val="auto"/>
          <w:sz w:val="24"/>
        </w:rPr>
        <w:t>防火密封件应经国家认可授权检测机构检验合格，其性能应符合GB16807的规定。</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w:t>
      </w:r>
      <w:r>
        <w:rPr>
          <w:rFonts w:hint="eastAsia" w:ascii="幼圆" w:hAnsi="幼圆" w:eastAsia="幼圆" w:cs="幼圆"/>
          <w:color w:val="auto"/>
          <w:kern w:val="0"/>
          <w:sz w:val="24"/>
          <w:lang w:val="en-US" w:eastAsia="zh-CN"/>
        </w:rPr>
        <w:t>4</w:t>
      </w:r>
      <w:r>
        <w:rPr>
          <w:rFonts w:hint="eastAsia" w:ascii="幼圆" w:hAnsi="幼圆" w:eastAsia="幼圆" w:cs="幼圆"/>
          <w:color w:val="auto"/>
          <w:kern w:val="0"/>
          <w:sz w:val="24"/>
        </w:rPr>
        <w:t>、产品在出厂前，用塑料薄膜袋包装好同时在四角厚纸皮包装；最后整体外罩厚纸皮包装。</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w:t>
      </w:r>
      <w:r>
        <w:rPr>
          <w:rFonts w:hint="eastAsia" w:ascii="幼圆" w:hAnsi="幼圆" w:eastAsia="幼圆" w:cs="幼圆"/>
          <w:color w:val="auto"/>
          <w:kern w:val="0"/>
          <w:sz w:val="24"/>
          <w:lang w:val="en-US" w:eastAsia="zh-CN"/>
        </w:rPr>
        <w:t>5</w:t>
      </w:r>
      <w:r>
        <w:rPr>
          <w:rFonts w:hint="eastAsia" w:ascii="幼圆" w:hAnsi="幼圆" w:eastAsia="幼圆" w:cs="幼圆"/>
          <w:color w:val="auto"/>
          <w:kern w:val="0"/>
          <w:sz w:val="24"/>
        </w:rPr>
        <w:t>、门框采用3mm厚泡膜纸包裹贴透明胶带保护（现场），并采用厚纸将门框四周包住。</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w:t>
      </w:r>
      <w:r>
        <w:rPr>
          <w:rFonts w:hint="eastAsia" w:ascii="幼圆" w:hAnsi="幼圆" w:eastAsia="幼圆" w:cs="幼圆"/>
          <w:color w:val="auto"/>
          <w:kern w:val="0"/>
          <w:sz w:val="24"/>
          <w:lang w:val="en-US" w:eastAsia="zh-CN"/>
        </w:rPr>
        <w:t>6</w:t>
      </w:r>
      <w:r>
        <w:rPr>
          <w:rFonts w:hint="eastAsia" w:ascii="幼圆" w:hAnsi="幼圆" w:eastAsia="幼圆" w:cs="幼圆"/>
          <w:color w:val="auto"/>
          <w:kern w:val="0"/>
          <w:sz w:val="24"/>
        </w:rPr>
        <w:t>、防火门单位需现场测量和复核所有洞口尺寸，如与防火门计划不一致，需要求甲方或总包方及时调整。</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.1.</w:t>
      </w:r>
      <w:r>
        <w:rPr>
          <w:rFonts w:hint="eastAsia" w:ascii="幼圆" w:hAnsi="幼圆" w:eastAsia="幼圆" w:cs="幼圆"/>
          <w:color w:val="auto"/>
          <w:kern w:val="0"/>
          <w:sz w:val="24"/>
          <w:lang w:val="en-US" w:eastAsia="zh-CN"/>
        </w:rPr>
        <w:t>7</w:t>
      </w:r>
      <w:r>
        <w:rPr>
          <w:rFonts w:hint="eastAsia" w:ascii="幼圆" w:hAnsi="幼圆" w:eastAsia="幼圆" w:cs="幼圆"/>
          <w:color w:val="auto"/>
          <w:kern w:val="0"/>
          <w:sz w:val="24"/>
        </w:rPr>
        <w:t>、现场洞口宽度尺寸比设计宽度尺寸偏大建议处理方式：（1）误差在5CM之内，要求防火门单位安装采用加长螺栓。（2）误差大于或等于5CM，总包单位必须采用细石混凝土边框。（3）有门套的防火门需在墙砖或者墙面腻子完成后安装。</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.2 防火门质量检查</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.2.1、关闭严密，开关灵活，无阻滞，回弹，无形变和倒翘；隔音门密封性好；钢质防火门自动关闭灵敏。</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.2.2、防火门与墙体间缝隙填充饱满、嵌填材料符合设计要求。</w:t>
      </w:r>
    </w:p>
    <w:p>
      <w:pPr>
        <w:spacing w:line="360" w:lineRule="auto"/>
        <w:ind w:firstLine="480" w:firstLineChars="200"/>
        <w:rPr>
          <w:rFonts w:hint="eastAsia" w:ascii="幼圆" w:hAnsi="幼圆" w:eastAsia="幼圆" w:cs="幼圆"/>
          <w:color w:val="auto"/>
          <w:kern w:val="0"/>
          <w:sz w:val="24"/>
        </w:rPr>
      </w:pPr>
      <w:r>
        <w:rPr>
          <w:rFonts w:hint="eastAsia" w:ascii="幼圆" w:hAnsi="幼圆" w:eastAsia="幼圆" w:cs="幼圆"/>
          <w:color w:val="auto"/>
          <w:kern w:val="0"/>
          <w:sz w:val="24"/>
          <w:lang w:val="en-US" w:eastAsia="zh-CN"/>
        </w:rPr>
        <w:t>3</w:t>
      </w:r>
      <w:r>
        <w:rPr>
          <w:rFonts w:hint="eastAsia" w:ascii="幼圆" w:hAnsi="幼圆" w:eastAsia="幼圆" w:cs="幼圆"/>
          <w:color w:val="auto"/>
          <w:kern w:val="0"/>
          <w:sz w:val="24"/>
        </w:rPr>
        <w:t>.2.3、防火门表面平整、洁净、无划痕、无麻点、凹坑、无锈蚀</w:t>
      </w:r>
    </w:p>
    <w:p>
      <w:pPr>
        <w:numPr>
          <w:ilvl w:val="0"/>
          <w:numId w:val="0"/>
        </w:numPr>
        <w:spacing w:line="240" w:lineRule="auto"/>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五、质保期</w:t>
      </w:r>
    </w:p>
    <w:p>
      <w:pPr>
        <w:pStyle w:val="173"/>
        <w:numPr>
          <w:ilvl w:val="0"/>
          <w:numId w:val="0"/>
        </w:numPr>
        <w:spacing w:line="360" w:lineRule="auto"/>
        <w:rPr>
          <w:rFonts w:hint="eastAsia" w:ascii="幼圆" w:hAnsi="幼圆" w:eastAsia="幼圆" w:cs="幼圆"/>
          <w:color w:val="auto"/>
          <w:sz w:val="24"/>
          <w:lang w:val="en-US" w:eastAsia="zh-CN"/>
        </w:rPr>
      </w:pPr>
      <w:r>
        <w:rPr>
          <w:rFonts w:hint="default" w:ascii="幼圆" w:hAnsi="幼圆" w:eastAsia="幼圆" w:cs="幼圆"/>
          <w:color w:val="auto"/>
          <w:sz w:val="24"/>
          <w:lang w:val="en-US" w:eastAsia="zh-CN"/>
        </w:rPr>
        <w:t>维修整体质保</w:t>
      </w:r>
      <w:r>
        <w:rPr>
          <w:rFonts w:hint="eastAsia" w:ascii="幼圆" w:hAnsi="幼圆" w:eastAsia="幼圆" w:cs="幼圆"/>
          <w:color w:val="auto"/>
          <w:sz w:val="24"/>
          <w:lang w:val="en-US" w:eastAsia="zh-CN"/>
        </w:rPr>
        <w:t>24</w:t>
      </w:r>
      <w:r>
        <w:rPr>
          <w:rFonts w:hint="default" w:ascii="幼圆" w:hAnsi="幼圆" w:eastAsia="幼圆" w:cs="幼圆"/>
          <w:color w:val="auto"/>
          <w:sz w:val="24"/>
          <w:lang w:val="en-US" w:eastAsia="zh-CN"/>
        </w:rPr>
        <w:t>个月，质保期内同类故障免费上门返修、免费更换配件。</w:t>
      </w:r>
      <w:r>
        <w:rPr>
          <w:rFonts w:hint="eastAsia" w:ascii="幼圆" w:hAnsi="幼圆" w:eastAsia="幼圆" w:cs="幼圆"/>
          <w:b/>
          <w:bCs/>
          <w:color w:val="FF0000"/>
          <w:sz w:val="21"/>
          <w:szCs w:val="20"/>
          <w:lang w:val="en-US" w:eastAsia="zh-CN"/>
        </w:rPr>
        <w:t>（*必须响应，废标项）</w:t>
      </w:r>
    </w:p>
    <w:p>
      <w:pPr>
        <w:numPr>
          <w:ilvl w:val="0"/>
          <w:numId w:val="0"/>
        </w:numPr>
        <w:spacing w:line="240" w:lineRule="auto"/>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六、防火门维修清单</w:t>
      </w:r>
    </w:p>
    <w:tbl>
      <w:tblPr>
        <w:tblStyle w:val="37"/>
        <w:tblpPr w:leftFromText="180" w:rightFromText="180" w:vertAnchor="text" w:horzAnchor="page" w:tblpX="961" w:tblpY="469"/>
        <w:tblOverlap w:val="never"/>
        <w:tblW w:w="102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5"/>
        <w:gridCol w:w="800"/>
        <w:gridCol w:w="737"/>
        <w:gridCol w:w="1850"/>
        <w:gridCol w:w="2600"/>
        <w:gridCol w:w="1263"/>
        <w:gridCol w:w="1087"/>
        <w:gridCol w:w="1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27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i w:val="0"/>
                <w:iCs w:val="0"/>
                <w:color w:val="000000"/>
                <w:sz w:val="36"/>
                <w:szCs w:val="36"/>
                <w:u w:val="none"/>
              </w:rPr>
            </w:pPr>
            <w:r>
              <w:rPr>
                <w:rFonts w:hint="eastAsia" w:ascii="幼圆" w:hAnsi="幼圆" w:eastAsia="幼圆" w:cs="幼圆"/>
                <w:i w:val="0"/>
                <w:iCs w:val="0"/>
                <w:color w:val="000000"/>
                <w:kern w:val="0"/>
                <w:sz w:val="36"/>
                <w:szCs w:val="36"/>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5238750</wp:posOffset>
                  </wp:positionH>
                  <wp:positionV relativeFrom="paragraph">
                    <wp:posOffset>352425</wp:posOffset>
                  </wp:positionV>
                  <wp:extent cx="114300" cy="0"/>
                  <wp:effectExtent l="0" t="0" r="0" b="0"/>
                  <wp:wrapNone/>
                  <wp:docPr id="1" name="文本框_1"/>
                  <wp:cNvGraphicFramePr/>
                  <a:graphic xmlns:a="http://schemas.openxmlformats.org/drawingml/2006/main">
                    <a:graphicData uri="http://schemas.openxmlformats.org/drawingml/2006/picture">
                      <pic:pic xmlns:pic="http://schemas.openxmlformats.org/drawingml/2006/picture">
                        <pic:nvPicPr>
                          <pic:cNvPr id="1" name="文本框_1"/>
                          <pic:cNvPicPr/>
                        </pic:nvPicPr>
                        <pic:blipFill>
                          <a:blip r:embed="rId6"/>
                          <a:stretch>
                            <a:fillRect/>
                          </a:stretch>
                        </pic:blipFill>
                        <pic:spPr>
                          <a:xfrm>
                            <a:off x="0" y="0"/>
                            <a:ext cx="114300" cy="0"/>
                          </a:xfrm>
                          <a:prstGeom prst="rect">
                            <a:avLst/>
                          </a:prstGeom>
                          <a:noFill/>
                          <a:ln>
                            <a:noFill/>
                          </a:ln>
                        </pic:spPr>
                      </pic:pic>
                    </a:graphicData>
                  </a:graphic>
                </wp:anchor>
              </w:drawing>
            </w:r>
            <w:r>
              <w:rPr>
                <w:rFonts w:hint="eastAsia" w:ascii="幼圆" w:hAnsi="幼圆" w:eastAsia="幼圆" w:cs="幼圆"/>
                <w:i w:val="0"/>
                <w:iCs w:val="0"/>
                <w:color w:val="000000"/>
                <w:kern w:val="0"/>
                <w:sz w:val="36"/>
                <w:szCs w:val="36"/>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5238750</wp:posOffset>
                  </wp:positionH>
                  <wp:positionV relativeFrom="paragraph">
                    <wp:posOffset>352425</wp:posOffset>
                  </wp:positionV>
                  <wp:extent cx="114300" cy="0"/>
                  <wp:effectExtent l="0" t="0" r="0" b="0"/>
                  <wp:wrapNone/>
                  <wp:docPr id="2" name="文本框_2"/>
                  <wp:cNvGraphicFramePr/>
                  <a:graphic xmlns:a="http://schemas.openxmlformats.org/drawingml/2006/main">
                    <a:graphicData uri="http://schemas.openxmlformats.org/drawingml/2006/picture">
                      <pic:pic xmlns:pic="http://schemas.openxmlformats.org/drawingml/2006/picture">
                        <pic:nvPicPr>
                          <pic:cNvPr id="2" name="文本框_2"/>
                          <pic:cNvPicPr/>
                        </pic:nvPicPr>
                        <pic:blipFill>
                          <a:blip r:embed="rId7"/>
                          <a:stretch>
                            <a:fillRect/>
                          </a:stretch>
                        </pic:blipFill>
                        <pic:spPr>
                          <a:xfrm>
                            <a:off x="0" y="0"/>
                            <a:ext cx="114300" cy="0"/>
                          </a:xfrm>
                          <a:prstGeom prst="rect">
                            <a:avLst/>
                          </a:prstGeom>
                          <a:noFill/>
                          <a:ln>
                            <a:noFill/>
                          </a:ln>
                        </pic:spPr>
                      </pic:pic>
                    </a:graphicData>
                  </a:graphic>
                </wp:anchor>
              </w:drawing>
            </w:r>
            <w:r>
              <w:rPr>
                <w:rFonts w:hint="eastAsia" w:ascii="幼圆" w:hAnsi="幼圆" w:eastAsia="幼圆" w:cs="幼圆"/>
                <w:i w:val="0"/>
                <w:iCs w:val="0"/>
                <w:color w:val="000000"/>
                <w:kern w:val="0"/>
                <w:sz w:val="36"/>
                <w:szCs w:val="36"/>
                <w:u w:val="none"/>
                <w:lang w:val="en-US" w:eastAsia="zh-CN" w:bidi="ar"/>
              </w:rPr>
              <w:t>防火门异常情况统计表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序号</w:t>
            </w:r>
          </w:p>
        </w:tc>
        <w:tc>
          <w:tcPr>
            <w:tcW w:w="8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楼号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楼层</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管理部门</w:t>
            </w:r>
            <w:r>
              <w:rPr>
                <w:rFonts w:hint="eastAsia" w:ascii="幼圆" w:hAnsi="幼圆" w:eastAsia="幼圆" w:cs="幼圆"/>
                <w:kern w:val="2"/>
                <w:sz w:val="24"/>
                <w:szCs w:val="24"/>
                <w:lang w:val="en-US" w:eastAsia="zh-CN" w:bidi="ar-SA"/>
              </w:rPr>
              <w:br w:type="textWrapping"/>
            </w:r>
            <w:r>
              <w:rPr>
                <w:rFonts w:hint="eastAsia" w:ascii="幼圆" w:hAnsi="幼圆" w:eastAsia="幼圆" w:cs="幼圆"/>
                <w:kern w:val="2"/>
                <w:sz w:val="24"/>
                <w:szCs w:val="24"/>
                <w:lang w:val="en-US" w:eastAsia="zh-CN" w:bidi="ar-SA"/>
              </w:rPr>
              <w:t>具体位置</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状况</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防火门</w:t>
            </w:r>
            <w:r>
              <w:rPr>
                <w:rFonts w:hint="eastAsia" w:ascii="幼圆" w:hAnsi="幼圆" w:eastAsia="幼圆" w:cs="幼圆"/>
                <w:kern w:val="2"/>
                <w:sz w:val="24"/>
                <w:szCs w:val="24"/>
                <w:lang w:val="en-US" w:eastAsia="zh-CN" w:bidi="ar-SA"/>
              </w:rPr>
              <w:br w:type="textWrapping"/>
            </w:r>
            <w:r>
              <w:rPr>
                <w:rFonts w:hint="eastAsia" w:ascii="幼圆" w:hAnsi="幼圆" w:eastAsia="幼圆" w:cs="幼圆"/>
                <w:kern w:val="2"/>
                <w:sz w:val="24"/>
                <w:szCs w:val="24"/>
                <w:lang w:val="en-US" w:eastAsia="zh-CN" w:bidi="ar-SA"/>
              </w:rPr>
              <w:t>数量</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规格</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14层西侧平台</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14层西侧步行梯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11号污物电梯厅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门把手、闭门器、释放器等损坏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9、10号货梯厅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5</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10</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11号污物电梯厅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10</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9、10货梯厅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闭门器、顺序器、释放器等损坏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7</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11号污物电梯厅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门体损坏变形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8</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8</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9、10货梯厅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门把手损坏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5</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11</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5号步行梯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内门释放器、合页等损坏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外门门体变形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13</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输血科旁</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外门门体变形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2421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闭门器、顺序器、释放器等损坏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外门门把手、锁体、合页等损坏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6号步行梯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外门门体变形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17</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4号步行梯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r>
              <w:rPr>
                <w:rFonts w:hint="eastAsia" w:ascii="幼圆" w:hAnsi="幼圆" w:eastAsia="幼圆" w:cs="幼圆"/>
                <w:kern w:val="2"/>
                <w:sz w:val="24"/>
                <w:szCs w:val="24"/>
                <w:lang w:val="en-US" w:eastAsia="zh-CN" w:bidi="ar-SA"/>
              </w:rPr>
              <w:br w:type="textWrapping"/>
            </w:r>
            <w:r>
              <w:rPr>
                <w:rFonts w:hint="eastAsia" w:ascii="幼圆" w:hAnsi="幼圆" w:eastAsia="幼圆" w:cs="幼圆"/>
                <w:kern w:val="2"/>
                <w:sz w:val="24"/>
                <w:szCs w:val="24"/>
                <w:lang w:val="en-US" w:eastAsia="zh-CN" w:bidi="ar-SA"/>
              </w:rPr>
              <w:t>内门闭门器损坏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18</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员工通道旁</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19</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9、10号货梯厅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11号污物电梯厅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21</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8"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外门把手损坏、门体变形</w:t>
            </w:r>
            <w:r>
              <w:rPr>
                <w:rFonts w:hint="eastAsia" w:ascii="幼圆" w:hAnsi="幼圆" w:eastAsia="幼圆" w:cs="幼圆"/>
                <w:kern w:val="2"/>
                <w:sz w:val="24"/>
                <w:szCs w:val="24"/>
                <w:lang w:val="en-US" w:eastAsia="zh-CN" w:bidi="ar-SA"/>
              </w:rPr>
              <w:br w:type="textWrapping"/>
            </w:r>
            <w:r>
              <w:rPr>
                <w:rFonts w:hint="eastAsia" w:ascii="幼圆" w:hAnsi="幼圆" w:eastAsia="幼圆" w:cs="幼圆"/>
                <w:kern w:val="2"/>
                <w:sz w:val="24"/>
                <w:szCs w:val="24"/>
                <w:lang w:val="en-US" w:eastAsia="zh-CN" w:bidi="ar-SA"/>
              </w:rPr>
              <w:t>内门把手损坏、门体变形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23</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1号步行梯对面</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2121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25</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4号步行梯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27</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往生室门前</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1424</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28</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护工办公室门前</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1424</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29</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安检通往电梯厅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1424</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门把手、合页等损坏</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维修处理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31</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5号步行梯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内、外门体变形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1521/1424</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B2</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4号步行梯</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33</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9</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东侧步行梯与电梯厅</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东侧大厅出口</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35</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6#</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南侧、西侧</w:t>
            </w: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门体变形</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2</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1521</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36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合计</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幼圆" w:hAnsi="幼圆" w:eastAsia="幼圆" w:cs="幼圆"/>
                <w:kern w:val="2"/>
                <w:sz w:val="24"/>
                <w:szCs w:val="24"/>
                <w:lang w:val="en-US" w:eastAsia="zh-CN" w:bidi="ar-SA"/>
              </w:rPr>
            </w:pP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幼圆" w:hAnsi="幼圆" w:eastAsia="幼圆" w:cs="幼圆"/>
                <w:kern w:val="2"/>
                <w:sz w:val="24"/>
                <w:szCs w:val="24"/>
                <w:lang w:val="en-US" w:eastAsia="zh-CN" w:bidi="ar-SA"/>
              </w:rPr>
            </w:pPr>
          </w:p>
        </w:tc>
        <w:tc>
          <w:tcPr>
            <w:tcW w:w="2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幼圆" w:hAnsi="幼圆" w:eastAsia="幼圆" w:cs="幼圆"/>
                <w:kern w:val="2"/>
                <w:sz w:val="24"/>
                <w:szCs w:val="24"/>
                <w:lang w:val="en-US" w:eastAsia="zh-CN" w:bidi="ar-SA"/>
              </w:rPr>
            </w:pP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幼圆" w:hAnsi="幼圆" w:eastAsia="幼圆" w:cs="幼圆"/>
                <w:kern w:val="2"/>
                <w:sz w:val="24"/>
                <w:szCs w:val="24"/>
                <w:lang w:val="en-US" w:eastAsia="zh-CN" w:bidi="ar-SA"/>
              </w:rPr>
            </w:pPr>
            <w:r>
              <w:rPr>
                <w:rFonts w:hint="eastAsia" w:ascii="幼圆" w:hAnsi="幼圆" w:eastAsia="幼圆" w:cs="幼圆"/>
                <w:kern w:val="2"/>
                <w:sz w:val="24"/>
                <w:szCs w:val="24"/>
                <w:lang w:val="en-US" w:eastAsia="zh-CN" w:bidi="ar-SA"/>
              </w:rPr>
              <w:t>46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幼圆" w:hAnsi="幼圆" w:eastAsia="幼圆" w:cs="幼圆"/>
                <w:kern w:val="2"/>
                <w:sz w:val="24"/>
                <w:szCs w:val="24"/>
                <w:lang w:val="en-US" w:eastAsia="zh-CN" w:bidi="ar-SA"/>
              </w:rPr>
            </w:pP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幼圆" w:hAnsi="幼圆" w:eastAsia="幼圆" w:cs="幼圆"/>
                <w:kern w:val="2"/>
                <w:sz w:val="24"/>
                <w:szCs w:val="24"/>
                <w:lang w:val="en-US" w:eastAsia="zh-CN" w:bidi="ar-SA"/>
              </w:rPr>
            </w:pPr>
          </w:p>
        </w:tc>
      </w:tr>
    </w:tbl>
    <w:p>
      <w:pPr>
        <w:spacing w:line="360" w:lineRule="auto"/>
        <w:rPr>
          <w:rFonts w:hint="eastAsia" w:ascii="幼圆" w:hAnsi="幼圆" w:eastAsia="幼圆" w:cs="幼圆"/>
          <w:color w:val="auto"/>
          <w:kern w:val="2"/>
          <w:sz w:val="24"/>
          <w:szCs w:val="24"/>
          <w:lang w:val="en-US" w:eastAsia="zh-CN" w:bidi="ar-SA"/>
        </w:rPr>
      </w:pPr>
    </w:p>
    <w:p>
      <w:pPr>
        <w:numPr>
          <w:ilvl w:val="0"/>
          <w:numId w:val="0"/>
        </w:numPr>
        <w:spacing w:line="240" w:lineRule="auto"/>
        <w:rPr>
          <w:rFonts w:hint="eastAsia" w:ascii="幼圆" w:hAnsi="幼圆" w:eastAsia="幼圆" w:cs="幼圆"/>
          <w:b/>
          <w:bCs w:val="0"/>
          <w:snapToGrid w:val="0"/>
          <w:kern w:val="21"/>
          <w:sz w:val="28"/>
          <w:szCs w:val="28"/>
          <w:lang w:val="en-US" w:eastAsia="zh-CN"/>
        </w:rPr>
      </w:pPr>
      <w:r>
        <w:rPr>
          <w:rFonts w:hint="eastAsia" w:ascii="幼圆" w:hAnsi="幼圆" w:eastAsia="幼圆" w:cs="幼圆"/>
          <w:b/>
          <w:bCs w:val="0"/>
          <w:snapToGrid w:val="0"/>
          <w:kern w:val="21"/>
          <w:sz w:val="28"/>
          <w:szCs w:val="28"/>
          <w:lang w:val="en-US" w:eastAsia="zh-CN"/>
        </w:rPr>
        <w:t>七、作业安全要求</w:t>
      </w:r>
    </w:p>
    <w:p>
      <w:pPr>
        <w:pStyle w:val="173"/>
        <w:spacing w:line="360" w:lineRule="auto"/>
        <w:rPr>
          <w:rFonts w:hint="eastAsia" w:ascii="幼圆" w:hAnsi="幼圆" w:eastAsia="幼圆" w:cs="幼圆"/>
          <w:color w:val="auto"/>
          <w:sz w:val="24"/>
        </w:rPr>
      </w:pPr>
      <w:r>
        <w:rPr>
          <w:rFonts w:hint="eastAsia" w:ascii="幼圆" w:hAnsi="幼圆" w:eastAsia="幼圆" w:cs="幼圆"/>
          <w:color w:val="auto"/>
          <w:sz w:val="24"/>
        </w:rPr>
        <w:t>1、</w:t>
      </w:r>
      <w:r>
        <w:rPr>
          <w:rFonts w:hint="eastAsia" w:ascii="幼圆" w:hAnsi="幼圆" w:eastAsia="幼圆" w:cs="幼圆"/>
          <w:color w:val="auto"/>
          <w:sz w:val="24"/>
          <w:lang w:eastAsia="zh-CN"/>
        </w:rPr>
        <w:t>作业</w:t>
      </w:r>
      <w:r>
        <w:rPr>
          <w:rFonts w:hint="eastAsia" w:ascii="幼圆" w:hAnsi="幼圆" w:eastAsia="幼圆" w:cs="幼圆"/>
          <w:color w:val="auto"/>
          <w:sz w:val="24"/>
        </w:rPr>
        <w:t>厂商按照我院工程师要求进行</w:t>
      </w:r>
      <w:r>
        <w:rPr>
          <w:rFonts w:hint="eastAsia" w:ascii="幼圆" w:hAnsi="幼圆" w:eastAsia="幼圆" w:cs="幼圆"/>
          <w:color w:val="auto"/>
          <w:sz w:val="24"/>
          <w:lang w:eastAsia="zh-CN"/>
        </w:rPr>
        <w:t>更换</w:t>
      </w:r>
      <w:r>
        <w:rPr>
          <w:rFonts w:hint="eastAsia" w:ascii="幼圆" w:hAnsi="幼圆" w:eastAsia="幼圆" w:cs="幼圆"/>
          <w:color w:val="auto"/>
          <w:sz w:val="24"/>
        </w:rPr>
        <w:t>作业。</w:t>
      </w:r>
    </w:p>
    <w:p>
      <w:pPr>
        <w:pStyle w:val="173"/>
        <w:spacing w:line="360" w:lineRule="auto"/>
        <w:rPr>
          <w:rFonts w:hint="eastAsia" w:ascii="幼圆" w:hAnsi="幼圆" w:eastAsia="幼圆" w:cs="幼圆"/>
          <w:color w:val="auto"/>
          <w:sz w:val="24"/>
        </w:rPr>
      </w:pPr>
      <w:r>
        <w:rPr>
          <w:rFonts w:hint="eastAsia" w:ascii="幼圆" w:hAnsi="幼圆" w:eastAsia="幼圆" w:cs="幼圆"/>
          <w:color w:val="auto"/>
          <w:sz w:val="24"/>
        </w:rPr>
        <w:t>2、</w:t>
      </w:r>
      <w:r>
        <w:rPr>
          <w:rFonts w:hint="eastAsia" w:ascii="幼圆" w:hAnsi="幼圆" w:eastAsia="幼圆" w:cs="幼圆"/>
          <w:color w:val="auto"/>
          <w:sz w:val="24"/>
          <w:lang w:eastAsia="zh-CN"/>
        </w:rPr>
        <w:t>作业</w:t>
      </w:r>
      <w:r>
        <w:rPr>
          <w:rFonts w:hint="eastAsia" w:ascii="幼圆" w:hAnsi="幼圆" w:eastAsia="幼圆" w:cs="幼圆"/>
          <w:color w:val="auto"/>
          <w:sz w:val="24"/>
        </w:rPr>
        <w:t>中依照规程及操作方法进行，不可违章作业。</w:t>
      </w:r>
    </w:p>
    <w:p>
      <w:pPr>
        <w:pStyle w:val="173"/>
        <w:spacing w:line="360" w:lineRule="auto"/>
        <w:rPr>
          <w:rFonts w:hint="eastAsia" w:ascii="幼圆" w:hAnsi="幼圆" w:eastAsia="幼圆" w:cs="幼圆"/>
          <w:color w:val="auto"/>
          <w:sz w:val="24"/>
        </w:rPr>
      </w:pPr>
      <w:r>
        <w:rPr>
          <w:rFonts w:hint="eastAsia" w:ascii="幼圆" w:hAnsi="幼圆" w:eastAsia="幼圆" w:cs="幼圆"/>
          <w:color w:val="auto"/>
          <w:sz w:val="24"/>
        </w:rPr>
        <w:t>3、作业人员持有相关的</w:t>
      </w:r>
      <w:r>
        <w:rPr>
          <w:rFonts w:hint="eastAsia" w:ascii="幼圆" w:hAnsi="幼圆" w:eastAsia="幼圆" w:cs="幼圆"/>
          <w:color w:val="auto"/>
          <w:sz w:val="24"/>
          <w:lang w:eastAsia="zh-CN"/>
        </w:rPr>
        <w:t>工作</w:t>
      </w:r>
      <w:r>
        <w:rPr>
          <w:rFonts w:hint="eastAsia" w:ascii="幼圆" w:hAnsi="幼圆" w:eastAsia="幼圆" w:cs="幼圆"/>
          <w:color w:val="auto"/>
          <w:sz w:val="24"/>
        </w:rPr>
        <w:t>证照，并配合我院工程师检查。</w:t>
      </w:r>
    </w:p>
    <w:p>
      <w:pPr>
        <w:pStyle w:val="173"/>
        <w:spacing w:line="360" w:lineRule="auto"/>
        <w:rPr>
          <w:rFonts w:hint="eastAsia" w:ascii="幼圆" w:hAnsi="幼圆" w:eastAsia="幼圆" w:cs="幼圆"/>
          <w:color w:val="auto"/>
          <w:sz w:val="24"/>
        </w:rPr>
      </w:pPr>
      <w:r>
        <w:rPr>
          <w:rFonts w:hint="eastAsia" w:ascii="幼圆" w:hAnsi="幼圆" w:eastAsia="幼圆" w:cs="幼圆"/>
          <w:color w:val="auto"/>
          <w:sz w:val="24"/>
        </w:rPr>
        <w:t>4、作业中，如有因操作不当引起设备损坏，</w:t>
      </w:r>
      <w:r>
        <w:rPr>
          <w:rFonts w:hint="eastAsia" w:ascii="幼圆" w:hAnsi="幼圆" w:eastAsia="幼圆" w:cs="幼圆"/>
          <w:color w:val="auto"/>
          <w:sz w:val="24"/>
          <w:lang w:eastAsia="zh-CN"/>
        </w:rPr>
        <w:t>需</w:t>
      </w:r>
      <w:r>
        <w:rPr>
          <w:rFonts w:hint="eastAsia" w:ascii="幼圆" w:hAnsi="幼圆" w:eastAsia="幼圆" w:cs="幼圆"/>
          <w:color w:val="auto"/>
          <w:sz w:val="24"/>
        </w:rPr>
        <w:t>进行免费</w:t>
      </w:r>
      <w:r>
        <w:rPr>
          <w:rFonts w:hint="eastAsia" w:ascii="幼圆" w:hAnsi="幼圆" w:eastAsia="幼圆" w:cs="幼圆"/>
          <w:color w:val="auto"/>
          <w:sz w:val="24"/>
          <w:lang w:eastAsia="zh-CN"/>
        </w:rPr>
        <w:t>维修</w:t>
      </w:r>
      <w:r>
        <w:rPr>
          <w:rFonts w:hint="eastAsia" w:ascii="幼圆" w:hAnsi="幼圆" w:eastAsia="幼圆" w:cs="幼圆"/>
          <w:color w:val="auto"/>
          <w:sz w:val="24"/>
        </w:rPr>
        <w:t>更换。</w:t>
      </w:r>
    </w:p>
    <w:p>
      <w:pPr>
        <w:numPr>
          <w:ilvl w:val="0"/>
          <w:numId w:val="0"/>
        </w:numPr>
        <w:spacing w:line="240" w:lineRule="auto"/>
        <w:jc w:val="left"/>
        <w:rPr>
          <w:rFonts w:hint="eastAsia" w:ascii="幼圆" w:hAnsi="幼圆" w:eastAsia="幼圆" w:cs="幼圆"/>
          <w:lang w:val="en-US" w:eastAsia="zh-CN"/>
        </w:rPr>
      </w:pPr>
    </w:p>
    <w:p>
      <w:pPr>
        <w:pStyle w:val="36"/>
        <w:rPr>
          <w:rFonts w:hint="eastAsia" w:ascii="幼圆" w:hAnsi="幼圆" w:eastAsia="幼圆" w:cs="幼圆"/>
          <w:lang w:val="en-US" w:eastAsia="zh-CN"/>
        </w:rPr>
      </w:pPr>
    </w:p>
    <w:p>
      <w:pPr>
        <w:keepNext w:val="0"/>
        <w:keepLines w:val="0"/>
        <w:pageBreakBefore w:val="0"/>
        <w:widowControl/>
        <w:numPr>
          <w:ilvl w:val="0"/>
          <w:numId w:val="0"/>
        </w:numPr>
        <w:kinsoku w:val="0"/>
        <w:wordWrap/>
        <w:overflowPunct w:val="0"/>
        <w:topLinePunct w:val="0"/>
        <w:autoSpaceDE w:val="0"/>
        <w:autoSpaceDN w:val="0"/>
        <w:bidi w:val="0"/>
        <w:adjustRightInd w:val="0"/>
        <w:spacing w:after="0" w:line="24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八、评标方法和评审标准</w:t>
      </w:r>
      <w:bookmarkEnd w:id="0"/>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1.评标方法</w:t>
      </w:r>
    </w:p>
    <w:p>
      <w:pPr>
        <w:pStyle w:val="22"/>
        <w:spacing w:line="240" w:lineRule="auto"/>
        <w:ind w:firstLine="440" w:firstLineChars="200"/>
        <w:rPr>
          <w:rFonts w:hint="eastAsia" w:ascii="幼圆" w:hAnsi="幼圆" w:eastAsia="幼圆" w:cs="幼圆"/>
          <w:lang w:val="en-US" w:eastAsia="zh-CN"/>
        </w:rPr>
      </w:pPr>
      <w:r>
        <w:rPr>
          <w:rFonts w:hint="eastAsia" w:ascii="幼圆" w:hAnsi="幼圆" w:eastAsia="幼圆" w:cs="幼圆"/>
          <w:lang w:val="en-US" w:eastAsia="zh-CN"/>
        </w:rPr>
        <w:t>本次评标采用</w:t>
      </w:r>
      <w:r>
        <w:rPr>
          <w:rFonts w:hint="eastAsia" w:ascii="幼圆" w:hAnsi="幼圆" w:eastAsia="幼圆" w:cs="幼圆"/>
          <w:b/>
          <w:bCs/>
          <w:lang w:val="en-US" w:eastAsia="zh-CN"/>
        </w:rPr>
        <w:t>综合评分法</w:t>
      </w:r>
      <w:r>
        <w:rPr>
          <w:rFonts w:hint="eastAsia" w:ascii="幼圆" w:hAnsi="幼圆" w:eastAsia="幼圆" w:cs="幼圆"/>
          <w:lang w:val="en-US" w:eastAsia="zh-CN"/>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keepNext w:val="0"/>
        <w:keepLines w:val="0"/>
        <w:pageBreakBefore w:val="0"/>
        <w:widowControl/>
        <w:numPr>
          <w:ilvl w:val="0"/>
          <w:numId w:val="0"/>
        </w:numPr>
        <w:wordWrap/>
        <w:topLinePunct w:val="0"/>
        <w:bidi w:val="0"/>
        <w:spacing w:after="0" w:line="240" w:lineRule="auto"/>
        <w:ind w:leftChars="0" w:firstLine="482" w:firstLineChars="200"/>
        <w:jc w:val="both"/>
        <w:rPr>
          <w:rFonts w:hint="eastAsia" w:ascii="幼圆" w:hAnsi="幼圆" w:eastAsia="幼圆" w:cs="幼圆"/>
          <w:b/>
          <w:bCs/>
          <w:color w:val="FF0000"/>
          <w:sz w:val="24"/>
          <w:szCs w:val="20"/>
        </w:rPr>
      </w:pPr>
      <w:r>
        <w:rPr>
          <w:rFonts w:hint="eastAsia" w:ascii="幼圆" w:hAnsi="幼圆" w:eastAsia="幼圆" w:cs="幼圆"/>
          <w:b/>
          <w:bCs/>
          <w:color w:val="FF0000"/>
          <w:sz w:val="24"/>
          <w:szCs w:val="20"/>
        </w:rPr>
        <w:t>投标最低报价不作为中标的唯一理由</w:t>
      </w:r>
    </w:p>
    <w:p>
      <w:pPr>
        <w:keepNext w:val="0"/>
        <w:keepLines w:val="0"/>
        <w:pageBreakBefore w:val="0"/>
        <w:widowControl/>
        <w:numPr>
          <w:ilvl w:val="0"/>
          <w:numId w:val="0"/>
        </w:numPr>
        <w:wordWrap/>
        <w:topLinePunct w:val="0"/>
        <w:bidi w:val="0"/>
        <w:spacing w:after="0" w:line="240" w:lineRule="auto"/>
        <w:ind w:leftChars="0"/>
        <w:jc w:val="both"/>
        <w:rPr>
          <w:rFonts w:hint="eastAsia" w:ascii="幼圆" w:hAnsi="幼圆" w:eastAsia="幼圆" w:cs="幼圆"/>
          <w:b/>
          <w:bCs/>
          <w:sz w:val="24"/>
          <w:szCs w:val="20"/>
          <w:lang w:val="en-US" w:eastAsia="zh-CN"/>
        </w:rPr>
      </w:pPr>
      <w:r>
        <w:rPr>
          <w:rFonts w:hint="eastAsia" w:ascii="幼圆" w:hAnsi="幼圆" w:eastAsia="幼圆" w:cs="幼圆"/>
          <w:b/>
          <w:bCs/>
          <w:sz w:val="24"/>
          <w:szCs w:val="20"/>
          <w:lang w:val="en-US" w:eastAsia="zh-CN"/>
        </w:rPr>
        <w:t>2</w:t>
      </w:r>
      <w:r>
        <w:rPr>
          <w:rFonts w:hint="eastAsia" w:ascii="幼圆" w:hAnsi="幼圆" w:eastAsia="幼圆" w:cs="幼圆"/>
          <w:b/>
          <w:bCs/>
          <w:sz w:val="24"/>
          <w:szCs w:val="20"/>
        </w:rPr>
        <w:t>.</w:t>
      </w:r>
      <w:r>
        <w:rPr>
          <w:rFonts w:hint="eastAsia" w:ascii="幼圆" w:hAnsi="幼圆" w:eastAsia="幼圆" w:cs="幼圆"/>
          <w:b/>
          <w:bCs/>
          <w:sz w:val="24"/>
          <w:szCs w:val="20"/>
          <w:lang w:val="en-US" w:eastAsia="zh-CN"/>
        </w:rPr>
        <w:t>评分标准</w:t>
      </w:r>
    </w:p>
    <w:tbl>
      <w:tblPr>
        <w:tblStyle w:val="37"/>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776"/>
        <w:gridCol w:w="1665"/>
        <w:gridCol w:w="574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b/>
                <w:bCs/>
                <w:highlight w:val="none"/>
              </w:rPr>
            </w:pPr>
            <w:bookmarkStart w:id="1" w:name="_Hlk536608376"/>
            <w:r>
              <w:rPr>
                <w:rFonts w:hint="eastAsia" w:ascii="幼圆" w:hAnsi="幼圆" w:eastAsia="幼圆" w:cs="幼圆"/>
                <w:b/>
                <w:bCs/>
                <w:highlight w:val="none"/>
              </w:rPr>
              <w:t>内容</w:t>
            </w:r>
          </w:p>
        </w:tc>
        <w:tc>
          <w:tcPr>
            <w:tcW w:w="776"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分值</w:t>
            </w:r>
          </w:p>
        </w:tc>
        <w:tc>
          <w:tcPr>
            <w:tcW w:w="1665"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评分因素分项</w:t>
            </w:r>
          </w:p>
        </w:tc>
        <w:tc>
          <w:tcPr>
            <w:tcW w:w="5749" w:type="dxa"/>
            <w:vAlign w:val="center"/>
          </w:tcPr>
          <w:p>
            <w:pPr>
              <w:widowControl/>
              <w:spacing w:line="240" w:lineRule="auto"/>
              <w:jc w:val="center"/>
              <w:rPr>
                <w:rFonts w:hint="eastAsia" w:ascii="幼圆" w:hAnsi="幼圆" w:eastAsia="幼圆" w:cs="幼圆"/>
                <w:b/>
                <w:bCs/>
                <w:highlight w:val="none"/>
              </w:rPr>
            </w:pPr>
            <w:r>
              <w:rPr>
                <w:rFonts w:hint="eastAsia" w:ascii="幼圆" w:hAnsi="幼圆" w:eastAsia="幼圆" w:cs="幼圆"/>
                <w:b/>
                <w:bCs/>
                <w:highlight w:val="none"/>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价格部分</w:t>
            </w:r>
          </w:p>
        </w:tc>
        <w:tc>
          <w:tcPr>
            <w:tcW w:w="776" w:type="dxa"/>
            <w:vAlign w:val="center"/>
          </w:tcPr>
          <w:p>
            <w:pPr>
              <w:widowControl/>
              <w:spacing w:line="240" w:lineRule="auto"/>
              <w:jc w:val="center"/>
              <w:rPr>
                <w:rFonts w:hint="default" w:ascii="幼圆" w:hAnsi="幼圆" w:eastAsia="幼圆" w:cs="幼圆"/>
                <w:highlight w:val="none"/>
                <w:lang w:val="en-US" w:eastAsia="zh-CN"/>
              </w:rPr>
            </w:pPr>
            <w:r>
              <w:rPr>
                <w:rFonts w:hint="eastAsia" w:ascii="幼圆" w:hAnsi="幼圆" w:eastAsia="幼圆" w:cs="幼圆"/>
                <w:highlight w:val="none"/>
                <w:lang w:val="en-US" w:eastAsia="zh-CN"/>
              </w:rPr>
              <w:t>20</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评标价格</w:t>
            </w:r>
          </w:p>
        </w:tc>
        <w:tc>
          <w:tcPr>
            <w:tcW w:w="5749" w:type="dxa"/>
            <w:vAlign w:val="center"/>
          </w:tcPr>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lang w:eastAsia="zh-CN"/>
              </w:rPr>
            </w:pPr>
            <w:r>
              <w:rPr>
                <w:rFonts w:hint="eastAsia" w:ascii="幼圆" w:hAnsi="幼圆" w:eastAsia="幼圆" w:cs="幼圆"/>
                <w:highlight w:val="none"/>
                <w:lang w:eastAsia="zh-CN"/>
              </w:rPr>
              <w:t>满足招标文件要求且投标价格最低的投标报价为评标基准价，其价格分为满分。其他投标人的价格分统一按照下列公式计算：</w:t>
            </w:r>
          </w:p>
          <w:p>
            <w:pPr>
              <w:pStyle w:val="22"/>
              <w:keepNext w:val="0"/>
              <w:keepLines w:val="0"/>
              <w:pageBreakBefore w:val="0"/>
              <w:tabs>
                <w:tab w:val="left" w:pos="567"/>
              </w:tabs>
              <w:kinsoku/>
              <w:wordWrap/>
              <w:overflowPunct/>
              <w:topLinePunct w:val="0"/>
              <w:autoSpaceDE/>
              <w:autoSpaceDN/>
              <w:bidi w:val="0"/>
              <w:snapToGrid/>
              <w:spacing w:before="0" w:line="240" w:lineRule="auto"/>
              <w:rPr>
                <w:rFonts w:hint="eastAsia" w:ascii="幼圆" w:hAnsi="幼圆" w:eastAsia="幼圆" w:cs="幼圆"/>
                <w:highlight w:val="none"/>
              </w:rPr>
            </w:pPr>
            <w:r>
              <w:rPr>
                <w:rFonts w:hint="eastAsia" w:ascii="幼圆" w:hAnsi="幼圆" w:eastAsia="幼圆" w:cs="幼圆"/>
                <w:highlight w:val="none"/>
                <w:lang w:eastAsia="zh-CN"/>
              </w:rPr>
              <w:t>投标报价得分=(评标基准价／投标报价)×</w:t>
            </w:r>
            <w:r>
              <w:rPr>
                <w:rFonts w:hint="eastAsia" w:ascii="幼圆" w:hAnsi="幼圆" w:eastAsia="幼圆" w:cs="幼圆"/>
                <w:highlight w:val="none"/>
                <w:lang w:val="en-US" w:eastAsia="zh-CN"/>
              </w:rPr>
              <w:t>20</w:t>
            </w:r>
            <w:r>
              <w:rPr>
                <w:rFonts w:hint="eastAsia" w:ascii="幼圆" w:hAnsi="幼圆" w:eastAsia="幼圆" w:cs="幼圆"/>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1212"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商务部分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15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类似业绩</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自202</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年</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月1日至今（按合同签订时间计算），投标人每提供一个</w:t>
            </w:r>
            <w:r>
              <w:rPr>
                <w:rFonts w:hint="eastAsia" w:ascii="幼圆" w:hAnsi="幼圆" w:eastAsia="幼圆" w:cs="幼圆"/>
                <w:highlight w:val="none"/>
                <w:lang w:val="en-US" w:eastAsia="zh-CN"/>
              </w:rPr>
              <w:t>同类</w:t>
            </w:r>
            <w:r>
              <w:rPr>
                <w:rFonts w:hint="eastAsia" w:ascii="幼圆" w:hAnsi="幼圆" w:eastAsia="幼圆" w:cs="幼圆"/>
                <w:highlight w:val="none"/>
                <w:lang w:eastAsia="zh-CN"/>
              </w:rPr>
              <w:t>项目</w:t>
            </w:r>
            <w:r>
              <w:rPr>
                <w:rFonts w:hint="eastAsia" w:ascii="幼圆" w:hAnsi="幼圆" w:eastAsia="幼圆" w:cs="幼圆"/>
                <w:highlight w:val="none"/>
                <w:lang w:val="en-US" w:eastAsia="zh-CN"/>
              </w:rPr>
              <w:t>的</w:t>
            </w:r>
            <w:r>
              <w:rPr>
                <w:rFonts w:hint="eastAsia" w:ascii="幼圆" w:hAnsi="幼圆" w:eastAsia="幼圆" w:cs="幼圆"/>
                <w:highlight w:val="none"/>
                <w:lang w:eastAsia="zh-CN"/>
              </w:rPr>
              <w:t>业绩，得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分，最高得</w:t>
            </w:r>
            <w:r>
              <w:rPr>
                <w:rFonts w:hint="eastAsia" w:ascii="幼圆" w:hAnsi="幼圆" w:eastAsia="幼圆" w:cs="幼圆"/>
                <w:highlight w:val="none"/>
                <w:lang w:val="en-US" w:eastAsia="zh-CN"/>
              </w:rPr>
              <w:t>15</w:t>
            </w:r>
            <w:r>
              <w:rPr>
                <w:rFonts w:hint="eastAsia" w:ascii="幼圆" w:hAnsi="幼圆" w:eastAsia="幼圆" w:cs="幼圆"/>
                <w:highlight w:val="none"/>
                <w:lang w:eastAsia="zh-CN"/>
              </w:rPr>
              <w:t>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技术部分</w:t>
            </w:r>
          </w:p>
        </w:tc>
        <w:tc>
          <w:tcPr>
            <w:tcW w:w="776"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lang w:val="en-US" w:eastAsia="zh-CN"/>
              </w:rPr>
              <w:t>27</w:t>
            </w:r>
          </w:p>
        </w:tc>
        <w:tc>
          <w:tcPr>
            <w:tcW w:w="1665" w:type="dxa"/>
            <w:shd w:val="clear" w:color="auto" w:fill="auto"/>
            <w:vAlign w:val="center"/>
          </w:tcPr>
          <w:p>
            <w:pPr>
              <w:widowControl/>
              <w:spacing w:line="240" w:lineRule="auto"/>
              <w:jc w:val="center"/>
              <w:rPr>
                <w:rFonts w:hint="eastAsia" w:ascii="幼圆" w:hAnsi="幼圆" w:eastAsia="幼圆" w:cs="幼圆"/>
                <w:sz w:val="24"/>
                <w:szCs w:val="24"/>
                <w:highlight w:val="none"/>
                <w:lang w:val="en-US" w:eastAsia="zh-CN" w:bidi="ar-SA"/>
              </w:rPr>
            </w:pPr>
            <w:r>
              <w:rPr>
                <w:rFonts w:hint="eastAsia" w:ascii="幼圆" w:hAnsi="幼圆" w:eastAsia="幼圆" w:cs="幼圆"/>
                <w:highlight w:val="none"/>
              </w:rPr>
              <w:t>对文件技术要求的响应程度</w:t>
            </w:r>
          </w:p>
        </w:tc>
        <w:tc>
          <w:tcPr>
            <w:tcW w:w="5749" w:type="dxa"/>
            <w:shd w:val="clear" w:color="auto" w:fill="auto"/>
            <w:vAlign w:val="center"/>
          </w:tcPr>
          <w:p>
            <w:pPr>
              <w:widowControl/>
              <w:spacing w:line="240" w:lineRule="auto"/>
              <w:jc w:val="both"/>
              <w:rPr>
                <w:rFonts w:hint="eastAsia" w:ascii="幼圆" w:hAnsi="幼圆" w:eastAsia="幼圆" w:cs="幼圆"/>
                <w:highlight w:val="none"/>
              </w:rPr>
            </w:pPr>
            <w:r>
              <w:rPr>
                <w:rFonts w:hint="eastAsia" w:ascii="幼圆" w:hAnsi="幼圆" w:eastAsia="幼圆" w:cs="幼圆"/>
                <w:highlight w:val="none"/>
              </w:rPr>
              <w:t>投标人完全满足【技术要求及评分标准】中“</w:t>
            </w:r>
            <w:r>
              <w:rPr>
                <w:rFonts w:hint="eastAsia" w:ascii="幼圆" w:hAnsi="幼圆" w:eastAsia="幼圆" w:cs="幼圆"/>
                <w:highlight w:val="none"/>
                <w:lang w:val="en-US" w:eastAsia="zh-CN"/>
              </w:rPr>
              <w:t>四</w:t>
            </w:r>
            <w:r>
              <w:rPr>
                <w:rFonts w:hint="eastAsia" w:ascii="幼圆" w:hAnsi="幼圆" w:eastAsia="幼圆" w:cs="幼圆"/>
                <w:highlight w:val="none"/>
              </w:rPr>
              <w:t>、</w:t>
            </w:r>
            <w:r>
              <w:rPr>
                <w:rFonts w:hint="eastAsia" w:ascii="幼圆" w:hAnsi="幼圆" w:eastAsia="幼圆" w:cs="幼圆"/>
                <w:highlight w:val="none"/>
                <w:lang w:val="en-US" w:eastAsia="zh-CN"/>
              </w:rPr>
              <w:t>维修服务内容3、技术质量要求</w:t>
            </w:r>
            <w:r>
              <w:rPr>
                <w:rFonts w:hint="eastAsia" w:ascii="幼圆" w:hAnsi="幼圆" w:eastAsia="幼圆" w:cs="幼圆"/>
                <w:highlight w:val="none"/>
              </w:rPr>
              <w:t>”的得</w:t>
            </w:r>
            <w:r>
              <w:rPr>
                <w:rFonts w:hint="eastAsia" w:ascii="幼圆" w:hAnsi="幼圆" w:eastAsia="幼圆" w:cs="幼圆"/>
                <w:highlight w:val="none"/>
                <w:lang w:val="en-US" w:eastAsia="zh-CN"/>
              </w:rPr>
              <w:t>27</w:t>
            </w:r>
            <w:r>
              <w:rPr>
                <w:rFonts w:hint="eastAsia" w:ascii="幼圆" w:hAnsi="幼圆" w:eastAsia="幼圆" w:cs="幼圆"/>
                <w:highlight w:val="none"/>
              </w:rPr>
              <w:t>分。</w:t>
            </w:r>
            <w:bookmarkStart w:id="5" w:name="_GoBack"/>
            <w:bookmarkEnd w:id="5"/>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rPr>
              <w:t>共有</w:t>
            </w:r>
            <w:r>
              <w:rPr>
                <w:rFonts w:hint="eastAsia" w:ascii="幼圆" w:hAnsi="幼圆" w:eastAsia="幼圆" w:cs="幼圆"/>
                <w:highlight w:val="none"/>
                <w:lang w:val="en-US" w:eastAsia="zh-CN"/>
              </w:rPr>
              <w:t>10</w:t>
            </w:r>
            <w:r>
              <w:rPr>
                <w:rFonts w:hint="eastAsia" w:ascii="幼圆" w:hAnsi="幼圆" w:eastAsia="幼圆" w:cs="幼圆"/>
                <w:highlight w:val="none"/>
              </w:rPr>
              <w:t>项指标，每满足一项得</w:t>
            </w:r>
            <w:r>
              <w:rPr>
                <w:rFonts w:hint="eastAsia" w:ascii="幼圆" w:hAnsi="幼圆" w:eastAsia="幼圆" w:cs="幼圆"/>
                <w:highlight w:val="none"/>
                <w:lang w:val="en-US" w:eastAsia="zh-CN"/>
              </w:rPr>
              <w:t>2.7</w:t>
            </w:r>
            <w:r>
              <w:rPr>
                <w:rFonts w:hint="eastAsia" w:ascii="幼圆" w:hAnsi="幼圆" w:eastAsia="幼圆" w:cs="幼圆"/>
                <w:highlight w:val="none"/>
              </w:rPr>
              <w:t>分，共</w:t>
            </w:r>
            <w:r>
              <w:rPr>
                <w:rFonts w:hint="eastAsia" w:ascii="幼圆" w:hAnsi="幼圆" w:eastAsia="幼圆" w:cs="幼圆"/>
                <w:highlight w:val="none"/>
                <w:lang w:val="en-US" w:eastAsia="zh-CN"/>
              </w:rPr>
              <w:t>27</w:t>
            </w:r>
            <w:r>
              <w:rPr>
                <w:rFonts w:hint="eastAsia" w:ascii="幼圆" w:hAnsi="幼圆" w:eastAsia="幼圆" w:cs="幼圆"/>
                <w:highlight w:val="none"/>
              </w:rPr>
              <w:t>分</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b/>
                <w:bCs/>
                <w:highlight w:val="none"/>
                <w:lang w:eastAsia="zh-CN"/>
              </w:rPr>
              <w:t>注：</w:t>
            </w:r>
            <w:r>
              <w:rPr>
                <w:rFonts w:hint="eastAsia" w:ascii="幼圆" w:hAnsi="幼圆" w:eastAsia="幼圆" w:cs="幼圆"/>
                <w:b/>
                <w:bCs/>
                <w:highlight w:val="none"/>
                <w:lang w:val="en-US" w:eastAsia="zh-CN"/>
              </w:rPr>
              <w:t>1</w:t>
            </w:r>
            <w:r>
              <w:rPr>
                <w:rFonts w:hint="eastAsia" w:ascii="幼圆" w:hAnsi="幼圆" w:eastAsia="幼圆" w:cs="幼圆"/>
                <w:b/>
                <w:bCs/>
                <w:highlight w:val="none"/>
                <w:lang w:eastAsia="zh-CN"/>
              </w:rPr>
              <w:t>）“</w:t>
            </w:r>
            <w:r>
              <w:rPr>
                <w:rFonts w:hint="eastAsia" w:ascii="幼圆" w:hAnsi="幼圆" w:eastAsia="幼圆" w:cs="幼圆"/>
                <w:b/>
                <w:bCs/>
                <w:highlight w:val="none"/>
                <w:lang w:val="en-US" w:eastAsia="zh-CN"/>
              </w:rPr>
              <w:t>维修服务内容</w:t>
            </w:r>
            <w:r>
              <w:rPr>
                <w:rFonts w:hint="eastAsia" w:ascii="幼圆" w:hAnsi="幼圆" w:eastAsia="幼圆" w:cs="幼圆"/>
                <w:b/>
                <w:bCs/>
                <w:highlight w:val="none"/>
                <w:lang w:eastAsia="zh-CN"/>
              </w:rPr>
              <w:t>”</w:t>
            </w:r>
            <w:r>
              <w:rPr>
                <w:rFonts w:hint="eastAsia" w:ascii="幼圆" w:hAnsi="幼圆" w:eastAsia="幼圆" w:cs="幼圆"/>
                <w:b/>
                <w:bCs/>
                <w:highlight w:val="none"/>
                <w:lang w:eastAsia="zh-CN"/>
              </w:rPr>
              <w:t>以“ 附件《技术规格偏离表》”响应为准，否则不得分。</w:t>
            </w:r>
          </w:p>
          <w:p>
            <w:pPr>
              <w:spacing w:line="240" w:lineRule="auto"/>
              <w:jc w:val="both"/>
              <w:rPr>
                <w:rFonts w:hint="eastAsia" w:ascii="幼圆" w:hAnsi="幼圆" w:eastAsia="幼圆" w:cs="幼圆"/>
                <w:b/>
                <w:bCs/>
                <w:highlight w:val="none"/>
                <w:lang w:val="en-US" w:eastAsia="zh-CN"/>
              </w:rPr>
            </w:pPr>
            <w:r>
              <w:rPr>
                <w:rFonts w:hint="eastAsia" w:ascii="幼圆" w:hAnsi="幼圆" w:eastAsia="幼圆" w:cs="幼圆"/>
                <w:b/>
                <w:bCs/>
                <w:highlight w:val="none"/>
              </w:rPr>
              <w:t>2）以“</w:t>
            </w:r>
            <w:r>
              <w:rPr>
                <w:rFonts w:hint="eastAsia" w:ascii="幼圆" w:hAnsi="幼圆" w:eastAsia="幼圆" w:cs="幼圆"/>
                <w:b/>
                <w:bCs/>
                <w:highlight w:val="none"/>
                <w:lang w:val="en-US" w:eastAsia="zh-CN"/>
              </w:rPr>
              <w:t>维修服务内容</w:t>
            </w:r>
            <w:r>
              <w:rPr>
                <w:rFonts w:hint="eastAsia" w:ascii="幼圆" w:hAnsi="幼圆" w:eastAsia="幼圆" w:cs="幼圆"/>
                <w:b/>
                <w:bCs/>
                <w:highlight w:val="none"/>
              </w:rPr>
              <w:t>”中的“序号”作为指标项的计算依据，无论该指标项包含几条技术参数。如该指标项中有任意一条指标不满足招标文件要求或负偏离，则该项不得分；漏报该项不得分。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rPr>
            </w:pPr>
          </w:p>
        </w:tc>
        <w:tc>
          <w:tcPr>
            <w:tcW w:w="776"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shd w:val="clear" w:color="auto" w:fill="auto"/>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内部管理制度及培训方案</w:t>
            </w:r>
          </w:p>
        </w:tc>
        <w:tc>
          <w:tcPr>
            <w:tcW w:w="5749" w:type="dxa"/>
            <w:shd w:val="clear" w:color="auto" w:fill="auto"/>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val="en-US" w:eastAsia="zh-CN"/>
              </w:rPr>
              <w:t>内部管理制度及培训方案</w:t>
            </w:r>
            <w:r>
              <w:rPr>
                <w:rFonts w:hint="eastAsia" w:ascii="幼圆" w:hAnsi="幼圆" w:eastAsia="幼圆" w:cs="幼圆"/>
                <w:highlight w:val="none"/>
                <w:lang w:eastAsia="zh-CN"/>
              </w:rPr>
              <w:t>合理、详细，</w:t>
            </w:r>
            <w:r>
              <w:rPr>
                <w:rFonts w:hint="eastAsia" w:ascii="幼圆" w:hAnsi="幼圆" w:eastAsia="幼圆" w:cs="幼圆"/>
                <w:highlight w:val="none"/>
                <w:lang w:val="en-US" w:eastAsia="zh-CN"/>
              </w:rPr>
              <w:t>培训</w:t>
            </w:r>
            <w:r>
              <w:rPr>
                <w:rFonts w:hint="eastAsia" w:ascii="幼圆" w:hAnsi="幼圆" w:eastAsia="幼圆" w:cs="幼圆"/>
                <w:highlight w:val="none"/>
                <w:lang w:eastAsia="zh-CN"/>
              </w:rPr>
              <w:t>服务承诺周到，具有完善的</w:t>
            </w:r>
            <w:r>
              <w:rPr>
                <w:rFonts w:hint="eastAsia" w:ascii="幼圆" w:hAnsi="幼圆" w:eastAsia="幼圆" w:cs="幼圆"/>
                <w:highlight w:val="none"/>
                <w:lang w:val="en-US" w:eastAsia="zh-CN"/>
              </w:rPr>
              <w:t>管理</w:t>
            </w:r>
            <w:r>
              <w:rPr>
                <w:rFonts w:hint="eastAsia" w:ascii="幼圆" w:hAnsi="幼圆" w:eastAsia="幼圆" w:cs="幼圆"/>
                <w:highlight w:val="none"/>
                <w:lang w:eastAsia="zh-CN"/>
              </w:rPr>
              <w:t>体系：</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方案合理、</w:t>
            </w:r>
            <w:r>
              <w:rPr>
                <w:rFonts w:hint="eastAsia" w:ascii="幼圆" w:hAnsi="幼圆" w:eastAsia="幼圆" w:cs="幼圆"/>
                <w:highlight w:val="none"/>
                <w:lang w:val="en-US" w:eastAsia="zh-CN"/>
              </w:rPr>
              <w:t>详细，体系完善的，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5</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较为</w:t>
            </w:r>
            <w:r>
              <w:rPr>
                <w:rFonts w:hint="eastAsia" w:ascii="幼圆" w:hAnsi="幼圆" w:eastAsia="幼圆" w:cs="幼圆"/>
                <w:highlight w:val="none"/>
                <w:lang w:eastAsia="zh-CN"/>
              </w:rPr>
              <w:t>合理、</w:t>
            </w:r>
            <w:r>
              <w:rPr>
                <w:rFonts w:hint="eastAsia" w:ascii="幼圆" w:hAnsi="幼圆" w:eastAsia="幼圆" w:cs="幼圆"/>
                <w:highlight w:val="none"/>
                <w:lang w:val="en-US" w:eastAsia="zh-CN"/>
              </w:rPr>
              <w:t>详细，体系较为完善的，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3</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方案</w:t>
            </w:r>
            <w:r>
              <w:rPr>
                <w:rFonts w:hint="eastAsia" w:ascii="幼圆" w:hAnsi="幼圆" w:eastAsia="幼圆" w:cs="幼圆"/>
                <w:highlight w:val="none"/>
                <w:lang w:val="en-US" w:eastAsia="zh-CN"/>
              </w:rPr>
              <w:t>一般，体系基本完善的，</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b/>
                <w:bCs/>
                <w:highlight w:val="none"/>
                <w:lang w:eastAsia="zh-CN"/>
              </w:rPr>
            </w:pPr>
            <w:r>
              <w:rPr>
                <w:rFonts w:hint="eastAsia" w:ascii="幼圆" w:hAnsi="幼圆" w:eastAsia="幼圆" w:cs="幼圆"/>
                <w:highlight w:val="none"/>
                <w:lang w:val="en-US" w:eastAsia="zh-CN"/>
              </w:rPr>
              <w:t>未提供，</w:t>
            </w:r>
            <w:r>
              <w:rPr>
                <w:rFonts w:hint="eastAsia" w:ascii="幼圆" w:hAnsi="幼圆" w:eastAsia="幼圆" w:cs="幼圆"/>
                <w:highlight w:val="none"/>
                <w:lang w:eastAsia="zh-CN"/>
              </w:rPr>
              <w:t>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restart"/>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服务部分</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restart"/>
            <w:vAlign w:val="center"/>
          </w:tcPr>
          <w:p>
            <w:pPr>
              <w:widowControl/>
              <w:spacing w:line="240" w:lineRule="auto"/>
              <w:jc w:val="center"/>
              <w:rPr>
                <w:rFonts w:hint="eastAsia" w:ascii="幼圆" w:hAnsi="幼圆" w:eastAsia="幼圆" w:cs="幼圆"/>
                <w:highlight w:val="none"/>
                <w:lang w:eastAsia="zh-CN"/>
              </w:rPr>
            </w:pPr>
            <w:r>
              <w:rPr>
                <w:rFonts w:hint="eastAsia" w:ascii="幼圆" w:hAnsi="幼圆" w:eastAsia="幼圆" w:cs="幼圆"/>
                <w:highlight w:val="none"/>
              </w:rPr>
              <w:t>服务方案及人员配备方案</w:t>
            </w:r>
          </w:p>
        </w:tc>
        <w:tc>
          <w:tcPr>
            <w:tcW w:w="5749" w:type="dxa"/>
            <w:vAlign w:val="center"/>
          </w:tcPr>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根据投标人提供的</w:t>
            </w:r>
            <w:r>
              <w:rPr>
                <w:rFonts w:hint="eastAsia" w:ascii="幼圆" w:hAnsi="幼圆" w:eastAsia="幼圆" w:cs="幼圆"/>
                <w:highlight w:val="none"/>
                <w:lang w:val="en-US" w:eastAsia="zh-CN"/>
              </w:rPr>
              <w:t>总体设计方案进行评价</w:t>
            </w:r>
            <w:r>
              <w:rPr>
                <w:rFonts w:hint="eastAsia" w:ascii="幼圆" w:hAnsi="幼圆" w:eastAsia="幼圆" w:cs="幼圆"/>
                <w:highlight w:val="none"/>
                <w:lang w:eastAsia="zh-CN"/>
              </w:rPr>
              <w:t>：</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设计方案亮点突出、针对性强、内容全面、规划统筹考虑充分，得</w:t>
            </w:r>
            <w:r>
              <w:rPr>
                <w:rFonts w:hint="eastAsia" w:ascii="幼圆" w:hAnsi="幼圆" w:eastAsia="幼圆" w:cs="幼圆"/>
                <w:highlight w:val="none"/>
                <w:lang w:val="en-US" w:eastAsia="zh-CN"/>
              </w:rPr>
              <w:t>7</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基本全面</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一般</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中规中矩</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4</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设计方案</w:t>
            </w:r>
            <w:r>
              <w:rPr>
                <w:rFonts w:hint="eastAsia" w:ascii="幼圆" w:hAnsi="幼圆" w:eastAsia="幼圆" w:cs="幼圆"/>
                <w:highlight w:val="none"/>
                <w:lang w:val="en-US" w:eastAsia="zh-CN"/>
              </w:rPr>
              <w:t>简单</w:t>
            </w:r>
            <w:r>
              <w:rPr>
                <w:rFonts w:hint="eastAsia" w:ascii="幼圆" w:hAnsi="幼圆" w:eastAsia="幼圆" w:cs="幼圆"/>
                <w:highlight w:val="none"/>
                <w:lang w:eastAsia="zh-CN"/>
              </w:rPr>
              <w:t>、针对性</w:t>
            </w:r>
            <w:r>
              <w:rPr>
                <w:rFonts w:hint="eastAsia" w:ascii="幼圆" w:hAnsi="幼圆" w:eastAsia="幼圆" w:cs="幼圆"/>
                <w:highlight w:val="none"/>
                <w:lang w:val="en-US" w:eastAsia="zh-CN"/>
              </w:rPr>
              <w:t>欠妥</w:t>
            </w:r>
            <w:r>
              <w:rPr>
                <w:rFonts w:hint="eastAsia" w:ascii="幼圆" w:hAnsi="幼圆" w:eastAsia="幼圆" w:cs="幼圆"/>
                <w:highlight w:val="none"/>
                <w:lang w:eastAsia="zh-CN"/>
              </w:rPr>
              <w:t>、规划统筹考虑</w:t>
            </w:r>
            <w:r>
              <w:rPr>
                <w:rFonts w:hint="eastAsia" w:ascii="幼圆" w:hAnsi="幼圆" w:eastAsia="幼圆" w:cs="幼圆"/>
                <w:highlight w:val="none"/>
                <w:lang w:val="en-US" w:eastAsia="zh-CN"/>
              </w:rPr>
              <w:t>欠佳</w:t>
            </w:r>
            <w:r>
              <w:rPr>
                <w:rFonts w:hint="eastAsia" w:ascii="幼圆" w:hAnsi="幼圆" w:eastAsia="幼圆" w:cs="幼圆"/>
                <w:highlight w:val="none"/>
                <w:lang w:eastAsia="zh-CN"/>
              </w:rPr>
              <w:t>，得</w:t>
            </w:r>
            <w:r>
              <w:rPr>
                <w:rFonts w:hint="eastAsia" w:ascii="幼圆" w:hAnsi="幼圆" w:eastAsia="幼圆" w:cs="幼圆"/>
                <w:highlight w:val="none"/>
                <w:lang w:val="en-US" w:eastAsia="zh-CN"/>
              </w:rPr>
              <w:t>1</w:t>
            </w:r>
            <w:r>
              <w:rPr>
                <w:rFonts w:hint="eastAsia" w:ascii="幼圆" w:hAnsi="幼圆" w:eastAsia="幼圆" w:cs="幼圆"/>
                <w:highlight w:val="none"/>
                <w:lang w:eastAsia="zh-CN"/>
              </w:rPr>
              <w:t>分；</w:t>
            </w:r>
          </w:p>
          <w:p>
            <w:pPr>
              <w:widowControl/>
              <w:spacing w:line="240" w:lineRule="auto"/>
              <w:jc w:val="both"/>
              <w:rPr>
                <w:rFonts w:hint="eastAsia" w:ascii="幼圆" w:hAnsi="幼圆" w:eastAsia="幼圆" w:cs="幼圆"/>
                <w:highlight w:val="none"/>
                <w:lang w:eastAsia="zh-CN"/>
              </w:rPr>
            </w:pPr>
            <w:r>
              <w:rPr>
                <w:rFonts w:hint="eastAsia" w:ascii="幼圆" w:hAnsi="幼圆" w:eastAsia="幼圆" w:cs="幼圆"/>
                <w:highlight w:val="none"/>
                <w:lang w:eastAsia="zh-CN"/>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Merge w:val="continue"/>
            <w:vAlign w:val="center"/>
          </w:tcPr>
          <w:p>
            <w:pPr>
              <w:widowControl/>
              <w:spacing w:line="240" w:lineRule="auto"/>
              <w:jc w:val="center"/>
              <w:rPr>
                <w:rFonts w:hint="eastAsia" w:ascii="幼圆" w:hAnsi="幼圆" w:eastAsia="幼圆" w:cs="幼圆"/>
                <w:highlight w:val="none"/>
                <w:lang w:eastAsia="zh-CN"/>
              </w:rPr>
            </w:pPr>
          </w:p>
        </w:tc>
        <w:tc>
          <w:tcPr>
            <w:tcW w:w="5749" w:type="dxa"/>
            <w:vAlign w:val="center"/>
          </w:tcPr>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（1）根据各投标人按照采购需求提供的维保团队的规模、专业度、架构方面进行打分。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人员架构科学合理，数量充足，专业度高的，完全满足项目需求的，得7分；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人员架构基本科学合理，数量一般，专业度普通的，得4分；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人员架构不合理，数量稀少，专业度低的，得1分；</w:t>
            </w:r>
          </w:p>
          <w:p>
            <w:pPr>
              <w:widowControl/>
              <w:spacing w:line="240" w:lineRule="auto"/>
              <w:rPr>
                <w:rFonts w:hint="eastAsia" w:ascii="幼圆" w:hAnsi="幼圆" w:eastAsia="幼圆" w:cs="幼圆"/>
                <w:lang w:val="en-US" w:eastAsia="zh-CN"/>
              </w:rPr>
            </w:pPr>
            <w:r>
              <w:rPr>
                <w:rFonts w:hint="eastAsia" w:ascii="幼圆" w:hAnsi="幼圆" w:eastAsia="幼圆" w:cs="幼圆"/>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服务响应时间及质量保障措施</w:t>
            </w:r>
          </w:p>
        </w:tc>
        <w:tc>
          <w:tcPr>
            <w:tcW w:w="5749" w:type="dxa"/>
            <w:vAlign w:val="center"/>
          </w:tcPr>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响应时间及时、保障措施到位、分工明确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得7分；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响应时间基本满足需求、保障措施基本到位、分工较为明确</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得4分；</w:t>
            </w:r>
          </w:p>
          <w:p>
            <w:pPr>
              <w:widowControl/>
              <w:spacing w:line="240" w:lineRule="auto"/>
              <w:rPr>
                <w:rFonts w:hint="eastAsia" w:ascii="幼圆" w:hAnsi="幼圆" w:eastAsia="幼圆" w:cs="幼圆"/>
                <w:sz w:val="24"/>
                <w:szCs w:val="24"/>
                <w:highlight w:val="none"/>
                <w:lang w:val="en-US" w:eastAsia="zh-CN"/>
              </w:rPr>
            </w:pPr>
            <w:r>
              <w:rPr>
                <w:rFonts w:hint="eastAsia" w:ascii="幼圆" w:hAnsi="幼圆" w:eastAsia="幼圆" w:cs="幼圆"/>
                <w:sz w:val="24"/>
                <w:szCs w:val="24"/>
                <w:highlight w:val="none"/>
                <w:lang w:val="en-US" w:eastAsia="zh-CN"/>
              </w:rPr>
              <w:t>响应时间滞后、保障措施欠缺、分工混乱</w:t>
            </w:r>
            <w:r>
              <w:rPr>
                <w:rFonts w:hint="eastAsia" w:ascii="幼圆" w:hAnsi="幼圆" w:eastAsia="幼圆" w:cs="幼圆"/>
                <w:sz w:val="24"/>
                <w:szCs w:val="24"/>
                <w:highlight w:val="none"/>
                <w:lang w:eastAsia="zh-CN"/>
              </w:rPr>
              <w:t>，</w:t>
            </w:r>
            <w:r>
              <w:rPr>
                <w:rFonts w:hint="eastAsia" w:ascii="幼圆" w:hAnsi="幼圆" w:eastAsia="幼圆" w:cs="幼圆"/>
                <w:sz w:val="24"/>
                <w:szCs w:val="24"/>
                <w:highlight w:val="none"/>
                <w:lang w:val="en-US" w:eastAsia="zh-CN"/>
              </w:rPr>
              <w:t>得1分；</w:t>
            </w:r>
          </w:p>
          <w:p>
            <w:pPr>
              <w:keepNext w:val="0"/>
              <w:keepLines w:val="0"/>
              <w:pageBreakBefore w:val="0"/>
              <w:widowControl/>
              <w:kinsoku/>
              <w:wordWrap/>
              <w:overflowPunct/>
              <w:topLinePunct w:val="0"/>
              <w:autoSpaceDE/>
              <w:autoSpaceDN/>
              <w:bidi w:val="0"/>
              <w:snapToGrid/>
              <w:spacing w:line="240" w:lineRule="auto"/>
              <w:rPr>
                <w:rFonts w:hint="eastAsia" w:ascii="幼圆" w:hAnsi="幼圆" w:eastAsia="幼圆" w:cs="幼圆"/>
                <w:highlight w:val="none"/>
              </w:rPr>
            </w:pPr>
            <w:r>
              <w:rPr>
                <w:rFonts w:hint="eastAsia" w:ascii="幼圆" w:hAnsi="幼圆" w:eastAsia="幼圆" w:cs="幼圆"/>
                <w:sz w:val="24"/>
                <w:szCs w:val="24"/>
                <w:highlight w:val="none"/>
                <w:lang w:val="en-US" w:eastAsia="zh-C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Merge w:val="continue"/>
            <w:vAlign w:val="center"/>
          </w:tcPr>
          <w:p>
            <w:pPr>
              <w:widowControl/>
              <w:spacing w:line="240" w:lineRule="auto"/>
              <w:jc w:val="center"/>
              <w:rPr>
                <w:rFonts w:hint="eastAsia" w:ascii="幼圆" w:hAnsi="幼圆" w:eastAsia="幼圆" w:cs="幼圆"/>
                <w:highlight w:val="none"/>
                <w:lang w:val="en-US" w:eastAsia="zh-CN"/>
              </w:rPr>
            </w:pP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7</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后续服务承诺</w:t>
            </w:r>
          </w:p>
        </w:tc>
        <w:tc>
          <w:tcPr>
            <w:tcW w:w="5749" w:type="dxa"/>
            <w:vAlign w:val="center"/>
          </w:tcPr>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根据投标人提供的服务承诺进行打分：内容应包含但不限于售后服务及其他情况介绍；</w:t>
            </w:r>
            <w:r>
              <w:rPr>
                <w:rFonts w:hint="eastAsia" w:ascii="幼圆" w:hAnsi="幼圆" w:eastAsia="幼圆" w:cs="幼圆"/>
                <w:b/>
                <w:highlight w:val="none"/>
              </w:rPr>
              <w:t>可提供的优惠条件；突发状况服务时间承诺。</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服务承诺完全满足项目需求的，得</w:t>
            </w:r>
            <w:r>
              <w:rPr>
                <w:rFonts w:hint="eastAsia" w:ascii="幼圆" w:hAnsi="幼圆" w:eastAsia="幼圆" w:cs="幼圆"/>
                <w:highlight w:val="none"/>
                <w:lang w:val="en-US" w:eastAsia="zh-CN"/>
              </w:rPr>
              <w:t>7</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服务承诺基本满足项目需求的，得</w:t>
            </w:r>
            <w:r>
              <w:rPr>
                <w:rFonts w:hint="eastAsia" w:ascii="幼圆" w:hAnsi="幼圆" w:eastAsia="幼圆" w:cs="幼圆"/>
                <w:highlight w:val="none"/>
                <w:lang w:val="en-US" w:eastAsia="zh-CN"/>
              </w:rPr>
              <w:t>4</w:t>
            </w:r>
            <w:r>
              <w:rPr>
                <w:rFonts w:hint="eastAsia" w:ascii="幼圆" w:hAnsi="幼圆" w:eastAsia="幼圆" w:cs="幼圆"/>
                <w:highlight w:val="none"/>
              </w:rPr>
              <w:t>分；</w:t>
            </w:r>
          </w:p>
          <w:p>
            <w:pPr>
              <w:autoSpaceDN w:val="0"/>
              <w:spacing w:line="240" w:lineRule="auto"/>
              <w:textAlignment w:val="bottom"/>
              <w:rPr>
                <w:rFonts w:hint="eastAsia" w:ascii="幼圆" w:hAnsi="幼圆" w:eastAsia="幼圆" w:cs="幼圆"/>
                <w:highlight w:val="none"/>
              </w:rPr>
            </w:pPr>
            <w:r>
              <w:rPr>
                <w:rFonts w:hint="eastAsia" w:ascii="幼圆" w:hAnsi="幼圆" w:eastAsia="幼圆" w:cs="幼圆"/>
                <w:highlight w:val="none"/>
              </w:rPr>
              <w:t>服务承诺不满足项目需求的，得1分；</w:t>
            </w:r>
          </w:p>
          <w:p>
            <w:pPr>
              <w:widowControl/>
              <w:spacing w:line="240" w:lineRule="auto"/>
              <w:rPr>
                <w:rFonts w:hint="eastAsia" w:ascii="幼圆" w:hAnsi="幼圆" w:eastAsia="幼圆" w:cs="幼圆"/>
                <w:highlight w:val="none"/>
              </w:rPr>
            </w:pPr>
            <w:r>
              <w:rPr>
                <w:rFonts w:hint="eastAsia" w:ascii="幼圆" w:hAnsi="幼圆" w:eastAsia="幼圆" w:cs="幼圆"/>
                <w:highlight w:val="none"/>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212"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其他</w:t>
            </w:r>
          </w:p>
        </w:tc>
        <w:tc>
          <w:tcPr>
            <w:tcW w:w="776" w:type="dxa"/>
            <w:vAlign w:val="center"/>
          </w:tcPr>
          <w:p>
            <w:pPr>
              <w:widowControl/>
              <w:spacing w:line="240" w:lineRule="auto"/>
              <w:jc w:val="center"/>
              <w:rPr>
                <w:rFonts w:hint="eastAsia" w:ascii="幼圆" w:hAnsi="幼圆" w:eastAsia="幼圆" w:cs="幼圆"/>
                <w:highlight w:val="none"/>
                <w:lang w:val="en-US" w:eastAsia="zh-CN"/>
              </w:rPr>
            </w:pPr>
            <w:r>
              <w:rPr>
                <w:rFonts w:hint="eastAsia" w:ascii="幼圆" w:hAnsi="幼圆" w:eastAsia="幼圆" w:cs="幼圆"/>
                <w:highlight w:val="none"/>
                <w:lang w:val="en-US" w:eastAsia="zh-CN"/>
              </w:rPr>
              <w:t>5</w:t>
            </w:r>
          </w:p>
        </w:tc>
        <w:tc>
          <w:tcPr>
            <w:tcW w:w="1665" w:type="dxa"/>
            <w:vAlign w:val="center"/>
          </w:tcPr>
          <w:p>
            <w:pPr>
              <w:widowControl/>
              <w:spacing w:line="240" w:lineRule="auto"/>
              <w:jc w:val="center"/>
              <w:rPr>
                <w:rFonts w:hint="eastAsia" w:ascii="幼圆" w:hAnsi="幼圆" w:eastAsia="幼圆" w:cs="幼圆"/>
                <w:highlight w:val="none"/>
              </w:rPr>
            </w:pPr>
            <w:r>
              <w:rPr>
                <w:rFonts w:hint="eastAsia" w:ascii="幼圆" w:hAnsi="幼圆" w:eastAsia="幼圆" w:cs="幼圆"/>
                <w:highlight w:val="none"/>
              </w:rPr>
              <w:t>拟投入设备</w:t>
            </w:r>
          </w:p>
        </w:tc>
        <w:tc>
          <w:tcPr>
            <w:tcW w:w="5749" w:type="dxa"/>
            <w:vAlign w:val="center"/>
          </w:tcPr>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设备齐全，完全满足项目需要的，得5分；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设备基本满足项目需要的，得3分</w:t>
            </w:r>
          </w:p>
          <w:p>
            <w:pPr>
              <w:widowControl/>
              <w:spacing w:line="240" w:lineRule="auto"/>
              <w:rPr>
                <w:rFonts w:hint="eastAsia" w:ascii="幼圆" w:hAnsi="幼圆" w:eastAsia="幼圆" w:cs="幼圆"/>
                <w:highlight w:val="none"/>
                <w:lang w:val="en-US" w:eastAsia="zh-CN"/>
              </w:rPr>
            </w:pPr>
            <w:r>
              <w:rPr>
                <w:rFonts w:hint="eastAsia" w:ascii="幼圆" w:hAnsi="幼圆" w:eastAsia="幼圆" w:cs="幼圆"/>
                <w:highlight w:val="none"/>
                <w:lang w:val="en-US" w:eastAsia="zh-CN"/>
              </w:rPr>
              <w:t>设备无法满足项目需要的，得1分；</w:t>
            </w:r>
          </w:p>
          <w:p>
            <w:pPr>
              <w:widowControl/>
              <w:spacing w:line="240" w:lineRule="auto"/>
              <w:rPr>
                <w:rFonts w:hint="eastAsia" w:ascii="幼圆" w:hAnsi="幼圆" w:eastAsia="幼圆" w:cs="幼圆"/>
                <w:highlight w:val="none"/>
                <w:lang w:eastAsia="zh-CN"/>
              </w:rPr>
            </w:pPr>
            <w:r>
              <w:rPr>
                <w:rFonts w:hint="eastAsia" w:ascii="幼圆" w:hAnsi="幼圆" w:eastAsia="幼圆" w:cs="幼圆"/>
                <w:highlight w:val="none"/>
                <w:lang w:val="en-US" w:eastAsia="zh-CN"/>
              </w:rPr>
              <w:t>不满足项目需要或未提供，不得分。</w:t>
            </w:r>
          </w:p>
        </w:tc>
      </w:tr>
      <w:bookmarkEnd w:id="1"/>
    </w:tbl>
    <w:p>
      <w:pPr>
        <w:keepNext w:val="0"/>
        <w:keepLines w:val="0"/>
        <w:pageBreakBefore w:val="0"/>
        <w:widowControl/>
        <w:wordWrap/>
        <w:topLinePunct w:val="0"/>
        <w:bidi w:val="0"/>
        <w:spacing w:line="240" w:lineRule="auto"/>
        <w:rPr>
          <w:rFonts w:hint="eastAsia" w:ascii="幼圆" w:hAnsi="幼圆" w:eastAsia="幼圆" w:cs="幼圆"/>
          <w:b/>
          <w:bCs/>
          <w:sz w:val="24"/>
          <w:szCs w:val="20"/>
        </w:rPr>
      </w:pPr>
    </w:p>
    <w:p>
      <w:pPr>
        <w:spacing w:line="240" w:lineRule="auto"/>
        <w:rPr>
          <w:rFonts w:hint="eastAsia" w:ascii="幼圆" w:hAnsi="幼圆" w:eastAsia="幼圆" w:cs="幼圆"/>
          <w:color w:val="FF0000"/>
          <w:kern w:val="2"/>
          <w:highlight w:val="none"/>
          <w:lang w:val="en-US" w:eastAsia="zh-CN" w:bidi="zh-CN"/>
        </w:rPr>
      </w:pPr>
      <w:r>
        <w:rPr>
          <w:rFonts w:hint="eastAsia" w:ascii="幼圆" w:hAnsi="幼圆" w:eastAsia="幼圆" w:cs="幼圆"/>
          <w:color w:val="FF0000"/>
          <w:kern w:val="2"/>
          <w:highlight w:val="none"/>
          <w:lang w:val="en-US" w:eastAsia="zh-CN" w:bidi="zh-CN"/>
        </w:rPr>
        <w:br w:type="page"/>
      </w:r>
    </w:p>
    <w:p>
      <w:pPr>
        <w:snapToGrid w:val="0"/>
        <w:spacing w:line="240" w:lineRule="auto"/>
        <w:textAlignment w:val="auto"/>
        <w:outlineLvl w:val="0"/>
        <w:rPr>
          <w:rFonts w:hint="eastAsia" w:ascii="幼圆" w:hAnsi="幼圆" w:eastAsia="幼圆" w:cs="幼圆"/>
          <w:b/>
          <w:szCs w:val="20"/>
          <w:highlight w:val="none"/>
        </w:rPr>
      </w:pPr>
      <w:bookmarkStart w:id="2" w:name="_Toc955"/>
      <w:bookmarkStart w:id="3" w:name="_Toc73536577"/>
      <w:bookmarkStart w:id="4" w:name="_Toc70433717"/>
      <w:r>
        <w:rPr>
          <w:rFonts w:hint="eastAsia" w:ascii="幼圆" w:hAnsi="幼圆" w:eastAsia="幼圆" w:cs="幼圆"/>
          <w:b/>
          <w:szCs w:val="20"/>
          <w:highlight w:val="none"/>
        </w:rPr>
        <w:t>附件</w:t>
      </w:r>
      <w:r>
        <w:rPr>
          <w:rFonts w:hint="eastAsia" w:ascii="幼圆" w:hAnsi="幼圆" w:eastAsia="幼圆" w:cs="幼圆"/>
          <w:b/>
          <w:szCs w:val="20"/>
          <w:highlight w:val="none"/>
          <w:lang w:eastAsia="zh-CN"/>
        </w:rPr>
        <w:t>（</w:t>
      </w:r>
      <w:r>
        <w:rPr>
          <w:rFonts w:hint="eastAsia" w:ascii="幼圆" w:hAnsi="幼圆" w:eastAsia="幼圆" w:cs="幼圆"/>
          <w:b/>
          <w:szCs w:val="20"/>
          <w:highlight w:val="none"/>
          <w:lang w:val="en-US" w:eastAsia="zh-CN"/>
        </w:rPr>
        <w:t>偏离表示例</w:t>
      </w:r>
      <w:r>
        <w:rPr>
          <w:rFonts w:hint="eastAsia" w:ascii="幼圆" w:hAnsi="幼圆" w:eastAsia="幼圆" w:cs="幼圆"/>
          <w:b/>
          <w:szCs w:val="20"/>
          <w:highlight w:val="none"/>
          <w:lang w:eastAsia="zh-CN"/>
        </w:rPr>
        <w:t>）</w:t>
      </w:r>
      <w:r>
        <w:rPr>
          <w:rFonts w:hint="eastAsia" w:ascii="幼圆" w:hAnsi="幼圆" w:eastAsia="幼圆" w:cs="幼圆"/>
          <w:b/>
          <w:szCs w:val="20"/>
          <w:highlight w:val="none"/>
        </w:rPr>
        <w:t>：</w:t>
      </w:r>
      <w:bookmarkEnd w:id="2"/>
      <w:bookmarkEnd w:id="3"/>
      <w:bookmarkEnd w:id="4"/>
    </w:p>
    <w:p>
      <w:pPr>
        <w:widowControl/>
        <w:snapToGrid w:val="0"/>
        <w:spacing w:line="240" w:lineRule="auto"/>
        <w:textAlignment w:val="auto"/>
        <w:rPr>
          <w:rFonts w:hint="eastAsia" w:ascii="幼圆" w:hAnsi="幼圆" w:eastAsia="幼圆" w:cs="幼圆"/>
          <w:b/>
          <w:highlight w:val="none"/>
        </w:rPr>
      </w:pPr>
    </w:p>
    <w:p>
      <w:pPr>
        <w:snapToGrid w:val="0"/>
        <w:spacing w:line="240" w:lineRule="auto"/>
        <w:jc w:val="center"/>
        <w:rPr>
          <w:rFonts w:hint="eastAsia" w:ascii="幼圆" w:hAnsi="幼圆" w:eastAsia="幼圆" w:cs="幼圆"/>
          <w:caps/>
          <w:sz w:val="36"/>
          <w:szCs w:val="36"/>
          <w:highlight w:val="none"/>
        </w:rPr>
      </w:pPr>
      <w:r>
        <w:rPr>
          <w:rFonts w:hint="eastAsia" w:ascii="幼圆" w:hAnsi="幼圆" w:eastAsia="幼圆" w:cs="幼圆"/>
          <w:caps/>
          <w:sz w:val="36"/>
          <w:szCs w:val="36"/>
          <w:highlight w:val="none"/>
        </w:rPr>
        <w:t>技术规格偏离表</w:t>
      </w:r>
    </w:p>
    <w:p>
      <w:pPr>
        <w:snapToGrid w:val="0"/>
        <w:spacing w:before="120" w:beforeLines="50" w:line="240" w:lineRule="auto"/>
        <w:rPr>
          <w:rFonts w:hint="eastAsia" w:ascii="幼圆" w:hAnsi="幼圆" w:eastAsia="幼圆" w:cs="幼圆"/>
          <w:highlight w:val="none"/>
        </w:rPr>
      </w:pPr>
    </w:p>
    <w:p>
      <w:pPr>
        <w:snapToGrid w:val="0"/>
        <w:spacing w:after="120" w:afterLines="50" w:line="240" w:lineRule="auto"/>
        <w:rPr>
          <w:rFonts w:hint="eastAsia" w:ascii="幼圆" w:hAnsi="幼圆" w:eastAsia="幼圆" w:cs="幼圆"/>
          <w:highlight w:val="none"/>
          <w:u w:val="single"/>
        </w:rPr>
      </w:pPr>
      <w:r>
        <w:rPr>
          <w:rFonts w:hint="eastAsia" w:ascii="幼圆" w:hAnsi="幼圆" w:eastAsia="幼圆" w:cs="幼圆"/>
          <w:highlight w:val="none"/>
        </w:rPr>
        <w:t>项目名称：</w:t>
      </w:r>
    </w:p>
    <w:tbl>
      <w:tblPr>
        <w:tblStyle w:val="37"/>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77"/>
        <w:gridCol w:w="2586"/>
        <w:gridCol w:w="166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招标文件条目号</w:t>
            </w:r>
          </w:p>
        </w:tc>
        <w:tc>
          <w:tcPr>
            <w:tcW w:w="2977"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招标文件采购需求的内容与数值</w:t>
            </w:r>
          </w:p>
        </w:tc>
        <w:tc>
          <w:tcPr>
            <w:tcW w:w="258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投标人的采购需求响应内容与数值</w:t>
            </w:r>
          </w:p>
        </w:tc>
        <w:tc>
          <w:tcPr>
            <w:tcW w:w="1666" w:type="dxa"/>
            <w:tcBorders>
              <w:top w:val="double" w:color="auto" w:sz="4" w:space="0"/>
            </w:tcBorders>
            <w:vAlign w:val="center"/>
          </w:tcPr>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偏差说明</w:t>
            </w:r>
          </w:p>
          <w:p>
            <w:pPr>
              <w:snapToGrid w:val="0"/>
              <w:spacing w:line="240" w:lineRule="auto"/>
              <w:jc w:val="center"/>
              <w:textAlignment w:val="auto"/>
              <w:rPr>
                <w:rFonts w:hint="eastAsia" w:ascii="幼圆" w:hAnsi="幼圆" w:eastAsia="幼圆" w:cs="幼圆"/>
                <w:highlight w:val="none"/>
              </w:rPr>
            </w:pPr>
            <w:r>
              <w:rPr>
                <w:rFonts w:hint="eastAsia" w:ascii="幼圆" w:hAnsi="幼圆" w:eastAsia="幼圆" w:cs="幼圆"/>
                <w:highlight w:val="none"/>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240" w:lineRule="auto"/>
              <w:jc w:val="both"/>
              <w:textAlignment w:val="auto"/>
              <w:rPr>
                <w:rFonts w:hint="eastAsia" w:ascii="幼圆" w:hAnsi="幼圆" w:eastAsia="幼圆" w:cs="幼圆"/>
                <w:highlight w:val="none"/>
              </w:rPr>
            </w:pPr>
          </w:p>
        </w:tc>
        <w:tc>
          <w:tcPr>
            <w:tcW w:w="2977" w:type="dxa"/>
          </w:tcPr>
          <w:p>
            <w:pPr>
              <w:snapToGrid w:val="0"/>
              <w:spacing w:line="240" w:lineRule="auto"/>
              <w:jc w:val="both"/>
              <w:textAlignment w:val="auto"/>
              <w:rPr>
                <w:rFonts w:hint="eastAsia" w:ascii="幼圆" w:hAnsi="幼圆" w:eastAsia="幼圆" w:cs="幼圆"/>
                <w:highlight w:val="none"/>
              </w:rPr>
            </w:pPr>
          </w:p>
        </w:tc>
        <w:tc>
          <w:tcPr>
            <w:tcW w:w="2586" w:type="dxa"/>
          </w:tcPr>
          <w:p>
            <w:pPr>
              <w:snapToGrid w:val="0"/>
              <w:spacing w:line="240" w:lineRule="auto"/>
              <w:jc w:val="both"/>
              <w:textAlignment w:val="auto"/>
              <w:rPr>
                <w:rFonts w:hint="eastAsia" w:ascii="幼圆" w:hAnsi="幼圆" w:eastAsia="幼圆" w:cs="幼圆"/>
                <w:highlight w:val="none"/>
              </w:rPr>
            </w:pPr>
          </w:p>
        </w:tc>
        <w:tc>
          <w:tcPr>
            <w:tcW w:w="1666" w:type="dxa"/>
          </w:tcPr>
          <w:p>
            <w:pPr>
              <w:snapToGrid w:val="0"/>
              <w:spacing w:line="240" w:lineRule="auto"/>
              <w:jc w:val="both"/>
              <w:textAlignment w:val="auto"/>
              <w:rPr>
                <w:rFonts w:hint="eastAsia" w:ascii="幼圆" w:hAnsi="幼圆" w:eastAsia="幼圆" w:cs="幼圆"/>
                <w:highlight w:val="none"/>
              </w:rPr>
            </w:pPr>
          </w:p>
        </w:tc>
      </w:tr>
    </w:tbl>
    <w:p>
      <w:pPr>
        <w:snapToGrid w:val="0"/>
        <w:spacing w:line="240" w:lineRule="auto"/>
        <w:ind w:left="540" w:hanging="495" w:hangingChars="225"/>
        <w:rPr>
          <w:rFonts w:hint="eastAsia" w:ascii="幼圆" w:hAnsi="幼圆" w:eastAsia="幼圆" w:cs="幼圆"/>
          <w:highlight w:val="none"/>
        </w:rPr>
      </w:pP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注：1.投标人应对招标文件第三章采购需求要求的内容给予逐条响应，以投标服务所能达到的内容予以填写，有具体需求的应填写具体要求。</w:t>
      </w:r>
    </w:p>
    <w:p>
      <w:pPr>
        <w:snapToGrid w:val="0"/>
        <w:spacing w:line="240" w:lineRule="auto"/>
        <w:ind w:firstLine="440" w:firstLineChars="200"/>
        <w:rPr>
          <w:rFonts w:hint="eastAsia" w:ascii="幼圆" w:hAnsi="幼圆" w:eastAsia="幼圆" w:cs="幼圆"/>
          <w:highlight w:val="none"/>
        </w:rPr>
      </w:pPr>
      <w:r>
        <w:rPr>
          <w:rFonts w:hint="eastAsia" w:ascii="幼圆" w:hAnsi="幼圆" w:eastAsia="幼圆" w:cs="幼圆"/>
          <w:highlight w:val="none"/>
        </w:rPr>
        <w:tab/>
      </w:r>
      <w:r>
        <w:rPr>
          <w:rFonts w:hint="eastAsia" w:ascii="幼圆" w:hAnsi="幼圆" w:eastAsia="幼圆" w:cs="幼圆"/>
          <w:highlight w:val="none"/>
        </w:rPr>
        <w:t>2. 偏差说明处：技术、服务内容满足招标文件相应要求填写：“满足招标文件要求”、或“无偏离”；技术、服务内容不满足招标文件相应要求填写：“不满足招标文件要求”或“负偏离”。</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投标人名称：（单位公章）</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法定代表人或授权代表：（签字）</w:t>
      </w:r>
    </w:p>
    <w:p>
      <w:pPr>
        <w:snapToGrid w:val="0"/>
        <w:spacing w:line="240" w:lineRule="auto"/>
        <w:ind w:firstLine="220" w:firstLineChars="100"/>
        <w:jc w:val="both"/>
        <w:textAlignment w:val="auto"/>
        <w:rPr>
          <w:rFonts w:hint="eastAsia" w:ascii="幼圆" w:hAnsi="幼圆" w:eastAsia="幼圆" w:cs="幼圆"/>
          <w:highlight w:val="none"/>
        </w:rPr>
      </w:pPr>
      <w:r>
        <w:rPr>
          <w:rFonts w:hint="eastAsia" w:ascii="幼圆" w:hAnsi="幼圆" w:eastAsia="幼圆" w:cs="幼圆"/>
          <w:highlight w:val="none"/>
        </w:rPr>
        <w:t>日期：</w:t>
      </w:r>
    </w:p>
    <w:p>
      <w:pPr>
        <w:spacing w:line="240" w:lineRule="auto"/>
        <w:rPr>
          <w:rFonts w:hint="eastAsia" w:ascii="幼圆" w:hAnsi="幼圆" w:eastAsia="幼圆" w:cs="幼圆"/>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B8C9A7"/>
    <w:multiLevelType w:val="singleLevel"/>
    <w:tmpl w:val="B0B8C9A7"/>
    <w:lvl w:ilvl="0" w:tentative="0">
      <w:start w:val="1"/>
      <w:numFmt w:val="decimalEnclosedCircleChinese"/>
      <w:suff w:val="nothing"/>
      <w:lvlText w:val="%1　"/>
      <w:lvlJc w:val="left"/>
      <w:pPr>
        <w:ind w:left="0" w:firstLine="400"/>
      </w:pPr>
      <w:rPr>
        <w:rFonts w:hint="eastAsia"/>
      </w:rPr>
    </w:lvl>
  </w:abstractNum>
  <w:abstractNum w:abstractNumId="1">
    <w:nsid w:val="FFFFFF7E"/>
    <w:multiLevelType w:val="singleLevel"/>
    <w:tmpl w:val="FFFFFF7E"/>
    <w:lvl w:ilvl="0" w:tentative="0">
      <w:start w:val="1"/>
      <w:numFmt w:val="decimal"/>
      <w:pStyle w:val="25"/>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8"/>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7">
    <w:nsid w:val="433F00E0"/>
    <w:multiLevelType w:val="multilevel"/>
    <w:tmpl w:val="433F00E0"/>
    <w:lvl w:ilvl="0" w:tentative="0">
      <w:start w:val="1"/>
      <w:numFmt w:val="decimal"/>
      <w:pStyle w:val="174"/>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E8F8437"/>
    <w:multiLevelType w:val="singleLevel"/>
    <w:tmpl w:val="6E8F8437"/>
    <w:lvl w:ilvl="0" w:tentative="0">
      <w:start w:val="1"/>
      <w:numFmt w:val="decimal"/>
      <w:suff w:val="nothing"/>
      <w:lvlText w:val="%1、"/>
      <w:lvlJc w:val="left"/>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39276B"/>
    <w:rsid w:val="005F224A"/>
    <w:rsid w:val="008369C7"/>
    <w:rsid w:val="009C7AE2"/>
    <w:rsid w:val="00AA1D8D"/>
    <w:rsid w:val="00B47730"/>
    <w:rsid w:val="00CB0664"/>
    <w:rsid w:val="00FC693F"/>
    <w:rsid w:val="015A556D"/>
    <w:rsid w:val="01AE6E74"/>
    <w:rsid w:val="039B035C"/>
    <w:rsid w:val="03DC6164"/>
    <w:rsid w:val="04BF5B95"/>
    <w:rsid w:val="05B922DB"/>
    <w:rsid w:val="06247180"/>
    <w:rsid w:val="08CA0C86"/>
    <w:rsid w:val="0A4A3DA1"/>
    <w:rsid w:val="0ADE0A96"/>
    <w:rsid w:val="0B772CD7"/>
    <w:rsid w:val="0B9760F9"/>
    <w:rsid w:val="0D32706A"/>
    <w:rsid w:val="0F553938"/>
    <w:rsid w:val="0F6F40AA"/>
    <w:rsid w:val="106611D9"/>
    <w:rsid w:val="113329E6"/>
    <w:rsid w:val="117F262B"/>
    <w:rsid w:val="12A90D4E"/>
    <w:rsid w:val="12C56763"/>
    <w:rsid w:val="12EA542F"/>
    <w:rsid w:val="15901876"/>
    <w:rsid w:val="15B1627B"/>
    <w:rsid w:val="172A7912"/>
    <w:rsid w:val="1990077F"/>
    <w:rsid w:val="19A32D0D"/>
    <w:rsid w:val="1BE71C78"/>
    <w:rsid w:val="1D355103"/>
    <w:rsid w:val="1F3C1C4F"/>
    <w:rsid w:val="1F5F6D41"/>
    <w:rsid w:val="202408C8"/>
    <w:rsid w:val="205F522A"/>
    <w:rsid w:val="210C0BC6"/>
    <w:rsid w:val="2274584A"/>
    <w:rsid w:val="229B3C09"/>
    <w:rsid w:val="22BF180F"/>
    <w:rsid w:val="22E24F49"/>
    <w:rsid w:val="24392B0D"/>
    <w:rsid w:val="24A75DD1"/>
    <w:rsid w:val="24AB1841"/>
    <w:rsid w:val="24F414B1"/>
    <w:rsid w:val="258A6E5B"/>
    <w:rsid w:val="25AF67D6"/>
    <w:rsid w:val="25D77D3F"/>
    <w:rsid w:val="25E54A8E"/>
    <w:rsid w:val="26B26BA7"/>
    <w:rsid w:val="27372964"/>
    <w:rsid w:val="27BD3A55"/>
    <w:rsid w:val="28357004"/>
    <w:rsid w:val="2994584A"/>
    <w:rsid w:val="2A663850"/>
    <w:rsid w:val="2B745DF2"/>
    <w:rsid w:val="2BE26EA2"/>
    <w:rsid w:val="2C5F3B91"/>
    <w:rsid w:val="2D056703"/>
    <w:rsid w:val="2D26536C"/>
    <w:rsid w:val="2DA44891"/>
    <w:rsid w:val="2F1D0548"/>
    <w:rsid w:val="2F6E5F01"/>
    <w:rsid w:val="2FF57743"/>
    <w:rsid w:val="30286D46"/>
    <w:rsid w:val="31321010"/>
    <w:rsid w:val="313F5CD8"/>
    <w:rsid w:val="3225199F"/>
    <w:rsid w:val="335911B0"/>
    <w:rsid w:val="347B53E1"/>
    <w:rsid w:val="34813790"/>
    <w:rsid w:val="349013E9"/>
    <w:rsid w:val="34B64844"/>
    <w:rsid w:val="3543266F"/>
    <w:rsid w:val="35A3178F"/>
    <w:rsid w:val="35BA5B31"/>
    <w:rsid w:val="35C02C5D"/>
    <w:rsid w:val="36710DAA"/>
    <w:rsid w:val="374D3D49"/>
    <w:rsid w:val="377C3B60"/>
    <w:rsid w:val="38090D9C"/>
    <w:rsid w:val="381A7AE8"/>
    <w:rsid w:val="386E2923"/>
    <w:rsid w:val="39577622"/>
    <w:rsid w:val="397720D5"/>
    <w:rsid w:val="399036C4"/>
    <w:rsid w:val="3AA1560E"/>
    <w:rsid w:val="3D3FEA48"/>
    <w:rsid w:val="3DAB702F"/>
    <w:rsid w:val="3DBFD295"/>
    <w:rsid w:val="3DDC07A1"/>
    <w:rsid w:val="3DF35805"/>
    <w:rsid w:val="3E543B04"/>
    <w:rsid w:val="3E9B6EC4"/>
    <w:rsid w:val="3EBA3A53"/>
    <w:rsid w:val="3F6E7574"/>
    <w:rsid w:val="40E40ADC"/>
    <w:rsid w:val="411538B7"/>
    <w:rsid w:val="41536D26"/>
    <w:rsid w:val="41BE02EE"/>
    <w:rsid w:val="41EB7473"/>
    <w:rsid w:val="41F027BE"/>
    <w:rsid w:val="420A5259"/>
    <w:rsid w:val="421945B1"/>
    <w:rsid w:val="43F67691"/>
    <w:rsid w:val="44DB5B25"/>
    <w:rsid w:val="455507B5"/>
    <w:rsid w:val="45A307A5"/>
    <w:rsid w:val="45A40BA1"/>
    <w:rsid w:val="45A73923"/>
    <w:rsid w:val="469F2EE7"/>
    <w:rsid w:val="47091014"/>
    <w:rsid w:val="4709160B"/>
    <w:rsid w:val="471060AD"/>
    <w:rsid w:val="472B3D0B"/>
    <w:rsid w:val="476165B4"/>
    <w:rsid w:val="480333C8"/>
    <w:rsid w:val="48153C8D"/>
    <w:rsid w:val="48482E26"/>
    <w:rsid w:val="4875046F"/>
    <w:rsid w:val="48D90193"/>
    <w:rsid w:val="491E21A3"/>
    <w:rsid w:val="49B06B72"/>
    <w:rsid w:val="49F927E9"/>
    <w:rsid w:val="4A695CBB"/>
    <w:rsid w:val="4AEF402B"/>
    <w:rsid w:val="4B5410CE"/>
    <w:rsid w:val="4C0D4686"/>
    <w:rsid w:val="4D1D5914"/>
    <w:rsid w:val="4D5C393A"/>
    <w:rsid w:val="4E737776"/>
    <w:rsid w:val="4F884709"/>
    <w:rsid w:val="4FC375E6"/>
    <w:rsid w:val="502A0955"/>
    <w:rsid w:val="5257047F"/>
    <w:rsid w:val="529C7846"/>
    <w:rsid w:val="537D6985"/>
    <w:rsid w:val="53ED7FA3"/>
    <w:rsid w:val="548B5756"/>
    <w:rsid w:val="562D069E"/>
    <w:rsid w:val="5656504D"/>
    <w:rsid w:val="56A9ACE5"/>
    <w:rsid w:val="574D52F6"/>
    <w:rsid w:val="57F124B8"/>
    <w:rsid w:val="586B0DA0"/>
    <w:rsid w:val="5887487A"/>
    <w:rsid w:val="59321A02"/>
    <w:rsid w:val="5B5150A4"/>
    <w:rsid w:val="5CFB7A99"/>
    <w:rsid w:val="5E4C798F"/>
    <w:rsid w:val="5E75216F"/>
    <w:rsid w:val="5F165949"/>
    <w:rsid w:val="5F1C45FF"/>
    <w:rsid w:val="5FEFBD42"/>
    <w:rsid w:val="62BB227D"/>
    <w:rsid w:val="63A6046B"/>
    <w:rsid w:val="64690EAB"/>
    <w:rsid w:val="64F50F92"/>
    <w:rsid w:val="6653074D"/>
    <w:rsid w:val="678C0E2E"/>
    <w:rsid w:val="68860CA5"/>
    <w:rsid w:val="69281BE2"/>
    <w:rsid w:val="6A177E9C"/>
    <w:rsid w:val="6A5C38C9"/>
    <w:rsid w:val="6BBC5FCE"/>
    <w:rsid w:val="6BD25936"/>
    <w:rsid w:val="6FBD2579"/>
    <w:rsid w:val="6FED3F9B"/>
    <w:rsid w:val="701139EA"/>
    <w:rsid w:val="703B2526"/>
    <w:rsid w:val="70712FCD"/>
    <w:rsid w:val="72014FA3"/>
    <w:rsid w:val="720472B3"/>
    <w:rsid w:val="72E4478C"/>
    <w:rsid w:val="73BE334D"/>
    <w:rsid w:val="74B344DD"/>
    <w:rsid w:val="755F72B5"/>
    <w:rsid w:val="75C51121"/>
    <w:rsid w:val="75DF8964"/>
    <w:rsid w:val="75F106A5"/>
    <w:rsid w:val="761942CF"/>
    <w:rsid w:val="773A2CDF"/>
    <w:rsid w:val="787B4E47"/>
    <w:rsid w:val="78EF290F"/>
    <w:rsid w:val="79EFCB93"/>
    <w:rsid w:val="7B1D2D88"/>
    <w:rsid w:val="7B4D01D8"/>
    <w:rsid w:val="7BBE4424"/>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5">
    <w:name w:val="heading 1"/>
    <w:basedOn w:val="1"/>
    <w:next w:val="1"/>
    <w:link w:val="143"/>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4"/>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5"/>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5"/>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6"/>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7"/>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8"/>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9"/>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0"/>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hAnsi="Times New Roman" w:eastAsia="Calibri" w:cs="宋体"/>
      <w:color w:val="000000"/>
      <w:sz w:val="24"/>
      <w:szCs w:val="24"/>
      <w:lang w:val="en-US" w:eastAsia="zh-CN" w:bidi="ar-SA"/>
    </w:rPr>
  </w:style>
  <w:style w:type="paragraph" w:styleId="3">
    <w:name w:val="footnote text"/>
    <w:basedOn w:val="1"/>
    <w:qFormat/>
    <w:uiPriority w:val="0"/>
    <w:pPr>
      <w:snapToGrid w:val="0"/>
      <w:jc w:val="left"/>
    </w:pPr>
    <w:rPr>
      <w:sz w:val="18"/>
      <w:szCs w:val="18"/>
    </w:rPr>
  </w:style>
  <w:style w:type="paragraph" w:styleId="4">
    <w:name w:val="macro"/>
    <w:link w:val="152"/>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annotation text"/>
    <w:basedOn w:val="1"/>
    <w:semiHidden/>
    <w:unhideWhenUsed/>
    <w:qFormat/>
    <w:uiPriority w:val="99"/>
    <w:pPr>
      <w:jc w:val="left"/>
    </w:pPr>
  </w:style>
  <w:style w:type="paragraph" w:styleId="20">
    <w:name w:val="Body Text 3"/>
    <w:basedOn w:val="1"/>
    <w:link w:val="151"/>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next w:val="23"/>
    <w:link w:val="149"/>
    <w:unhideWhenUsed/>
    <w:qFormat/>
    <w:uiPriority w:val="99"/>
    <w:pPr>
      <w:spacing w:after="120"/>
    </w:pPr>
  </w:style>
  <w:style w:type="paragraph" w:styleId="23">
    <w:name w:val="Body Text 2"/>
    <w:basedOn w:val="1"/>
    <w:link w:val="150"/>
    <w:unhideWhenUsed/>
    <w:qFormat/>
    <w:uiPriority w:val="99"/>
    <w:pPr>
      <w:spacing w:after="120" w:line="480" w:lineRule="auto"/>
    </w:pPr>
  </w:style>
  <w:style w:type="paragraph" w:styleId="24">
    <w:name w:val="Body Text Indent"/>
    <w:basedOn w:val="1"/>
    <w:unhideWhenUsed/>
    <w:qFormat/>
    <w:uiPriority w:val="99"/>
    <w:pPr>
      <w:spacing w:after="120"/>
      <w:ind w:left="420" w:leftChars="200"/>
    </w:pPr>
  </w:style>
  <w:style w:type="paragraph" w:styleId="25">
    <w:name w:val="List Number 3"/>
    <w:basedOn w:val="1"/>
    <w:unhideWhenUsed/>
    <w:qFormat/>
    <w:uiPriority w:val="99"/>
    <w:pPr>
      <w:numPr>
        <w:ilvl w:val="0"/>
        <w:numId w:val="5"/>
      </w:numPr>
      <w:contextualSpacing/>
    </w:pPr>
  </w:style>
  <w:style w:type="paragraph" w:styleId="26">
    <w:name w:val="List 2"/>
    <w:basedOn w:val="1"/>
    <w:unhideWhenUsed/>
    <w:qFormat/>
    <w:uiPriority w:val="99"/>
    <w:pPr>
      <w:ind w:left="720" w:hanging="360"/>
      <w:contextualSpacing/>
    </w:pPr>
  </w:style>
  <w:style w:type="paragraph" w:styleId="27">
    <w:name w:val="List Continue"/>
    <w:basedOn w:val="1"/>
    <w:unhideWhenUsed/>
    <w:qFormat/>
    <w:uiPriority w:val="99"/>
    <w:pPr>
      <w:spacing w:after="120"/>
      <w:ind w:left="360"/>
      <w:contextualSpacing/>
    </w:pPr>
  </w:style>
  <w:style w:type="paragraph" w:styleId="28">
    <w:name w:val="List Bullet 2"/>
    <w:basedOn w:val="1"/>
    <w:unhideWhenUsed/>
    <w:qFormat/>
    <w:uiPriority w:val="99"/>
    <w:pPr>
      <w:numPr>
        <w:ilvl w:val="0"/>
        <w:numId w:val="6"/>
      </w:numPr>
      <w:contextualSpacing/>
    </w:pPr>
  </w:style>
  <w:style w:type="paragraph" w:styleId="29">
    <w:name w:val="footer"/>
    <w:basedOn w:val="1"/>
    <w:link w:val="141"/>
    <w:unhideWhenUsed/>
    <w:qFormat/>
    <w:uiPriority w:val="99"/>
    <w:pPr>
      <w:tabs>
        <w:tab w:val="center" w:pos="4680"/>
        <w:tab w:val="right" w:pos="9360"/>
      </w:tabs>
      <w:spacing w:after="0" w:line="240" w:lineRule="auto"/>
    </w:pPr>
  </w:style>
  <w:style w:type="paragraph" w:styleId="30">
    <w:name w:val="header"/>
    <w:basedOn w:val="1"/>
    <w:link w:val="140"/>
    <w:unhideWhenUsed/>
    <w:qFormat/>
    <w:uiPriority w:val="99"/>
    <w:pPr>
      <w:tabs>
        <w:tab w:val="center" w:pos="4680"/>
        <w:tab w:val="right" w:pos="9360"/>
      </w:tabs>
      <w:spacing w:after="0" w:line="240" w:lineRule="auto"/>
    </w:pPr>
  </w:style>
  <w:style w:type="paragraph" w:styleId="31">
    <w:name w:val="Subtitle"/>
    <w:basedOn w:val="1"/>
    <w:next w:val="1"/>
    <w:link w:val="14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2">
    <w:name w:val="List"/>
    <w:basedOn w:val="1"/>
    <w:unhideWhenUsed/>
    <w:qFormat/>
    <w:uiPriority w:val="99"/>
    <w:pPr>
      <w:ind w:left="360" w:hanging="360"/>
      <w:contextualSpacing/>
    </w:pPr>
  </w:style>
  <w:style w:type="paragraph" w:styleId="33">
    <w:name w:val="List Continue 2"/>
    <w:basedOn w:val="1"/>
    <w:unhideWhenUsed/>
    <w:qFormat/>
    <w:uiPriority w:val="99"/>
    <w:pPr>
      <w:spacing w:after="120"/>
      <w:ind w:left="720"/>
      <w:contextualSpacing/>
    </w:p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4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6">
    <w:name w:val="Body Text First Indent 2"/>
    <w:basedOn w:val="24"/>
    <w:unhideWhenUsed/>
    <w:qFormat/>
    <w:uiPriority w:val="99"/>
    <w:pPr>
      <w:spacing w:line="360" w:lineRule="auto"/>
      <w:ind w:firstLine="200" w:firstLineChars="200"/>
    </w:pPr>
  </w:style>
  <w:style w:type="table" w:styleId="38">
    <w:name w:val="Table Grid"/>
    <w:basedOn w:val="3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9">
    <w:name w:val="Light Shading"/>
    <w:basedOn w:val="37"/>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customStyle="1" w:styleId="140">
    <w:name w:val="Header Char"/>
    <w:basedOn w:val="137"/>
    <w:link w:val="30"/>
    <w:qFormat/>
    <w:uiPriority w:val="99"/>
  </w:style>
  <w:style w:type="character" w:customStyle="1" w:styleId="141">
    <w:name w:val="Footer Char"/>
    <w:basedOn w:val="137"/>
    <w:link w:val="29"/>
    <w:qFormat/>
    <w:uiPriority w:val="99"/>
  </w:style>
  <w:style w:type="paragraph" w:styleId="142">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3">
    <w:name w:val="Heading 1 Char"/>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4">
    <w:name w:val="Heading 2 Char"/>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5">
    <w:name w:val="Heading 3 Char"/>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6">
    <w:name w:val="Title Char"/>
    <w:basedOn w:val="137"/>
    <w:link w:val="3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7">
    <w:name w:val="Subtitle Char"/>
    <w:basedOn w:val="137"/>
    <w:link w:val="3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Body Text Char"/>
    <w:basedOn w:val="137"/>
    <w:link w:val="22"/>
    <w:qFormat/>
    <w:uiPriority w:val="99"/>
  </w:style>
  <w:style w:type="character" w:customStyle="1" w:styleId="150">
    <w:name w:val="Body Text 2 Char"/>
    <w:basedOn w:val="137"/>
    <w:link w:val="23"/>
    <w:qFormat/>
    <w:uiPriority w:val="99"/>
  </w:style>
  <w:style w:type="character" w:customStyle="1" w:styleId="151">
    <w:name w:val="Body Text 3 Char"/>
    <w:basedOn w:val="137"/>
    <w:link w:val="20"/>
    <w:qFormat/>
    <w:uiPriority w:val="99"/>
    <w:rPr>
      <w:sz w:val="16"/>
      <w:szCs w:val="16"/>
    </w:rPr>
  </w:style>
  <w:style w:type="character" w:customStyle="1" w:styleId="152">
    <w:name w:val="Macro Text Char"/>
    <w:basedOn w:val="137"/>
    <w:link w:val="4"/>
    <w:qFormat/>
    <w:uiPriority w:val="99"/>
    <w:rPr>
      <w:rFonts w:ascii="Courier" w:hAnsi="Courier"/>
      <w:sz w:val="20"/>
      <w:szCs w:val="20"/>
    </w:rPr>
  </w:style>
  <w:style w:type="paragraph" w:styleId="153">
    <w:name w:val="Quote"/>
    <w:basedOn w:val="1"/>
    <w:next w:val="1"/>
    <w:link w:val="154"/>
    <w:qFormat/>
    <w:uiPriority w:val="29"/>
    <w:rPr>
      <w:i/>
      <w:iCs/>
      <w:color w:val="000000" w:themeColor="text1"/>
      <w14:textFill>
        <w14:solidFill>
          <w14:schemeClr w14:val="tx1"/>
        </w14:solidFill>
      </w14:textFill>
    </w:rPr>
  </w:style>
  <w:style w:type="character" w:customStyle="1" w:styleId="154">
    <w:name w:val="Quote Char"/>
    <w:basedOn w:val="137"/>
    <w:link w:val="153"/>
    <w:qFormat/>
    <w:uiPriority w:val="29"/>
    <w:rPr>
      <w:i/>
      <w:iCs/>
      <w:color w:val="000000" w:themeColor="text1"/>
      <w14:textFill>
        <w14:solidFill>
          <w14:schemeClr w14:val="tx1"/>
        </w14:solidFill>
      </w14:textFill>
    </w:rPr>
  </w:style>
  <w:style w:type="character" w:customStyle="1" w:styleId="155">
    <w:name w:val="Heading 4 Char"/>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6">
    <w:name w:val="Heading 5 Char"/>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57">
    <w:name w:val="Heading 6 Char"/>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58">
    <w:name w:val="Heading 7 Char"/>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9">
    <w:name w:val="Heading 8 Char"/>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0">
    <w:name w:val="Heading 9 Char"/>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1">
    <w:name w:val="Intense Quote"/>
    <w:basedOn w:val="1"/>
    <w:next w:val="1"/>
    <w:link w:val="16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2">
    <w:name w:val="Intense Quote Char"/>
    <w:basedOn w:val="137"/>
    <w:link w:val="161"/>
    <w:qFormat/>
    <w:uiPriority w:val="30"/>
    <w:rPr>
      <w:b/>
      <w:bCs/>
      <w:i/>
      <w:iCs/>
      <w:color w:val="4F81BD" w:themeColor="accent1"/>
      <w14:textFill>
        <w14:solidFill>
          <w14:schemeClr w14:val="accent1"/>
        </w14:solidFill>
      </w14:textFill>
    </w:rPr>
  </w:style>
  <w:style w:type="character" w:customStyle="1" w:styleId="163">
    <w:name w:val="Subtle Emphasis"/>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64">
    <w:name w:val="Intense Emphasis"/>
    <w:basedOn w:val="137"/>
    <w:qFormat/>
    <w:uiPriority w:val="21"/>
    <w:rPr>
      <w:b/>
      <w:bCs/>
      <w:i/>
      <w:iCs/>
      <w:color w:val="4F81BD" w:themeColor="accent1"/>
      <w14:textFill>
        <w14:solidFill>
          <w14:schemeClr w14:val="accent1"/>
        </w14:solidFill>
      </w14:textFill>
    </w:rPr>
  </w:style>
  <w:style w:type="character" w:customStyle="1" w:styleId="165">
    <w:name w:val="Subtle Reference"/>
    <w:basedOn w:val="137"/>
    <w:qFormat/>
    <w:uiPriority w:val="31"/>
    <w:rPr>
      <w:smallCaps/>
      <w:color w:val="C0504D" w:themeColor="accent2"/>
      <w:u w:val="single"/>
      <w14:textFill>
        <w14:solidFill>
          <w14:schemeClr w14:val="accent2"/>
        </w14:solidFill>
      </w14:textFill>
    </w:rPr>
  </w:style>
  <w:style w:type="character" w:customStyle="1" w:styleId="166">
    <w:name w:val="Intense Reference"/>
    <w:basedOn w:val="137"/>
    <w:qFormat/>
    <w:uiPriority w:val="32"/>
    <w:rPr>
      <w:b/>
      <w:bCs/>
      <w:smallCaps/>
      <w:color w:val="C0504D" w:themeColor="accent2"/>
      <w:spacing w:val="5"/>
      <w:u w:val="single"/>
      <w14:textFill>
        <w14:solidFill>
          <w14:schemeClr w14:val="accent2"/>
        </w14:solidFill>
      </w14:textFill>
    </w:rPr>
  </w:style>
  <w:style w:type="character" w:customStyle="1" w:styleId="167">
    <w:name w:val="Book Title"/>
    <w:basedOn w:val="137"/>
    <w:qFormat/>
    <w:uiPriority w:val="33"/>
    <w:rPr>
      <w:b/>
      <w:bCs/>
      <w:smallCaps/>
      <w:spacing w:val="5"/>
    </w:rPr>
  </w:style>
  <w:style w:type="paragraph" w:customStyle="1" w:styleId="168">
    <w:name w:val="TOC Heading"/>
    <w:basedOn w:val="5"/>
    <w:next w:val="1"/>
    <w:semiHidden/>
    <w:unhideWhenUsed/>
    <w:qFormat/>
    <w:uiPriority w:val="39"/>
    <w:pPr>
      <w:outlineLvl w:val="9"/>
    </w:pPr>
  </w:style>
  <w:style w:type="paragraph" w:customStyle="1" w:styleId="169">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70">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71">
    <w:name w:val="王越的表头"/>
    <w:basedOn w:val="172"/>
    <w:qFormat/>
    <w:uiPriority w:val="0"/>
    <w:pPr>
      <w:spacing w:line="240" w:lineRule="auto"/>
      <w:ind w:firstLine="0" w:firstLineChars="0"/>
      <w:jc w:val="center"/>
    </w:pPr>
    <w:rPr>
      <w:b/>
    </w:rPr>
  </w:style>
  <w:style w:type="paragraph" w:customStyle="1" w:styleId="172">
    <w:name w:val="王越的正文"/>
    <w:basedOn w:val="1"/>
    <w:qFormat/>
    <w:uiPriority w:val="0"/>
    <w:pPr>
      <w:ind w:firstLine="480"/>
      <w:jc w:val="left"/>
    </w:pPr>
    <w:rPr>
      <w:rFonts w:ascii="宋体" w:hAnsi="宋体"/>
    </w:rPr>
  </w:style>
  <w:style w:type="paragraph" w:customStyle="1" w:styleId="173">
    <w:name w:val="王越的表格"/>
    <w:basedOn w:val="172"/>
    <w:qFormat/>
    <w:uiPriority w:val="0"/>
    <w:pPr>
      <w:spacing w:line="240" w:lineRule="auto"/>
      <w:ind w:firstLine="0" w:firstLineChars="0"/>
    </w:pPr>
  </w:style>
  <w:style w:type="paragraph" w:customStyle="1" w:styleId="174">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5">
    <w:name w:val="首行缩进"/>
    <w:basedOn w:val="1"/>
    <w:qFormat/>
    <w:uiPriority w:val="0"/>
    <w:pPr>
      <w:spacing w:line="360" w:lineRule="auto"/>
      <w:ind w:firstLine="480" w:firstLineChars="200"/>
    </w:pPr>
    <w:rPr>
      <w:rFonts w:ascii="Calibri" w:hAnsi="Calibri"/>
      <w:sz w:val="24"/>
      <w:szCs w:val="22"/>
      <w:lang w:val="zh-CN"/>
    </w:rPr>
  </w:style>
  <w:style w:type="paragraph" w:customStyle="1" w:styleId="176">
    <w:name w:val="列出段落11"/>
    <w:basedOn w:val="1"/>
    <w:qFormat/>
    <w:uiPriority w:val="99"/>
    <w:pPr>
      <w:widowControl/>
      <w:adjustRightInd/>
      <w:spacing w:before="40" w:after="160" w:line="240" w:lineRule="auto"/>
      <w:ind w:firstLine="420" w:firstLineChars="200"/>
      <w:textAlignment w:val="auto"/>
    </w:pPr>
    <w:rPr>
      <w:rFonts w:ascii="Cambria" w:hAnsi="Cambria" w:eastAsia="微软雅黑" w:cs="Cambria"/>
      <w:color w:val="565656"/>
      <w:kern w:val="20"/>
      <w:sz w:val="21"/>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6</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2026-05-09T01:29:09Z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