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名称：一期病床加固维修服务采购项目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维修服务类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3、投标人在近三年内（2023年4月-至今）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四、维修服务期限及维修质保期要求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1"/>
          <w:szCs w:val="20"/>
          <w:lang w:val="en-US" w:eastAsia="zh-CN"/>
        </w:rPr>
      </w:pPr>
      <w:r>
        <w:rPr>
          <w:rFonts w:hint="eastAsia" w:ascii="幼圆" w:hAnsi="幼圆" w:eastAsia="幼圆" w:cs="幼圆"/>
          <w:b w:val="0"/>
          <w:bCs w:val="0"/>
          <w:sz w:val="21"/>
          <w:szCs w:val="20"/>
          <w:lang w:val="en-US" w:eastAsia="zh-CN"/>
        </w:rPr>
        <w:t>维修服务期限：合同签订后30日内完成</w:t>
      </w:r>
      <w:r>
        <w:rPr>
          <w:rFonts w:hint="eastAsia" w:ascii="幼圆" w:hAnsi="幼圆" w:eastAsia="幼圆" w:cs="幼圆"/>
          <w:b/>
          <w:bCs/>
          <w:color w:val="FF0000"/>
          <w:sz w:val="21"/>
          <w:szCs w:val="20"/>
          <w:lang w:val="en-US" w:eastAsia="zh-CN"/>
        </w:rPr>
        <w:t>（*必须响应，废标项）</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val="0"/>
          <w:bCs w:val="0"/>
          <w:sz w:val="21"/>
          <w:szCs w:val="20"/>
          <w:lang w:val="en-US" w:eastAsia="zh-CN"/>
        </w:rPr>
        <w:t>维修质保期：自验收合格之日起质保期1年。</w:t>
      </w:r>
      <w:r>
        <w:rPr>
          <w:rFonts w:hint="eastAsia" w:ascii="幼圆" w:hAnsi="幼圆" w:eastAsia="幼圆" w:cs="幼圆"/>
          <w:b/>
          <w:bCs/>
          <w:color w:val="FF0000"/>
          <w:sz w:val="21"/>
          <w:szCs w:val="20"/>
          <w:lang w:val="en-US" w:eastAsia="zh-CN"/>
        </w:rPr>
        <w:t>（*必须响应，废标项）</w:t>
      </w:r>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维修要求</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医院一期在用病床956张，为病床统一加装背部支撑架，全覆盖、无遗漏。</w:t>
      </w:r>
    </w:p>
    <w:p>
      <w:pPr>
        <w:pStyle w:val="36"/>
        <w:numPr>
          <w:ilvl w:val="0"/>
          <w:numId w:val="10"/>
        </w:numPr>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产品用途：</w:t>
      </w:r>
    </w:p>
    <w:p>
      <w:pPr>
        <w:pStyle w:val="36"/>
        <w:numPr>
          <w:numId w:val="0"/>
        </w:numPr>
        <w:ind w:left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①安装于病床背部床板下方，增强承重、防止开裂、恢复使用功能；</w:t>
      </w:r>
    </w:p>
    <w:p>
      <w:pPr>
        <w:pStyle w:val="36"/>
        <w:numPr>
          <w:ilvl w:val="0"/>
          <w:numId w:val="10"/>
        </w:numPr>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材质：</w:t>
      </w:r>
    </w:p>
    <w:p>
      <w:pPr>
        <w:pStyle w:val="36"/>
        <w:numPr>
          <w:numId w:val="0"/>
        </w:numPr>
        <w:ind w:left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①优质304不锈钢，耐腐蚀、易清洁、适配医院病房环境，提供材质检测报告；</w:t>
      </w:r>
    </w:p>
    <w:p>
      <w:pPr>
        <w:pStyle w:val="36"/>
        <w:numPr>
          <w:ilvl w:val="0"/>
          <w:numId w:val="10"/>
        </w:numPr>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结构设计：</w:t>
      </w:r>
    </w:p>
    <w:p>
      <w:pPr>
        <w:pStyle w:val="36"/>
        <w:numPr>
          <w:numId w:val="0"/>
        </w:numPr>
        <w:ind w:left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①针对病床背部承重区定制，不占用使用空间、不影响病床升降/折叠/移动等原有功能，尺寸需现场测量；</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②受力均匀，加固后无晃动、无异响；</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③长期使用不变形；</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④与病床完全适配，安装后不损伤床体结构。</w:t>
      </w:r>
    </w:p>
    <w:p>
      <w:pPr>
        <w:pStyle w:val="36"/>
        <w:numPr>
          <w:ilvl w:val="0"/>
          <w:numId w:val="10"/>
        </w:numPr>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安装方式：</w:t>
      </w:r>
    </w:p>
    <w:p>
      <w:pPr>
        <w:pStyle w:val="36"/>
        <w:numPr>
          <w:numId w:val="0"/>
        </w:numPr>
        <w:ind w:left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①不锈钢螺丝固定，安装牢固、拆装便捷、施工无噪音、无明火。</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安全与应急管理</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 严格执行医院动火、用电、高空等作业许可制度，严禁违规操作；</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 作业人员配备合格防护用品，持证上岗，遵守安全操作规范；</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 因乙方原因造成人身伤害、财产损失、医患投诉、设备损坏等，由乙方承担全部责任与费用；</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不影响正常诊疗、不干扰医患，遵守医院作息与现场管理；</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 违规作业、延误工期、影响医疗秩序，按合同约定处罚并承担损失；</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全程保护病床、床垫、墙面地面，造成损坏由乙方全额赔偿。</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验收及考核</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1. 956张病床全部安装到位，支撑架牢固、无松动、无变形、无安全隐患；</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2. 不锈钢材质、尺寸、承重性能符合要求，提供产品合格证明与检测报告；</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3. 安装后病床所有原有功能正常，无损伤、无异响、无使用障碍；</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4. 验收不合格乙方无条件返工，费用与损失由乙方承担；</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5. 项目整体验收合格后进入质保期，质保期1年。</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6.本项目价格包含产品、运输、安装、人工、辅材、垃圾清运、税费、质保等全部费用；</w:t>
      </w:r>
    </w:p>
    <w:p>
      <w:pPr>
        <w:pStyle w:val="36"/>
        <w:ind w:left="0" w:leftChars="0" w:firstLine="0" w:firstLineChars="0"/>
        <w:rPr>
          <w:rFonts w:hint="eastAsia" w:ascii="幼圆" w:hAnsi="幼圆" w:eastAsia="幼圆" w:cs="幼圆"/>
          <w:b w:val="0"/>
          <w:bCs w:val="0"/>
          <w:sz w:val="21"/>
          <w:szCs w:val="20"/>
          <w:lang w:val="en-US" w:eastAsia="zh-CN" w:bidi="ar-SA"/>
        </w:rPr>
      </w:pPr>
      <w:r>
        <w:rPr>
          <w:rFonts w:hint="eastAsia" w:ascii="幼圆" w:hAnsi="幼圆" w:eastAsia="幼圆" w:cs="幼圆"/>
          <w:b w:val="0"/>
          <w:bCs w:val="0"/>
          <w:sz w:val="21"/>
          <w:szCs w:val="20"/>
          <w:lang w:val="en-US" w:eastAsia="zh-CN" w:bidi="ar-SA"/>
        </w:rPr>
        <w:t>7.质保期内接到报修应1小时内响应，4小时内到场处理。</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人员要求</w:t>
      </w:r>
    </w:p>
    <w:p>
      <w:pPr>
        <w:numPr>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rPr>
        <w:t>1.作业人员行为应规范（包括统一着装、佩戴标识、仪表仪容整洁等），并具有职业素质与从业人员保密制度等。</w:t>
      </w:r>
    </w:p>
    <w:p>
      <w:pPr>
        <w:numPr>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rPr>
        <w:t>2.乙方人员应经过专业技术培训且考核合格，具有相应的工作实践经验的操作人员。</w:t>
      </w:r>
    </w:p>
    <w:p>
      <w:pPr>
        <w:numPr>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rPr>
        <w:t>3.项目经理：年龄不足55周岁，具有大专及以上学历。</w:t>
      </w:r>
    </w:p>
    <w:p>
      <w:pPr>
        <w:numPr>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rPr>
        <w:t>4.作业人员需具有下述证照：</w:t>
      </w:r>
    </w:p>
    <w:p>
      <w:pPr>
        <w:numPr>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rPr>
        <w:t>《中华人民共和国特种作业操作证（电工证）》，不限高低压。</w:t>
      </w: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pStyle w:val="2"/>
        <w:rPr>
          <w:rFonts w:hint="eastAsia" w:ascii="幼圆" w:hAnsi="幼圆" w:eastAsia="幼圆" w:cs="幼圆"/>
          <w:b/>
          <w:bCs/>
          <w:sz w:val="28"/>
          <w:szCs w:val="24"/>
          <w:lang w:val="en-US" w:eastAsia="zh-CN"/>
        </w:rPr>
      </w:pPr>
    </w:p>
    <w:p>
      <w:pPr>
        <w:pStyle w:val="3"/>
        <w:rPr>
          <w:rFonts w:hint="eastAsia"/>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7"/>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rPr>
            </w:pPr>
            <w:r>
              <w:rPr>
                <w:rFonts w:hint="eastAsia" w:ascii="幼圆" w:hAnsi="幼圆" w:eastAsia="幼圆" w:cs="幼圆"/>
              </w:rPr>
              <w:t>价格部分</w:t>
            </w:r>
          </w:p>
          <w:p>
            <w:pPr>
              <w:pStyle w:val="2"/>
              <w:rPr>
                <w:rFonts w:hint="eastAsia" w:ascii="幼圆" w:hAnsi="幼圆" w:eastAsia="幼圆" w:cs="幼圆"/>
                <w:lang w:eastAsia="zh-CN"/>
              </w:rPr>
            </w:pPr>
            <w:r>
              <w:rPr>
                <w:rFonts w:hint="eastAsia" w:ascii="幼圆" w:hAnsi="幼圆" w:eastAsia="幼圆" w:cs="幼圆"/>
                <w:highlight w:val="none"/>
                <w:lang w:eastAsia="zh-CN"/>
              </w:rPr>
              <w:t>（</w:t>
            </w:r>
            <w:r>
              <w:rPr>
                <w:rFonts w:hint="eastAsia" w:ascii="幼圆" w:hAnsi="幼圆" w:eastAsia="幼圆" w:cs="幼圆"/>
                <w:highlight w:val="none"/>
                <w:lang w:val="en-US" w:eastAsia="zh-CN"/>
              </w:rPr>
              <w:t>30分</w:t>
            </w:r>
            <w:r>
              <w:rPr>
                <w:rFonts w:hint="eastAsia" w:ascii="幼圆" w:hAnsi="幼圆" w:eastAsia="幼圆" w:cs="幼圆"/>
                <w:highlight w:val="none"/>
                <w:lang w:eastAsia="zh-CN"/>
              </w:rPr>
              <w:t>）</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30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30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rPr>
            </w:pPr>
            <w:r>
              <w:rPr>
                <w:rFonts w:hint="eastAsia" w:ascii="幼圆" w:hAnsi="幼圆" w:eastAsia="幼圆" w:cs="幼圆"/>
              </w:rPr>
              <w:t>商务部分</w:t>
            </w:r>
          </w:p>
          <w:p>
            <w:pPr>
              <w:pStyle w:val="2"/>
              <w:rPr>
                <w:rFonts w:hint="eastAsia" w:ascii="幼圆" w:hAnsi="幼圆" w:eastAsia="幼圆" w:cs="幼圆"/>
                <w:lang w:eastAsia="zh-CN"/>
              </w:rPr>
            </w:pPr>
            <w:r>
              <w:rPr>
                <w:rFonts w:hint="eastAsia" w:ascii="幼圆" w:hAnsi="幼圆" w:eastAsia="幼圆" w:cs="幼圆"/>
                <w:highlight w:val="none"/>
                <w:lang w:eastAsia="zh-CN"/>
              </w:rPr>
              <w:t>（</w:t>
            </w:r>
            <w:r>
              <w:rPr>
                <w:rFonts w:hint="eastAsia" w:ascii="幼圆" w:hAnsi="幼圆" w:eastAsia="幼圆" w:cs="幼圆"/>
                <w:highlight w:val="none"/>
                <w:lang w:val="en-US" w:eastAsia="zh-CN"/>
              </w:rPr>
              <w:t>15分</w:t>
            </w:r>
            <w:r>
              <w:rPr>
                <w:rFonts w:hint="eastAsia" w:ascii="幼圆" w:hAnsi="幼圆" w:eastAsia="幼圆" w:cs="幼圆"/>
                <w:highlight w:val="none"/>
                <w:lang w:eastAsia="zh-CN"/>
              </w:rPr>
              <w:t>）</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15</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rPr>
            </w:pPr>
            <w:r>
              <w:rPr>
                <w:rFonts w:hint="eastAsia" w:ascii="幼圆" w:hAnsi="幼圆" w:eastAsia="幼圆" w:cs="幼圆"/>
              </w:rPr>
              <w:t>技术部分</w:t>
            </w:r>
          </w:p>
          <w:p>
            <w:pPr>
              <w:pStyle w:val="2"/>
              <w:rPr>
                <w:rFonts w:hint="eastAsia" w:ascii="幼圆" w:hAnsi="幼圆" w:eastAsia="幼圆" w:cs="幼圆"/>
                <w:lang w:eastAsia="zh-CN"/>
              </w:rPr>
            </w:pPr>
            <w:r>
              <w:rPr>
                <w:rFonts w:hint="eastAsia" w:ascii="幼圆" w:hAnsi="幼圆" w:eastAsia="幼圆" w:cs="幼圆"/>
                <w:highlight w:val="none"/>
                <w:lang w:eastAsia="zh-CN"/>
              </w:rPr>
              <w:t>（</w:t>
            </w:r>
            <w:r>
              <w:rPr>
                <w:rFonts w:hint="eastAsia" w:ascii="幼圆" w:hAnsi="幼圆" w:eastAsia="幼圆" w:cs="幼圆"/>
                <w:highlight w:val="none"/>
                <w:lang w:val="en-US" w:eastAsia="zh-CN"/>
              </w:rPr>
              <w:t>26分</w:t>
            </w:r>
            <w:r>
              <w:rPr>
                <w:rFonts w:hint="eastAsia" w:ascii="幼圆" w:hAnsi="幼圆" w:eastAsia="幼圆" w:cs="幼圆"/>
                <w:highlight w:val="none"/>
                <w:lang w:eastAsia="zh-CN"/>
              </w:rPr>
              <w:t>）</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21</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维修要求</w:t>
            </w:r>
            <w:r>
              <w:rPr>
                <w:rFonts w:hint="eastAsia" w:ascii="幼圆" w:hAnsi="幼圆" w:eastAsia="幼圆" w:cs="幼圆"/>
                <w:highlight w:val="none"/>
              </w:rPr>
              <w:t>”的得</w:t>
            </w:r>
            <w:r>
              <w:rPr>
                <w:rFonts w:hint="eastAsia" w:ascii="幼圆" w:hAnsi="幼圆" w:eastAsia="幼圆" w:cs="幼圆"/>
                <w:highlight w:val="none"/>
                <w:lang w:val="en-US" w:eastAsia="zh-CN"/>
              </w:rPr>
              <w:t>21</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7</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3</w:t>
            </w:r>
            <w:r>
              <w:rPr>
                <w:rFonts w:hint="eastAsia" w:ascii="幼圆" w:hAnsi="幼圆" w:eastAsia="幼圆" w:cs="幼圆"/>
                <w:highlight w:val="none"/>
              </w:rPr>
              <w:t>分，共</w:t>
            </w:r>
            <w:r>
              <w:rPr>
                <w:rFonts w:hint="eastAsia" w:ascii="幼圆" w:hAnsi="幼圆" w:eastAsia="幼圆" w:cs="幼圆"/>
                <w:highlight w:val="none"/>
                <w:lang w:val="en-US" w:eastAsia="zh-CN"/>
              </w:rPr>
              <w:t>21</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维修要求</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维修要求</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lang w:val="en-US" w:eastAsia="zh-CN"/>
              </w:rPr>
            </w:pPr>
            <w:r>
              <w:rPr>
                <w:rFonts w:hint="eastAsia" w:ascii="幼圆" w:hAnsi="幼圆" w:eastAsia="幼圆" w:cs="幼圆"/>
                <w:lang w:val="en-US" w:eastAsia="zh-CN"/>
              </w:rPr>
              <w:t>服务部分</w:t>
            </w:r>
          </w:p>
          <w:p>
            <w:pPr>
              <w:pStyle w:val="2"/>
              <w:jc w:val="center"/>
              <w:rPr>
                <w:rFonts w:hint="eastAsia" w:ascii="幼圆" w:hAnsi="幼圆" w:eastAsia="幼圆" w:cs="幼圆"/>
                <w:lang w:val="en-US" w:eastAsia="zh-CN"/>
              </w:rPr>
            </w:pPr>
            <w:r>
              <w:rPr>
                <w:rFonts w:hint="eastAsia" w:ascii="幼圆" w:hAnsi="幼圆" w:eastAsia="幼圆" w:cs="幼圆"/>
                <w:highlight w:val="none"/>
                <w:lang w:val="en-US" w:eastAsia="zh-CN"/>
              </w:rPr>
              <w:t>(24分)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3</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维修</w:t>
            </w: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13</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（1）根据各投标人按照采购需求提供的维修团队的规模、专业度、架构方面进行打分。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1）具有《中华人民共和国特种作业操作证（电工证）》，不限高低压。每提供一人得2分，最高6分。</w:t>
            </w:r>
          </w:p>
          <w:p>
            <w:pPr>
              <w:pStyle w:val="36"/>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3</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得3分；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得2分；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bookmarkStart w:id="5" w:name="_GoBack"/>
            <w:bookmarkEnd w:id="5"/>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5</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3</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lang w:val="en-US" w:eastAsia="zh-CN"/>
              </w:rPr>
            </w:pPr>
            <w:r>
              <w:rPr>
                <w:rFonts w:hint="eastAsia" w:ascii="幼圆" w:hAnsi="幼圆" w:eastAsia="幼圆" w:cs="幼圆"/>
                <w:lang w:val="en-US" w:eastAsia="zh-CN"/>
              </w:rPr>
              <w:t>其他</w:t>
            </w:r>
          </w:p>
          <w:p>
            <w:pPr>
              <w:pStyle w:val="2"/>
              <w:rPr>
                <w:rFonts w:hint="eastAsia" w:ascii="幼圆" w:hAnsi="幼圆" w:eastAsia="幼圆" w:cs="幼圆"/>
                <w:lang w:val="en-US" w:eastAsia="zh-CN"/>
              </w:rPr>
            </w:pPr>
            <w:r>
              <w:rPr>
                <w:rFonts w:hint="eastAsia" w:ascii="幼圆" w:hAnsi="幼圆" w:eastAsia="幼圆" w:cs="幼圆"/>
                <w:highlight w:val="none"/>
                <w:lang w:val="en-US" w:eastAsia="zh-CN"/>
              </w:rPr>
              <w:t>（5分）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3536577"/>
      <w:bookmarkStart w:id="3" w:name="_Toc70433717"/>
      <w:bookmarkStart w:id="4" w:name="_Toc955"/>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7"/>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E9D502EE"/>
    <w:multiLevelType w:val="singleLevel"/>
    <w:tmpl w:val="E9D502EE"/>
    <w:lvl w:ilvl="0" w:tentative="0">
      <w:start w:val="5"/>
      <w:numFmt w:val="chineseCounting"/>
      <w:suff w:val="nothing"/>
      <w:lvlText w:val="%1、"/>
      <w:lvlJc w:val="left"/>
      <w:rPr>
        <w:rFonts w:hint="eastAsia"/>
      </w:rPr>
    </w:lvl>
  </w:abstractNum>
  <w:abstractNum w:abstractNumId="2">
    <w:nsid w:val="FFFFFF7E"/>
    <w:multiLevelType w:val="singleLevel"/>
    <w:tmpl w:val="FFFFFF7E"/>
    <w:lvl w:ilvl="0" w:tentative="0">
      <w:start w:val="1"/>
      <w:numFmt w:val="decimal"/>
      <w:pStyle w:val="25"/>
      <w:lvlText w:val="%1."/>
      <w:lvlJc w:val="left"/>
      <w:pPr>
        <w:tabs>
          <w:tab w:val="left" w:pos="1080"/>
        </w:tabs>
        <w:ind w:left="1080" w:hanging="360"/>
      </w:pPr>
    </w:lvl>
  </w:abstractNum>
  <w:abstractNum w:abstractNumId="3">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4">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5">
    <w:nsid w:val="FFFFFF83"/>
    <w:multiLevelType w:val="singleLevel"/>
    <w:tmpl w:val="FFFFFF83"/>
    <w:lvl w:ilvl="0" w:tentative="0">
      <w:start w:val="1"/>
      <w:numFmt w:val="bullet"/>
      <w:pStyle w:val="28"/>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8">
    <w:nsid w:val="433F00E0"/>
    <w:multiLevelType w:val="multilevel"/>
    <w:tmpl w:val="433F00E0"/>
    <w:lvl w:ilvl="0" w:tentative="0">
      <w:start w:val="1"/>
      <w:numFmt w:val="decimal"/>
      <w:pStyle w:val="174"/>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4CDD214D"/>
    <w:multiLevelType w:val="singleLevel"/>
    <w:tmpl w:val="4CDD214D"/>
    <w:lvl w:ilvl="0" w:tentative="0">
      <w:start w:val="1"/>
      <w:numFmt w:val="decimal"/>
      <w:lvlText w:val="%1."/>
      <w:lvlJc w:val="left"/>
      <w:pPr>
        <w:tabs>
          <w:tab w:val="left" w:pos="312"/>
        </w:tabs>
      </w:pPr>
    </w:lvl>
  </w:abstractNum>
  <w:num w:numId="1">
    <w:abstractNumId w:val="3"/>
  </w:num>
  <w:num w:numId="2">
    <w:abstractNumId w:val="6"/>
  </w:num>
  <w:num w:numId="3">
    <w:abstractNumId w:val="7"/>
  </w:num>
  <w:num w:numId="4">
    <w:abstractNumId w:val="4"/>
  </w:num>
  <w:num w:numId="5">
    <w:abstractNumId w:val="2"/>
  </w:num>
  <w:num w:numId="6">
    <w:abstractNumId w:val="5"/>
  </w:num>
  <w:num w:numId="7">
    <w:abstractNumId w:val="8"/>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1FF4992"/>
    <w:rsid w:val="039B035C"/>
    <w:rsid w:val="03DC6164"/>
    <w:rsid w:val="04BF5B95"/>
    <w:rsid w:val="05B922DB"/>
    <w:rsid w:val="06247180"/>
    <w:rsid w:val="07965F00"/>
    <w:rsid w:val="08CA0C86"/>
    <w:rsid w:val="09423861"/>
    <w:rsid w:val="099730C7"/>
    <w:rsid w:val="0A4A3DA1"/>
    <w:rsid w:val="0ADE0A96"/>
    <w:rsid w:val="0B772CD7"/>
    <w:rsid w:val="0B9760F9"/>
    <w:rsid w:val="0D32706A"/>
    <w:rsid w:val="0F553938"/>
    <w:rsid w:val="0F6F40AA"/>
    <w:rsid w:val="106611D9"/>
    <w:rsid w:val="113329E6"/>
    <w:rsid w:val="117F262B"/>
    <w:rsid w:val="12A90D4E"/>
    <w:rsid w:val="12C56763"/>
    <w:rsid w:val="12EA542F"/>
    <w:rsid w:val="15901876"/>
    <w:rsid w:val="15B1627B"/>
    <w:rsid w:val="172A7912"/>
    <w:rsid w:val="1990077F"/>
    <w:rsid w:val="19A32D0D"/>
    <w:rsid w:val="1BE71C78"/>
    <w:rsid w:val="1E5F3F6D"/>
    <w:rsid w:val="1EC0631D"/>
    <w:rsid w:val="1F3C1C4F"/>
    <w:rsid w:val="1F5F6D41"/>
    <w:rsid w:val="202408C8"/>
    <w:rsid w:val="205F522A"/>
    <w:rsid w:val="210C0BC6"/>
    <w:rsid w:val="219B517E"/>
    <w:rsid w:val="2274584A"/>
    <w:rsid w:val="229B3C09"/>
    <w:rsid w:val="22BF180F"/>
    <w:rsid w:val="22E24F49"/>
    <w:rsid w:val="23E944F0"/>
    <w:rsid w:val="24392B0D"/>
    <w:rsid w:val="24A75DD1"/>
    <w:rsid w:val="24AB1841"/>
    <w:rsid w:val="24F414B1"/>
    <w:rsid w:val="258A6E5B"/>
    <w:rsid w:val="25AF67D6"/>
    <w:rsid w:val="25D77D3F"/>
    <w:rsid w:val="25E54A8E"/>
    <w:rsid w:val="26B26BA7"/>
    <w:rsid w:val="27372964"/>
    <w:rsid w:val="27BD3A55"/>
    <w:rsid w:val="28357004"/>
    <w:rsid w:val="2994584A"/>
    <w:rsid w:val="2A663850"/>
    <w:rsid w:val="2B745DF2"/>
    <w:rsid w:val="2BE26EA2"/>
    <w:rsid w:val="2C5F3B91"/>
    <w:rsid w:val="2D056703"/>
    <w:rsid w:val="2D26536C"/>
    <w:rsid w:val="2DA44891"/>
    <w:rsid w:val="2E9B3C76"/>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3F6E7574"/>
    <w:rsid w:val="404E1D8E"/>
    <w:rsid w:val="40E40ADC"/>
    <w:rsid w:val="411538B7"/>
    <w:rsid w:val="41536D26"/>
    <w:rsid w:val="41BE02EE"/>
    <w:rsid w:val="41EB7473"/>
    <w:rsid w:val="41F027BE"/>
    <w:rsid w:val="420A5259"/>
    <w:rsid w:val="421945B1"/>
    <w:rsid w:val="43BA518D"/>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7F6045"/>
    <w:rsid w:val="49B06B72"/>
    <w:rsid w:val="49F927E9"/>
    <w:rsid w:val="4A695CBB"/>
    <w:rsid w:val="4AEF402B"/>
    <w:rsid w:val="4B5410CE"/>
    <w:rsid w:val="4C0C22DC"/>
    <w:rsid w:val="4C0D4686"/>
    <w:rsid w:val="4D1D5914"/>
    <w:rsid w:val="4D5C393A"/>
    <w:rsid w:val="4E737776"/>
    <w:rsid w:val="4F884709"/>
    <w:rsid w:val="4FC375E6"/>
    <w:rsid w:val="502A0955"/>
    <w:rsid w:val="51F341B3"/>
    <w:rsid w:val="5257047F"/>
    <w:rsid w:val="529C7846"/>
    <w:rsid w:val="537D6985"/>
    <w:rsid w:val="53ED7FA3"/>
    <w:rsid w:val="548B5756"/>
    <w:rsid w:val="562D069E"/>
    <w:rsid w:val="5656504D"/>
    <w:rsid w:val="56A9ACE5"/>
    <w:rsid w:val="574D52F6"/>
    <w:rsid w:val="57C865C8"/>
    <w:rsid w:val="57F124B8"/>
    <w:rsid w:val="585502C9"/>
    <w:rsid w:val="586B0DA0"/>
    <w:rsid w:val="5887487A"/>
    <w:rsid w:val="5B5150A4"/>
    <w:rsid w:val="5E4C798F"/>
    <w:rsid w:val="5E75216F"/>
    <w:rsid w:val="5EE81843"/>
    <w:rsid w:val="5F165949"/>
    <w:rsid w:val="5F1C45FF"/>
    <w:rsid w:val="5FEFBD42"/>
    <w:rsid w:val="62BB227D"/>
    <w:rsid w:val="63A6046B"/>
    <w:rsid w:val="64690EAB"/>
    <w:rsid w:val="64F50F92"/>
    <w:rsid w:val="653324AB"/>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63B5B08"/>
    <w:rsid w:val="773A2CDF"/>
    <w:rsid w:val="781E5713"/>
    <w:rsid w:val="787B4E47"/>
    <w:rsid w:val="78EF290F"/>
    <w:rsid w:val="79EFCB93"/>
    <w:rsid w:val="7B1D2D88"/>
    <w:rsid w:val="7B4D01D8"/>
    <w:rsid w:val="7BBE4424"/>
    <w:rsid w:val="7CE1176F"/>
    <w:rsid w:val="7CEE0A85"/>
    <w:rsid w:val="7DC50CF4"/>
    <w:rsid w:val="7DFB6C40"/>
    <w:rsid w:val="7E3977A2"/>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3"/>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4"/>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5"/>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5"/>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6"/>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7"/>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8"/>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9"/>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0"/>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hAnsi="Times New Roman" w:eastAsia="Calibri" w:cs="宋体"/>
      <w:color w:val="000000"/>
      <w:sz w:val="24"/>
      <w:szCs w:val="24"/>
      <w:lang w:val="en-US" w:eastAsia="zh-CN" w:bidi="ar-SA"/>
    </w:rPr>
  </w:style>
  <w:style w:type="paragraph" w:styleId="3">
    <w:name w:val="footnote text"/>
    <w:basedOn w:val="1"/>
    <w:qFormat/>
    <w:uiPriority w:val="0"/>
    <w:pPr>
      <w:snapToGrid w:val="0"/>
      <w:jc w:val="left"/>
    </w:pPr>
    <w:rPr>
      <w:sz w:val="18"/>
      <w:szCs w:val="18"/>
    </w:rPr>
  </w:style>
  <w:style w:type="paragraph" w:styleId="4">
    <w:name w:val="macro"/>
    <w:link w:val="152"/>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51"/>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9"/>
    <w:unhideWhenUsed/>
    <w:qFormat/>
    <w:uiPriority w:val="99"/>
    <w:pPr>
      <w:spacing w:after="120"/>
    </w:pPr>
  </w:style>
  <w:style w:type="paragraph" w:styleId="23">
    <w:name w:val="Body Text 2"/>
    <w:basedOn w:val="1"/>
    <w:link w:val="150"/>
    <w:unhideWhenUsed/>
    <w:qFormat/>
    <w:uiPriority w:val="99"/>
    <w:pPr>
      <w:spacing w:after="120" w:line="480" w:lineRule="auto"/>
    </w:pPr>
  </w:style>
  <w:style w:type="paragraph" w:styleId="24">
    <w:name w:val="Body Text Indent"/>
    <w:basedOn w:val="1"/>
    <w:unhideWhenUsed/>
    <w:qFormat/>
    <w:uiPriority w:val="99"/>
    <w:pPr>
      <w:spacing w:after="120"/>
      <w:ind w:left="420" w:leftChars="200"/>
    </w:pPr>
  </w:style>
  <w:style w:type="paragraph" w:styleId="25">
    <w:name w:val="List Number 3"/>
    <w:basedOn w:val="1"/>
    <w:unhideWhenUsed/>
    <w:qFormat/>
    <w:uiPriority w:val="99"/>
    <w:pPr>
      <w:numPr>
        <w:ilvl w:val="0"/>
        <w:numId w:val="5"/>
      </w:numPr>
      <w:contextualSpacing/>
    </w:pPr>
  </w:style>
  <w:style w:type="paragraph" w:styleId="26">
    <w:name w:val="List 2"/>
    <w:basedOn w:val="1"/>
    <w:unhideWhenUsed/>
    <w:qFormat/>
    <w:uiPriority w:val="99"/>
    <w:pPr>
      <w:ind w:left="720" w:hanging="360"/>
      <w:contextualSpacing/>
    </w:pPr>
  </w:style>
  <w:style w:type="paragraph" w:styleId="27">
    <w:name w:val="List Continue"/>
    <w:basedOn w:val="1"/>
    <w:unhideWhenUsed/>
    <w:qFormat/>
    <w:uiPriority w:val="99"/>
    <w:pPr>
      <w:spacing w:after="120"/>
      <w:ind w:left="360"/>
      <w:contextualSpacing/>
    </w:pPr>
  </w:style>
  <w:style w:type="paragraph" w:styleId="28">
    <w:name w:val="List Bullet 2"/>
    <w:basedOn w:val="1"/>
    <w:unhideWhenUsed/>
    <w:qFormat/>
    <w:uiPriority w:val="99"/>
    <w:pPr>
      <w:numPr>
        <w:ilvl w:val="0"/>
        <w:numId w:val="6"/>
      </w:numPr>
      <w:contextualSpacing/>
    </w:pPr>
  </w:style>
  <w:style w:type="paragraph" w:styleId="29">
    <w:name w:val="footer"/>
    <w:basedOn w:val="1"/>
    <w:link w:val="141"/>
    <w:unhideWhenUsed/>
    <w:qFormat/>
    <w:uiPriority w:val="99"/>
    <w:pPr>
      <w:tabs>
        <w:tab w:val="center" w:pos="4680"/>
        <w:tab w:val="right" w:pos="9360"/>
      </w:tabs>
      <w:spacing w:after="0" w:line="240" w:lineRule="auto"/>
    </w:pPr>
  </w:style>
  <w:style w:type="paragraph" w:styleId="30">
    <w:name w:val="header"/>
    <w:basedOn w:val="1"/>
    <w:link w:val="140"/>
    <w:unhideWhenUsed/>
    <w:qFormat/>
    <w:uiPriority w:val="99"/>
    <w:pPr>
      <w:tabs>
        <w:tab w:val="center" w:pos="4680"/>
        <w:tab w:val="right" w:pos="9360"/>
      </w:tabs>
      <w:spacing w:after="0" w:line="240" w:lineRule="auto"/>
    </w:pPr>
  </w:style>
  <w:style w:type="paragraph" w:styleId="31">
    <w:name w:val="Subtitle"/>
    <w:basedOn w:val="1"/>
    <w:next w:val="1"/>
    <w:link w:val="14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2">
    <w:name w:val="List"/>
    <w:basedOn w:val="1"/>
    <w:unhideWhenUsed/>
    <w:qFormat/>
    <w:uiPriority w:val="99"/>
    <w:pPr>
      <w:ind w:left="360" w:hanging="360"/>
      <w:contextualSpacing/>
    </w:pPr>
  </w:style>
  <w:style w:type="paragraph" w:styleId="33">
    <w:name w:val="List Continue 2"/>
    <w:basedOn w:val="1"/>
    <w:unhideWhenUsed/>
    <w:qFormat/>
    <w:uiPriority w:val="99"/>
    <w:pPr>
      <w:spacing w:after="120"/>
      <w:ind w:left="720"/>
      <w:contextualSpacing/>
    </w:p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4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6">
    <w:name w:val="Body Text First Indent 2"/>
    <w:basedOn w:val="24"/>
    <w:unhideWhenUsed/>
    <w:qFormat/>
    <w:uiPriority w:val="99"/>
    <w:pPr>
      <w:spacing w:line="360" w:lineRule="auto"/>
      <w:ind w:firstLine="200" w:firstLineChars="200"/>
    </w:pPr>
  </w:style>
  <w:style w:type="table" w:styleId="38">
    <w:name w:val="Table Grid"/>
    <w:basedOn w:val="3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9">
    <w:name w:val="Light Shading"/>
    <w:basedOn w:val="37"/>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customStyle="1" w:styleId="140">
    <w:name w:val="Header Char"/>
    <w:basedOn w:val="137"/>
    <w:link w:val="30"/>
    <w:qFormat/>
    <w:uiPriority w:val="99"/>
  </w:style>
  <w:style w:type="character" w:customStyle="1" w:styleId="141">
    <w:name w:val="Footer Char"/>
    <w:basedOn w:val="137"/>
    <w:link w:val="29"/>
    <w:qFormat/>
    <w:uiPriority w:val="99"/>
  </w:style>
  <w:style w:type="paragraph" w:styleId="142">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3">
    <w:name w:val="Heading 1 Char"/>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4">
    <w:name w:val="Heading 2 Char"/>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5">
    <w:name w:val="Heading 3 Char"/>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6">
    <w:name w:val="Title Char"/>
    <w:basedOn w:val="137"/>
    <w:link w:val="3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7">
    <w:name w:val="Subtitle Char"/>
    <w:basedOn w:val="137"/>
    <w:link w:val="3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Body Text Char"/>
    <w:basedOn w:val="137"/>
    <w:link w:val="22"/>
    <w:qFormat/>
    <w:uiPriority w:val="99"/>
  </w:style>
  <w:style w:type="character" w:customStyle="1" w:styleId="150">
    <w:name w:val="Body Text 2 Char"/>
    <w:basedOn w:val="137"/>
    <w:link w:val="23"/>
    <w:qFormat/>
    <w:uiPriority w:val="99"/>
  </w:style>
  <w:style w:type="character" w:customStyle="1" w:styleId="151">
    <w:name w:val="Body Text 3 Char"/>
    <w:basedOn w:val="137"/>
    <w:link w:val="20"/>
    <w:qFormat/>
    <w:uiPriority w:val="99"/>
    <w:rPr>
      <w:sz w:val="16"/>
      <w:szCs w:val="16"/>
    </w:rPr>
  </w:style>
  <w:style w:type="character" w:customStyle="1" w:styleId="152">
    <w:name w:val="Macro Text Char"/>
    <w:basedOn w:val="137"/>
    <w:link w:val="4"/>
    <w:qFormat/>
    <w:uiPriority w:val="99"/>
    <w:rPr>
      <w:rFonts w:ascii="Courier" w:hAnsi="Courier"/>
      <w:sz w:val="20"/>
      <w:szCs w:val="20"/>
    </w:rPr>
  </w:style>
  <w:style w:type="paragraph" w:styleId="153">
    <w:name w:val="Quote"/>
    <w:basedOn w:val="1"/>
    <w:next w:val="1"/>
    <w:link w:val="154"/>
    <w:qFormat/>
    <w:uiPriority w:val="29"/>
    <w:rPr>
      <w:i/>
      <w:iCs/>
      <w:color w:val="000000" w:themeColor="text1"/>
      <w14:textFill>
        <w14:solidFill>
          <w14:schemeClr w14:val="tx1"/>
        </w14:solidFill>
      </w14:textFill>
    </w:rPr>
  </w:style>
  <w:style w:type="character" w:customStyle="1" w:styleId="154">
    <w:name w:val="Quote Char"/>
    <w:basedOn w:val="137"/>
    <w:link w:val="153"/>
    <w:qFormat/>
    <w:uiPriority w:val="29"/>
    <w:rPr>
      <w:i/>
      <w:iCs/>
      <w:color w:val="000000" w:themeColor="text1"/>
      <w14:textFill>
        <w14:solidFill>
          <w14:schemeClr w14:val="tx1"/>
        </w14:solidFill>
      </w14:textFill>
    </w:rPr>
  </w:style>
  <w:style w:type="character" w:customStyle="1" w:styleId="155">
    <w:name w:val="Heading 4 Char"/>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6">
    <w:name w:val="Heading 5 Char"/>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57">
    <w:name w:val="Heading 6 Char"/>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58">
    <w:name w:val="Heading 7 Char"/>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9">
    <w:name w:val="Heading 8 Char"/>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0">
    <w:name w:val="Heading 9 Char"/>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1">
    <w:name w:val="Intense Quote"/>
    <w:basedOn w:val="1"/>
    <w:next w:val="1"/>
    <w:link w:val="16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2">
    <w:name w:val="Intense Quote Char"/>
    <w:basedOn w:val="137"/>
    <w:link w:val="161"/>
    <w:qFormat/>
    <w:uiPriority w:val="30"/>
    <w:rPr>
      <w:b/>
      <w:bCs/>
      <w:i/>
      <w:iCs/>
      <w:color w:val="4F81BD" w:themeColor="accent1"/>
      <w14:textFill>
        <w14:solidFill>
          <w14:schemeClr w14:val="accent1"/>
        </w14:solidFill>
      </w14:textFill>
    </w:rPr>
  </w:style>
  <w:style w:type="character" w:customStyle="1" w:styleId="163">
    <w:name w:val="Subtle Emphasis"/>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64">
    <w:name w:val="Intense Emphasis"/>
    <w:basedOn w:val="137"/>
    <w:qFormat/>
    <w:uiPriority w:val="21"/>
    <w:rPr>
      <w:b/>
      <w:bCs/>
      <w:i/>
      <w:iCs/>
      <w:color w:val="4F81BD" w:themeColor="accent1"/>
      <w14:textFill>
        <w14:solidFill>
          <w14:schemeClr w14:val="accent1"/>
        </w14:solidFill>
      </w14:textFill>
    </w:rPr>
  </w:style>
  <w:style w:type="character" w:customStyle="1" w:styleId="165">
    <w:name w:val="Subtle Reference"/>
    <w:basedOn w:val="137"/>
    <w:qFormat/>
    <w:uiPriority w:val="31"/>
    <w:rPr>
      <w:smallCaps/>
      <w:color w:val="C0504D" w:themeColor="accent2"/>
      <w:u w:val="single"/>
      <w14:textFill>
        <w14:solidFill>
          <w14:schemeClr w14:val="accent2"/>
        </w14:solidFill>
      </w14:textFill>
    </w:rPr>
  </w:style>
  <w:style w:type="character" w:customStyle="1" w:styleId="166">
    <w:name w:val="Intense Reference"/>
    <w:basedOn w:val="137"/>
    <w:qFormat/>
    <w:uiPriority w:val="32"/>
    <w:rPr>
      <w:b/>
      <w:bCs/>
      <w:smallCaps/>
      <w:color w:val="C0504D" w:themeColor="accent2"/>
      <w:spacing w:val="5"/>
      <w:u w:val="single"/>
      <w14:textFill>
        <w14:solidFill>
          <w14:schemeClr w14:val="accent2"/>
        </w14:solidFill>
      </w14:textFill>
    </w:rPr>
  </w:style>
  <w:style w:type="character" w:customStyle="1" w:styleId="167">
    <w:name w:val="Book Title"/>
    <w:basedOn w:val="137"/>
    <w:qFormat/>
    <w:uiPriority w:val="33"/>
    <w:rPr>
      <w:b/>
      <w:bCs/>
      <w:smallCaps/>
      <w:spacing w:val="5"/>
    </w:rPr>
  </w:style>
  <w:style w:type="paragraph" w:customStyle="1" w:styleId="168">
    <w:name w:val="TOC Heading"/>
    <w:basedOn w:val="5"/>
    <w:next w:val="1"/>
    <w:semiHidden/>
    <w:unhideWhenUsed/>
    <w:qFormat/>
    <w:uiPriority w:val="39"/>
    <w:pPr>
      <w:outlineLvl w:val="9"/>
    </w:pPr>
  </w:style>
  <w:style w:type="paragraph" w:customStyle="1" w:styleId="169">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70">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71">
    <w:name w:val="王越的表头"/>
    <w:basedOn w:val="172"/>
    <w:qFormat/>
    <w:uiPriority w:val="0"/>
    <w:pPr>
      <w:spacing w:line="240" w:lineRule="auto"/>
      <w:ind w:firstLine="0" w:firstLineChars="0"/>
      <w:jc w:val="center"/>
    </w:pPr>
    <w:rPr>
      <w:b/>
    </w:rPr>
  </w:style>
  <w:style w:type="paragraph" w:customStyle="1" w:styleId="172">
    <w:name w:val="王越的正文"/>
    <w:basedOn w:val="1"/>
    <w:qFormat/>
    <w:uiPriority w:val="0"/>
    <w:pPr>
      <w:ind w:firstLine="480"/>
      <w:jc w:val="left"/>
    </w:pPr>
    <w:rPr>
      <w:rFonts w:ascii="宋体" w:hAnsi="宋体"/>
    </w:rPr>
  </w:style>
  <w:style w:type="paragraph" w:customStyle="1" w:styleId="173">
    <w:name w:val="王越的表格"/>
    <w:basedOn w:val="172"/>
    <w:qFormat/>
    <w:uiPriority w:val="0"/>
    <w:pPr>
      <w:spacing w:line="240" w:lineRule="auto"/>
      <w:ind w:firstLine="0" w:firstLineChars="0"/>
    </w:pPr>
  </w:style>
  <w:style w:type="paragraph" w:customStyle="1" w:styleId="174">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5">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6">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5</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2026-05-07T02:39:53Z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