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wordWrap/>
        <w:topLinePunct w:val="0"/>
        <w:bidi w:val="0"/>
        <w:spacing w:line="24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一、项目概况</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w:t>
      </w:r>
      <w:r>
        <w:rPr>
          <w:rFonts w:hint="eastAsia" w:ascii="幼圆" w:hAnsi="幼圆" w:eastAsia="幼圆" w:cs="幼圆"/>
          <w:sz w:val="21"/>
          <w:szCs w:val="20"/>
          <w:lang w:eastAsia="zh-CN"/>
        </w:rPr>
        <w:t>全院空调通风系统清洗检测服务采购项目</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keepNext w:val="0"/>
        <w:keepLines w:val="0"/>
        <w:pageBreakBefore w:val="0"/>
        <w:widowControl/>
        <w:numPr>
          <w:ilvl w:val="0"/>
          <w:numId w:val="8"/>
        </w:numPr>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项目类型</w:t>
      </w:r>
    </w:p>
    <w:p>
      <w:pPr>
        <w:keepNext w:val="0"/>
        <w:keepLines w:val="0"/>
        <w:pageBreakBefore w:val="0"/>
        <w:widowControl/>
        <w:numPr>
          <w:ilvl w:val="0"/>
          <w:numId w:val="0"/>
        </w:numPr>
        <w:wordWrap/>
        <w:topLinePunct w:val="0"/>
        <w:bidi w:val="0"/>
        <w:snapToGrid/>
        <w:spacing w:line="240" w:lineRule="auto"/>
        <w:textAlignment w:val="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维保服务类</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color w:val="FF0000"/>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2、在中华人民共和国境内注册登记，有生产或供应能力的本国供应商，包括法人、其他组织和个人；</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3、投标人在近三年内（2023年5月-至今）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4、具有良好的商业信誉和健全的财务会计制度；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6、本项目不接受联合体投标； </w:t>
      </w:r>
    </w:p>
    <w:p>
      <w:pPr>
        <w:pStyle w:val="2"/>
        <w:ind w:left="0" w:leftChars="0" w:firstLine="0" w:firstLineChars="0"/>
        <w:rPr>
          <w:rFonts w:hint="eastAsia" w:ascii="幼圆" w:hAnsi="幼圆" w:eastAsia="幼圆" w:cs="幼圆"/>
          <w:sz w:val="21"/>
          <w:szCs w:val="20"/>
          <w:lang w:val="en-US" w:eastAsia="zh-CN" w:bidi="ar-SA"/>
        </w:rPr>
      </w:pPr>
      <w:r>
        <w:rPr>
          <w:rFonts w:hint="eastAsia" w:ascii="幼圆" w:hAnsi="幼圆" w:eastAsia="幼圆" w:cs="幼圆"/>
          <w:sz w:val="21"/>
          <w:szCs w:val="20"/>
          <w:lang w:val="en-US" w:eastAsia="zh-CN" w:bidi="ar-SA"/>
        </w:rPr>
        <w:t>7.投标人提供有效的《安全生产许可证》，三体系认证（认证范围：空调清洗）</w:t>
      </w:r>
      <w:r>
        <w:rPr>
          <w:rFonts w:hint="eastAsia" w:ascii="幼圆" w:hAnsi="幼圆" w:eastAsia="幼圆" w:cs="幼圆"/>
          <w:b/>
          <w:bCs/>
          <w:color w:val="FF0000"/>
          <w:sz w:val="21"/>
          <w:szCs w:val="20"/>
          <w:lang w:val="en-US" w:eastAsia="zh-CN"/>
        </w:rPr>
        <w:t>(*资格条件必须满足，废标项）</w:t>
      </w:r>
      <w:r>
        <w:rPr>
          <w:rFonts w:hint="eastAsia" w:ascii="幼圆" w:hAnsi="幼圆" w:eastAsia="幼圆" w:cs="幼圆"/>
          <w:sz w:val="21"/>
          <w:szCs w:val="20"/>
          <w:lang w:val="en-US" w:eastAsia="zh-CN" w:bidi="ar-SA"/>
        </w:rPr>
        <w:t>。</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四、服务期要求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1"/>
          <w:szCs w:val="20"/>
          <w:lang w:val="en-US" w:eastAsia="zh-CN"/>
        </w:rPr>
        <w:t>合同履行期限：一年</w:t>
      </w:r>
      <w:r>
        <w:rPr>
          <w:rFonts w:hint="eastAsia" w:ascii="幼圆" w:hAnsi="幼圆" w:eastAsia="幼圆" w:cs="幼圆"/>
          <w:b/>
          <w:bCs/>
          <w:color w:val="FF0000"/>
          <w:sz w:val="21"/>
          <w:szCs w:val="20"/>
          <w:lang w:val="en-US" w:eastAsia="zh-CN"/>
        </w:rPr>
        <w:t>（*必须响应，废标项）</w:t>
      </w:r>
      <w:bookmarkStart w:id="5" w:name="_GoBack"/>
      <w:bookmarkEnd w:id="5"/>
      <w:bookmarkStart w:id="0" w:name="_Toc195775598"/>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服务内容</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1.应根据甲方要求进行空调通风系统清洗检测作业；清洗消毒工作应使承包区域符合《公共区域中央空调集中通风管理规范》、《公共场所集中空调通风系统清洗消毒规范》、《集中空调通风系统卫生管理规范》等规范要求，如遇与投标方所执行的标准发生矛盾时，按较高标准执行。</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2.乙方对清单内所有设施设备及进行清洗消毒作业，需满足规范或甲方需求（详附表）。</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3.检测内容含新风量、可吸入颗粒物、积尘量、风管内表面细菌总数、真菌总数、送风中细菌总数、真菌总数、β-溶血性链球菌、冷凝水中嗜肺军团菌等。</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4.风机盘管等凝水盘应投放专用药剂，投放药剂前，先清洁凝水盘、疏通冷凝水管，去除淤泥、杂物；禁止投放易损坏盘管、管路的带有强酸、强碱、漂白粉精、工业消毒液等强腐蚀性药剂，使用合规消毒产品，留存记录。</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5.清洗作业包括但不限于风机盘管部件及风口风道清洁消毒、各空调机组内外部清洁、通风管道清洁消毒等，并配合甲方更换1号楼风机盘管供回水软连接，甲方提供配件；待所有空调设施设备清洁消毒后每栋建筑出具合格的空调通风系统清洗检测报告，应具有：CNAS认证。</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6.在清洗过程中应采取有效措施，控制敏感的异味，不可出现尘土飞扬的情况，清洗过程中清除的污染物必须收集起来妥善处理。必要时可在通风管道上开启清洗维修口，并安装可开闭的清洗维修门以供清洗机械进出进行相应的清洗与检查工作。</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7.在消毒作业时应该选择在保证消毒效果的前提下对风管及设备损害小的消毒剂，必要时消毒后应及时进行冲洗和通风，防止消毒液残留物对人体与设备的有害影响。</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8.管道清洗过程中应采取风管内部保持负压，作业区隔离、覆盖、清除的污染物妥善收集等有效控制措施，防止集中空调通风系统内的污染物散布到非清洗工作区域。</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9.现场保护</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(1)作业现场内物品均应做好保护。</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(2)覆盖物用塑料布或彩条布。</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(3)对挂在墙上或立壁上易脱落的东西应取下来包装好并保存，待风道清扫完后再挂上。</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(4)作业现场攀爬用自带梯子，不踩踏桌椅、柜台，特殊区域酌情处理。</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(5)现场设专人看护物品，并做物品统计记录。</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10.作业未完成或缺少项目、不能达到甲方标准，甲方有权按照2000元/次罚扣乙方作为违约金。</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11.乙方应保证甲方设备安全运行，因乙方操作不当引起的安全、消防事故，所造成的损失，乙方负全责。</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12.作业时留痕，以备验收查用，管道清洗应有影像资料，全部作业完成后资料应交付甲方并同步验收。</w:t>
      </w:r>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安全与应急管理</w:t>
      </w:r>
    </w:p>
    <w:p>
      <w:pPr>
        <w:numPr>
          <w:ilvl w:val="0"/>
          <w:numId w:val="10"/>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工作许可：任何维保作业必须执行严格的动火作业、有限空间作业、高空作业、临时用电许可证制度。</w:t>
      </w:r>
    </w:p>
    <w:p>
      <w:pPr>
        <w:numPr>
          <w:ilvl w:val="0"/>
          <w:numId w:val="10"/>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应急预案：提供应急处置预案，提供完整的培训方案，做定期培训。</w:t>
      </w:r>
    </w:p>
    <w:p>
      <w:pPr>
        <w:numPr>
          <w:ilvl w:val="0"/>
          <w:numId w:val="10"/>
        </w:numPr>
        <w:spacing w:line="240" w:lineRule="auto"/>
        <w:ind w:left="425" w:leftChars="0" w:hanging="425" w:firstLineChars="0"/>
        <w:rPr>
          <w:rFonts w:hint="eastAsia" w:ascii="幼圆" w:hAnsi="幼圆" w:eastAsia="幼圆" w:cs="幼圆"/>
          <w:bCs/>
          <w:snapToGrid w:val="0"/>
          <w:kern w:val="21"/>
          <w:sz w:val="21"/>
          <w:szCs w:val="21"/>
          <w:lang w:val="en-US" w:eastAsia="zh-CN"/>
        </w:rPr>
      </w:pPr>
      <w:r>
        <w:rPr>
          <w:rFonts w:hint="eastAsia" w:ascii="幼圆" w:hAnsi="幼圆" w:eastAsia="幼圆" w:cs="幼圆"/>
          <w:bCs/>
          <w:snapToGrid w:val="0"/>
          <w:kern w:val="21"/>
          <w:sz w:val="21"/>
          <w:szCs w:val="21"/>
          <w:lang w:val="en-US" w:eastAsia="zh-CN"/>
        </w:rPr>
        <w:t>个人防护：作业时人员必须配备合格的工服、手套、安全鞋等个人防护装备。</w:t>
      </w:r>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验收及考核</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1.服务时间安排：</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周一至周日，7天24小时包括法定节假日均可执行现场清洗消毒作业；</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2.乙方作业期间由乙方工作延误导致人身、财产损失，由乙方承担全部责任。</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3.根据现场反馈问题，甲方通知乙方后，乙方应积极配合及时完成清洗消毒工作，作业期间甲方有权对乙方清洗消毒作业落实情况进行考核，因乙方人员工作问题延误导致现场投诉的，甲方有权按照1000元/次罚扣乙方作为违约金；因乙方人员专业性问题导致事件扩大或造成甲方损失的，甲方有权按照5000元/次罚扣乙方作为违约金且赔偿甲方损失。</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4.甲方有权随时检查现场人员工作情况，如有擅离职守、工作完成不到位等情况甲方有权按照1000元/次罚扣乙方作为违约金。</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5.清洗消毒工作结束后应出具工作详细报告及相关影像记录交付甲方进行同步验收。</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6.乙方应该为甲方建立相关工作档案，并配合甲方相关检查，乙方应认真执行国家有关规定，服从甲方管理部门的技术指导和业务管理，达到要求并承担相应的责任。</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7.乙方现场作业人员均应持有与该项目相匹配的作业证书方可上岗，如不符合要求条件，甲方有权提出更换。</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8.要确保文明作业，做好作业现场的卫生，作业垃圾清运时，要采取有效措施防止扬尘污染，做到活完场清。有噪音的作业项目必须在上午8：00—12：00，下午2：00—6：00时间段内作业且不能影响正常的工作。若属于抢修等紧急作业可突破上诉时间限制，但需要通告周边科室人员。</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9.作业中如因乙方人员责任发生火情、盗案、人身事故、损坏公物、作业安全事故等事件，由乙方承担全部责任。</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10.乙方必须管理好进入作业现场的人员，不得出现不文明的行为，不得发生骚扰医患人员和损坏公私财物事件，发现一次甲方有权按照1000元/次罚扣乙方作为违约金并赔偿相关损失。</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11.乙方必须保质保量的完成清洁消毒任务，如发生因质量问题造成的返工或权威部门验收不合格，由乙方承担全部损失并赔偿甲方损失。</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12.乙方应当遵守甲方关于现场作业的相关规定，违反规定的，按合同条款实施处罚，乙方不得以不知道、不清楚而逃避处罚。</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13.乙方拆除的材料及设备，交由甲方前乙方应妥善保管，如发现乙方擅自破坏或变卖，由乙方承担全部损失并赔偿甲方损失。</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 xml:space="preserve">14.违约界定和处理 </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 xml:space="preserve">(1)未按规定的时间完成本合同的作业内容； </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 xml:space="preserve">(2)提供的服务与本合同所要求的不一致； </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 xml:space="preserve">(3)提供的耗材质量和性能有问题，按规定属不合格产品； </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(4)特殊工种应持证上岗，作业时严格执行相关操作规程，严禁违章操作，发现违规作业强制清人且不得再次录用；</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 xml:space="preserve">(5)乙方将空调清洗消毒工作采取转包的； </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(6)作业时因乙方作业人员操作失误对甲方造成重大损失的；</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(7)处理约定：乙方若有上述情况之一的，甲方有权按照10%合同额/次罚扣乙方作为违约金，拒不改正的，合约解除，并赔偿甲方所有损失。</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lang w:val="en-US" w:eastAsia="zh-CN"/>
        </w:rPr>
        <w:t>(8)相关权威部门年度卫生检测、安全检查验收不合格，且乙方未在限期内整改，甲方有权提前终止合同。</w:t>
      </w:r>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人员要求</w:t>
      </w:r>
    </w:p>
    <w:p>
      <w:pPr>
        <w:numPr>
          <w:ilvl w:val="0"/>
          <w:numId w:val="0"/>
        </w:numPr>
        <w:spacing w:line="240" w:lineRule="auto"/>
        <w:rPr>
          <w:rFonts w:hint="eastAsia" w:ascii="幼圆" w:hAnsi="幼圆" w:eastAsia="幼圆" w:cs="幼圆"/>
          <w:spacing w:val="14"/>
          <w:sz w:val="22"/>
          <w:szCs w:val="22"/>
        </w:rPr>
      </w:pPr>
      <w:r>
        <w:rPr>
          <w:rFonts w:hint="eastAsia" w:ascii="幼圆" w:hAnsi="幼圆" w:eastAsia="幼圆" w:cs="幼圆"/>
          <w:spacing w:val="14"/>
          <w:sz w:val="22"/>
          <w:szCs w:val="22"/>
        </w:rPr>
        <w:t>1.应建立人员行为规范，作业员工应着装整齐，在工作时间内须统一穿着工作服、佩带工作证，其中疏导人员需佩戴绶带，在工作时间内不得擅自离开工作岗位。</w:t>
      </w:r>
    </w:p>
    <w:p>
      <w:pPr>
        <w:numPr>
          <w:ilvl w:val="0"/>
          <w:numId w:val="0"/>
        </w:numPr>
        <w:spacing w:line="240" w:lineRule="auto"/>
        <w:rPr>
          <w:rFonts w:hint="eastAsia" w:ascii="幼圆" w:hAnsi="幼圆" w:eastAsia="幼圆" w:cs="幼圆"/>
          <w:spacing w:val="14"/>
          <w:sz w:val="22"/>
          <w:szCs w:val="22"/>
        </w:rPr>
      </w:pPr>
      <w:r>
        <w:rPr>
          <w:rFonts w:hint="eastAsia" w:ascii="幼圆" w:hAnsi="幼圆" w:eastAsia="幼圆" w:cs="幼圆"/>
          <w:spacing w:val="14"/>
          <w:sz w:val="22"/>
          <w:szCs w:val="22"/>
        </w:rPr>
        <w:t>2.乙方人员应经过专业技术培训且考核合格，具有相应的工作实践经验的操作人员。应熟悉并掌握设备结构、性能、工作原理、操作方法及使用维修保养知识。</w:t>
      </w:r>
    </w:p>
    <w:p>
      <w:pPr>
        <w:numPr>
          <w:ilvl w:val="0"/>
          <w:numId w:val="0"/>
        </w:numPr>
        <w:spacing w:line="240" w:lineRule="auto"/>
        <w:rPr>
          <w:rFonts w:hint="eastAsia" w:ascii="幼圆" w:hAnsi="幼圆" w:eastAsia="幼圆" w:cs="幼圆"/>
          <w:spacing w:val="14"/>
          <w:sz w:val="22"/>
          <w:szCs w:val="22"/>
        </w:rPr>
      </w:pPr>
      <w:r>
        <w:rPr>
          <w:rFonts w:hint="eastAsia" w:ascii="幼圆" w:hAnsi="幼圆" w:eastAsia="幼圆" w:cs="幼圆"/>
          <w:spacing w:val="14"/>
          <w:sz w:val="22"/>
          <w:szCs w:val="22"/>
        </w:rPr>
        <w:t>3.工程经理：年龄不足55周岁，具有大专及以上学历。</w:t>
      </w:r>
    </w:p>
    <w:p>
      <w:pPr>
        <w:numPr>
          <w:ilvl w:val="0"/>
          <w:numId w:val="0"/>
        </w:numPr>
        <w:spacing w:line="240" w:lineRule="auto"/>
        <w:rPr>
          <w:rFonts w:hint="eastAsia" w:ascii="幼圆" w:hAnsi="幼圆" w:eastAsia="幼圆" w:cs="幼圆"/>
          <w:spacing w:val="14"/>
          <w:sz w:val="22"/>
          <w:szCs w:val="22"/>
        </w:rPr>
      </w:pPr>
      <w:r>
        <w:rPr>
          <w:rFonts w:hint="eastAsia" w:ascii="幼圆" w:hAnsi="幼圆" w:eastAsia="幼圆" w:cs="幼圆"/>
          <w:spacing w:val="14"/>
          <w:sz w:val="22"/>
          <w:szCs w:val="22"/>
        </w:rPr>
        <w:t>4.现场作业人员需具有下述证照：</w:t>
      </w:r>
    </w:p>
    <w:p>
      <w:pPr>
        <w:numPr>
          <w:ilvl w:val="0"/>
          <w:numId w:val="0"/>
        </w:numPr>
        <w:spacing w:line="240" w:lineRule="auto"/>
        <w:rPr>
          <w:rFonts w:hint="eastAsia" w:ascii="幼圆" w:hAnsi="幼圆" w:eastAsia="幼圆" w:cs="幼圆"/>
          <w:spacing w:val="14"/>
          <w:sz w:val="22"/>
          <w:szCs w:val="22"/>
        </w:rPr>
      </w:pPr>
      <w:r>
        <w:rPr>
          <w:rFonts w:hint="eastAsia" w:ascii="幼圆" w:hAnsi="幼圆" w:eastAsia="幼圆" w:cs="幼圆"/>
          <w:spacing w:val="14"/>
          <w:sz w:val="22"/>
          <w:szCs w:val="22"/>
        </w:rPr>
        <w:t>《中华人民共和国特种作业操作证（空调相关）》；</w:t>
      </w:r>
    </w:p>
    <w:p>
      <w:pPr>
        <w:numPr>
          <w:ilvl w:val="0"/>
          <w:numId w:val="0"/>
        </w:numPr>
        <w:spacing w:line="240" w:lineRule="auto"/>
        <w:rPr>
          <w:rFonts w:hint="eastAsia" w:ascii="幼圆" w:hAnsi="幼圆" w:eastAsia="幼圆" w:cs="幼圆"/>
          <w:spacing w:val="14"/>
          <w:sz w:val="22"/>
          <w:szCs w:val="22"/>
        </w:rPr>
      </w:pPr>
      <w:r>
        <w:rPr>
          <w:rFonts w:hint="eastAsia" w:ascii="幼圆" w:hAnsi="幼圆" w:eastAsia="幼圆" w:cs="幼圆"/>
          <w:spacing w:val="14"/>
          <w:sz w:val="22"/>
          <w:szCs w:val="22"/>
        </w:rPr>
        <w:t>《中华人民共和国特种作业操作证（高空作业证）》；</w:t>
      </w:r>
    </w:p>
    <w:p>
      <w:pPr>
        <w:numPr>
          <w:ilvl w:val="0"/>
          <w:numId w:val="0"/>
        </w:numPr>
        <w:spacing w:line="240" w:lineRule="auto"/>
        <w:rPr>
          <w:rFonts w:hint="eastAsia" w:ascii="幼圆" w:hAnsi="幼圆" w:eastAsia="幼圆" w:cs="幼圆"/>
          <w:spacing w:val="14"/>
          <w:sz w:val="22"/>
          <w:szCs w:val="22"/>
        </w:rPr>
      </w:pPr>
      <w:r>
        <w:rPr>
          <w:rFonts w:hint="eastAsia" w:ascii="幼圆" w:hAnsi="幼圆" w:eastAsia="幼圆" w:cs="幼圆"/>
          <w:spacing w:val="14"/>
          <w:sz w:val="22"/>
          <w:szCs w:val="22"/>
        </w:rPr>
        <w:t>5.乙方接接甲方反馈问题后，电话响应时间 10分钟之内，到达反馈现场时间1小时之内，并于4小时内将问题排除。</w:t>
      </w:r>
    </w:p>
    <w:p>
      <w:pPr>
        <w:numPr>
          <w:ilvl w:val="0"/>
          <w:numId w:val="0"/>
        </w:numPr>
        <w:spacing w:line="240" w:lineRule="auto"/>
        <w:rPr>
          <w:rFonts w:hint="eastAsia" w:ascii="幼圆" w:hAnsi="幼圆" w:eastAsia="幼圆" w:cs="幼圆"/>
          <w:b/>
          <w:bCs w:val="0"/>
          <w:snapToGrid w:val="0"/>
          <w:kern w:val="21"/>
          <w:sz w:val="32"/>
          <w:szCs w:val="32"/>
          <w:lang w:val="en-US" w:eastAsia="zh-CN"/>
        </w:rPr>
      </w:pPr>
      <w:r>
        <w:rPr>
          <w:rFonts w:hint="eastAsia" w:ascii="幼圆" w:hAnsi="幼圆" w:eastAsia="幼圆" w:cs="幼圆"/>
          <w:spacing w:val="14"/>
          <w:sz w:val="22"/>
          <w:szCs w:val="22"/>
        </w:rPr>
        <w:t>6.本项目不涉及驻场服务。</w:t>
      </w:r>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维保设备清单</w:t>
      </w:r>
    </w:p>
    <w:tbl>
      <w:tblPr>
        <w:tblStyle w:val="35"/>
        <w:tblW w:w="852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2"/>
        <w:gridCol w:w="1300"/>
        <w:gridCol w:w="2482"/>
        <w:gridCol w:w="1331"/>
        <w:gridCol w:w="852"/>
        <w:gridCol w:w="852"/>
        <w:gridCol w:w="8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1"/>
                <w:szCs w:val="21"/>
                <w:u w:val="none"/>
              </w:rPr>
            </w:pPr>
            <w:r>
              <w:rPr>
                <w:rFonts w:hint="eastAsia" w:ascii="幼圆" w:hAnsi="幼圆" w:eastAsia="幼圆" w:cs="幼圆"/>
                <w:b/>
                <w:bCs/>
                <w:i w:val="0"/>
                <w:iCs w:val="0"/>
                <w:color w:val="000000"/>
                <w:kern w:val="0"/>
                <w:sz w:val="21"/>
                <w:szCs w:val="21"/>
                <w:u w:val="none"/>
                <w:lang w:val="en-US" w:eastAsia="zh-CN" w:bidi="ar"/>
              </w:rPr>
              <w:t>序号</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1"/>
                <w:szCs w:val="21"/>
                <w:u w:val="none"/>
              </w:rPr>
            </w:pPr>
            <w:r>
              <w:rPr>
                <w:rFonts w:hint="eastAsia" w:ascii="幼圆" w:hAnsi="幼圆" w:eastAsia="幼圆" w:cs="幼圆"/>
                <w:b/>
                <w:bCs/>
                <w:i w:val="0"/>
                <w:iCs w:val="0"/>
                <w:color w:val="000000"/>
                <w:kern w:val="0"/>
                <w:sz w:val="21"/>
                <w:szCs w:val="21"/>
                <w:u w:val="none"/>
                <w:lang w:val="en-US" w:eastAsia="zh-CN" w:bidi="ar"/>
              </w:rPr>
              <w:t>区域</w:t>
            </w: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1"/>
                <w:szCs w:val="21"/>
                <w:u w:val="none"/>
              </w:rPr>
            </w:pPr>
            <w:r>
              <w:rPr>
                <w:rFonts w:hint="eastAsia" w:ascii="幼圆" w:hAnsi="幼圆" w:eastAsia="幼圆" w:cs="幼圆"/>
                <w:b/>
                <w:bCs/>
                <w:i w:val="0"/>
                <w:iCs w:val="0"/>
                <w:color w:val="000000"/>
                <w:kern w:val="0"/>
                <w:sz w:val="21"/>
                <w:szCs w:val="21"/>
                <w:u w:val="none"/>
                <w:lang w:val="en-US" w:eastAsia="zh-CN" w:bidi="ar"/>
              </w:rPr>
              <w:t>设备名称</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1"/>
                <w:szCs w:val="21"/>
                <w:u w:val="none"/>
              </w:rPr>
            </w:pPr>
            <w:r>
              <w:rPr>
                <w:rFonts w:hint="eastAsia" w:ascii="幼圆" w:hAnsi="幼圆" w:eastAsia="幼圆" w:cs="幼圆"/>
                <w:b/>
                <w:bCs/>
                <w:i w:val="0"/>
                <w:iCs w:val="0"/>
                <w:color w:val="000000"/>
                <w:kern w:val="0"/>
                <w:sz w:val="21"/>
                <w:szCs w:val="21"/>
                <w:u w:val="none"/>
                <w:lang w:val="en-US" w:eastAsia="zh-CN" w:bidi="ar"/>
              </w:rPr>
              <w:t>参数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1"/>
                <w:szCs w:val="21"/>
                <w:u w:val="none"/>
              </w:rPr>
            </w:pPr>
            <w:r>
              <w:rPr>
                <w:rFonts w:hint="eastAsia" w:ascii="幼圆" w:hAnsi="幼圆" w:eastAsia="幼圆" w:cs="幼圆"/>
                <w:b/>
                <w:bCs/>
                <w:i w:val="0"/>
                <w:iCs w:val="0"/>
                <w:color w:val="000000"/>
                <w:kern w:val="0"/>
                <w:sz w:val="21"/>
                <w:szCs w:val="21"/>
                <w:u w:val="none"/>
                <w:lang w:val="en-US" w:eastAsia="zh-CN" w:bidi="ar"/>
              </w:rPr>
              <w:t>单位</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1"/>
                <w:szCs w:val="21"/>
                <w:u w:val="none"/>
              </w:rPr>
            </w:pPr>
            <w:r>
              <w:rPr>
                <w:rFonts w:hint="eastAsia" w:ascii="幼圆" w:hAnsi="幼圆" w:eastAsia="幼圆" w:cs="幼圆"/>
                <w:b/>
                <w:bCs/>
                <w:i w:val="0"/>
                <w:iCs w:val="0"/>
                <w:color w:val="000000"/>
                <w:kern w:val="0"/>
                <w:sz w:val="21"/>
                <w:szCs w:val="21"/>
                <w:u w:val="none"/>
                <w:lang w:val="en-US" w:eastAsia="zh-CN" w:bidi="ar"/>
              </w:rPr>
              <w:t>数量</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1"/>
                <w:szCs w:val="21"/>
                <w:u w:val="none"/>
              </w:rPr>
            </w:pPr>
            <w:r>
              <w:rPr>
                <w:rFonts w:hint="eastAsia" w:ascii="幼圆" w:hAnsi="幼圆" w:eastAsia="幼圆" w:cs="幼圆"/>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none"/>
                <w:u w:val="none"/>
              </w:rPr>
            </w:pPr>
            <w:r>
              <w:rPr>
                <w:rFonts w:hint="eastAsia" w:ascii="幼圆" w:hAnsi="幼圆" w:eastAsia="幼圆" w:cs="幼圆"/>
                <w:i w:val="0"/>
                <w:iCs w:val="0"/>
                <w:color w:val="000000"/>
                <w:kern w:val="0"/>
                <w:sz w:val="21"/>
                <w:szCs w:val="21"/>
                <w:highlight w:val="none"/>
                <w:u w:val="none"/>
                <w:lang w:val="en-US" w:eastAsia="zh-CN" w:bidi="ar"/>
              </w:rPr>
              <w:t>1</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1/2号楼空调设备</w:t>
            </w: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空调机组</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自行勘探</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103</w:t>
            </w:r>
          </w:p>
        </w:tc>
        <w:tc>
          <w:tcPr>
            <w:tcW w:w="852"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lang w:eastAsia="zh-CN"/>
              </w:rPr>
            </w:pPr>
            <w:r>
              <w:rPr>
                <w:rFonts w:hint="eastAsia" w:ascii="幼圆" w:hAnsi="幼圆" w:eastAsia="幼圆" w:cs="幼圆"/>
                <w:b w:val="0"/>
                <w:bCs w:val="0"/>
                <w:i w:val="0"/>
                <w:iCs w:val="0"/>
                <w:color w:val="000000"/>
                <w:sz w:val="21"/>
                <w:szCs w:val="21"/>
                <w:highlight w:val="none"/>
                <w:u w:val="none"/>
                <w:lang w:eastAsia="zh-CN"/>
              </w:rPr>
              <w:t>含各风口清洁消毒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2</w:t>
            </w: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kern w:val="2"/>
                <w:sz w:val="21"/>
                <w:szCs w:val="21"/>
                <w:highlight w:val="yellow"/>
                <w:u w:val="none"/>
                <w:lang w:val="en-US" w:eastAsia="zh-CN" w:bidi="ar-SA"/>
              </w:rPr>
            </w:pPr>
            <w:r>
              <w:rPr>
                <w:rFonts w:hint="eastAsia" w:ascii="幼圆" w:hAnsi="幼圆" w:eastAsia="幼圆" w:cs="幼圆"/>
                <w:i w:val="0"/>
                <w:iCs w:val="0"/>
                <w:color w:val="000000"/>
                <w:kern w:val="0"/>
                <w:sz w:val="21"/>
                <w:szCs w:val="21"/>
                <w:u w:val="none"/>
                <w:lang w:val="en-US" w:eastAsia="zh-CN" w:bidi="ar"/>
              </w:rPr>
              <w:t>风机盘管</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kern w:val="2"/>
                <w:sz w:val="21"/>
                <w:szCs w:val="21"/>
                <w:highlight w:val="yellow"/>
                <w:u w:val="none"/>
                <w:lang w:val="en-US" w:eastAsia="zh-CN" w:bidi="ar-SA"/>
              </w:rPr>
            </w:pPr>
            <w:r>
              <w:rPr>
                <w:rFonts w:hint="eastAsia" w:ascii="幼圆" w:hAnsi="幼圆" w:eastAsia="幼圆" w:cs="幼圆"/>
                <w:i w:val="0"/>
                <w:iCs w:val="0"/>
                <w:color w:val="000000"/>
                <w:kern w:val="0"/>
                <w:sz w:val="21"/>
                <w:szCs w:val="21"/>
                <w:u w:val="none"/>
                <w:lang w:val="en-US" w:eastAsia="zh-CN" w:bidi="ar"/>
              </w:rPr>
              <w:t>自行勘探</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kern w:val="2"/>
                <w:sz w:val="21"/>
                <w:szCs w:val="21"/>
                <w:highlight w:val="yellow"/>
                <w:u w:val="none"/>
                <w:lang w:val="en-US" w:eastAsia="zh-CN" w:bidi="ar-SA"/>
              </w:rPr>
            </w:pPr>
            <w:r>
              <w:rPr>
                <w:rFonts w:hint="eastAsia" w:ascii="幼圆" w:hAnsi="幼圆" w:eastAsia="幼圆" w:cs="幼圆"/>
                <w:i w:val="0"/>
                <w:iCs w:val="0"/>
                <w:color w:val="000000"/>
                <w:kern w:val="0"/>
                <w:sz w:val="21"/>
                <w:szCs w:val="21"/>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kern w:val="2"/>
                <w:sz w:val="21"/>
                <w:szCs w:val="21"/>
                <w:highlight w:val="yellow"/>
                <w:u w:val="none"/>
                <w:lang w:val="en-US" w:eastAsia="zh-CN" w:bidi="ar-SA"/>
              </w:rPr>
            </w:pPr>
            <w:r>
              <w:rPr>
                <w:rFonts w:hint="eastAsia" w:ascii="幼圆" w:hAnsi="幼圆" w:eastAsia="幼圆" w:cs="幼圆"/>
                <w:i w:val="0"/>
                <w:iCs w:val="0"/>
                <w:color w:val="000000"/>
                <w:kern w:val="0"/>
                <w:sz w:val="21"/>
                <w:szCs w:val="21"/>
                <w:u w:val="none"/>
                <w:lang w:val="en-US" w:eastAsia="zh-CN" w:bidi="ar"/>
              </w:rPr>
              <w:t>1750</w:t>
            </w:r>
          </w:p>
        </w:tc>
        <w:tc>
          <w:tcPr>
            <w:tcW w:w="852" w:type="dxa"/>
            <w:vMerge w:val="continue"/>
            <w:tcBorders>
              <w:left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3</w:t>
            </w: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color w:val="auto"/>
              </w:rPr>
              <w:t>通风管道</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自行勘探</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平方米</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37000</w:t>
            </w:r>
          </w:p>
        </w:tc>
        <w:tc>
          <w:tcPr>
            <w:tcW w:w="852" w:type="dxa"/>
            <w:vMerge w:val="continue"/>
            <w:tcBorders>
              <w:left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none"/>
                <w:u w:val="none"/>
                <w:lang w:val="en-US" w:eastAsia="zh-CN"/>
              </w:rPr>
            </w:pPr>
            <w:r>
              <w:rPr>
                <w:rFonts w:hint="eastAsia" w:ascii="幼圆" w:hAnsi="幼圆" w:eastAsia="幼圆" w:cs="幼圆"/>
                <w:b w:val="0"/>
                <w:bCs w:val="0"/>
                <w:i w:val="0"/>
                <w:iCs w:val="0"/>
                <w:color w:val="000000"/>
                <w:sz w:val="21"/>
                <w:szCs w:val="21"/>
                <w:highlight w:val="none"/>
                <w:u w:val="none"/>
                <w:lang w:val="en-US" w:eastAsia="zh-CN"/>
              </w:rPr>
              <w:t>4</w:t>
            </w: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手术室顶棚</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自行勘探</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平方米</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lang w:val="en-US"/>
              </w:rPr>
            </w:pPr>
            <w:r>
              <w:rPr>
                <w:rFonts w:hint="eastAsia" w:ascii="幼圆" w:hAnsi="幼圆" w:eastAsia="幼圆" w:cs="幼圆"/>
                <w:i w:val="0"/>
                <w:iCs w:val="0"/>
                <w:color w:val="000000"/>
                <w:kern w:val="0"/>
                <w:sz w:val="21"/>
                <w:szCs w:val="21"/>
                <w:u w:val="none"/>
                <w:lang w:val="en-US" w:eastAsia="zh-CN" w:bidi="ar"/>
              </w:rPr>
              <w:t>2500</w:t>
            </w:r>
          </w:p>
        </w:tc>
        <w:tc>
          <w:tcPr>
            <w:tcW w:w="852" w:type="dxa"/>
            <w:vMerge w:val="continue"/>
            <w:tcBorders>
              <w:left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none"/>
                <w:u w:val="none"/>
                <w:lang w:val="en-US" w:eastAsia="zh-CN"/>
              </w:rPr>
            </w:pPr>
            <w:r>
              <w:rPr>
                <w:rFonts w:hint="eastAsia" w:ascii="幼圆" w:hAnsi="幼圆" w:eastAsia="幼圆" w:cs="幼圆"/>
                <w:b w:val="0"/>
                <w:bCs w:val="0"/>
                <w:i w:val="0"/>
                <w:iCs w:val="0"/>
                <w:color w:val="000000"/>
                <w:sz w:val="21"/>
                <w:szCs w:val="21"/>
                <w:highlight w:val="none"/>
                <w:u w:val="none"/>
                <w:lang w:val="en-US" w:eastAsia="zh-CN"/>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3号楼空调设备</w:t>
            </w: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空调机组</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自行勘探</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11</w:t>
            </w:r>
          </w:p>
        </w:tc>
        <w:tc>
          <w:tcPr>
            <w:tcW w:w="852" w:type="dxa"/>
            <w:vMerge w:val="continue"/>
            <w:tcBorders>
              <w:left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none"/>
                <w:u w:val="none"/>
                <w:lang w:val="en-US" w:eastAsia="zh-CN"/>
              </w:rPr>
            </w:pPr>
            <w:r>
              <w:rPr>
                <w:rFonts w:hint="eastAsia" w:ascii="幼圆" w:hAnsi="幼圆" w:eastAsia="幼圆" w:cs="幼圆"/>
                <w:b w:val="0"/>
                <w:bCs w:val="0"/>
                <w:i w:val="0"/>
                <w:iCs w:val="0"/>
                <w:color w:val="000000"/>
                <w:sz w:val="21"/>
                <w:szCs w:val="21"/>
                <w:highlight w:val="none"/>
                <w:u w:val="none"/>
                <w:lang w:val="en-US" w:eastAsia="zh-CN"/>
              </w:rPr>
              <w:t>6</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5号楼空调设备</w:t>
            </w: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空调机组</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自行勘探</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168</w:t>
            </w:r>
          </w:p>
        </w:tc>
        <w:tc>
          <w:tcPr>
            <w:tcW w:w="852" w:type="dxa"/>
            <w:vMerge w:val="continue"/>
            <w:tcBorders>
              <w:left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7</w:t>
            </w: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color w:val="auto"/>
              </w:rPr>
              <w:t>通风管道</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自行勘探</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平方米</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50000</w:t>
            </w:r>
          </w:p>
        </w:tc>
        <w:tc>
          <w:tcPr>
            <w:tcW w:w="852" w:type="dxa"/>
            <w:vMerge w:val="continue"/>
            <w:tcBorders>
              <w:left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8</w:t>
            </w: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kern w:val="2"/>
                <w:sz w:val="21"/>
                <w:szCs w:val="21"/>
                <w:highlight w:val="yellow"/>
                <w:u w:val="none"/>
                <w:lang w:val="en-US" w:eastAsia="zh-CN" w:bidi="ar-SA"/>
              </w:rPr>
            </w:pPr>
            <w:r>
              <w:rPr>
                <w:rFonts w:hint="eastAsia" w:ascii="幼圆" w:hAnsi="幼圆" w:eastAsia="幼圆" w:cs="幼圆"/>
                <w:i w:val="0"/>
                <w:iCs w:val="0"/>
                <w:color w:val="000000"/>
                <w:kern w:val="0"/>
                <w:sz w:val="21"/>
                <w:szCs w:val="21"/>
                <w:u w:val="none"/>
                <w:lang w:val="en-US" w:eastAsia="zh-CN" w:bidi="ar"/>
              </w:rPr>
              <w:t>手术室顶棚</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kern w:val="2"/>
                <w:sz w:val="21"/>
                <w:szCs w:val="21"/>
                <w:highlight w:val="yellow"/>
                <w:u w:val="none"/>
                <w:lang w:val="en-US" w:eastAsia="zh-CN" w:bidi="ar-SA"/>
              </w:rPr>
            </w:pPr>
            <w:r>
              <w:rPr>
                <w:rFonts w:hint="eastAsia" w:ascii="幼圆" w:hAnsi="幼圆" w:eastAsia="幼圆" w:cs="幼圆"/>
                <w:i w:val="0"/>
                <w:iCs w:val="0"/>
                <w:color w:val="000000"/>
                <w:kern w:val="0"/>
                <w:sz w:val="21"/>
                <w:szCs w:val="21"/>
                <w:u w:val="none"/>
                <w:lang w:val="en-US" w:eastAsia="zh-CN" w:bidi="ar"/>
              </w:rPr>
              <w:t>自行勘探</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kern w:val="2"/>
                <w:sz w:val="21"/>
                <w:szCs w:val="21"/>
                <w:highlight w:val="yellow"/>
                <w:u w:val="none"/>
                <w:lang w:val="en-US" w:eastAsia="zh-CN" w:bidi="ar-SA"/>
              </w:rPr>
            </w:pPr>
            <w:r>
              <w:rPr>
                <w:rFonts w:hint="eastAsia" w:ascii="幼圆" w:hAnsi="幼圆" w:eastAsia="幼圆" w:cs="幼圆"/>
                <w:i w:val="0"/>
                <w:iCs w:val="0"/>
                <w:color w:val="000000"/>
                <w:kern w:val="0"/>
                <w:sz w:val="21"/>
                <w:szCs w:val="21"/>
                <w:u w:val="none"/>
                <w:lang w:val="en-US" w:eastAsia="zh-CN" w:bidi="ar"/>
              </w:rPr>
              <w:t>平方米</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i w:val="0"/>
                <w:iCs w:val="0"/>
                <w:color w:val="000000"/>
                <w:kern w:val="0"/>
                <w:sz w:val="21"/>
                <w:szCs w:val="21"/>
                <w:u w:val="none"/>
                <w:lang w:val="en-US" w:eastAsia="zh-CN" w:bidi="ar"/>
              </w:rPr>
            </w:pPr>
            <w:r>
              <w:rPr>
                <w:rFonts w:hint="eastAsia" w:ascii="幼圆" w:hAnsi="幼圆" w:eastAsia="幼圆" w:cs="幼圆"/>
                <w:i w:val="0"/>
                <w:iCs w:val="0"/>
                <w:color w:val="000000"/>
                <w:kern w:val="0"/>
                <w:sz w:val="21"/>
                <w:szCs w:val="21"/>
                <w:u w:val="none"/>
                <w:lang w:val="en-US" w:eastAsia="zh-CN" w:bidi="ar"/>
              </w:rPr>
              <w:t>3000</w:t>
            </w:r>
          </w:p>
        </w:tc>
        <w:tc>
          <w:tcPr>
            <w:tcW w:w="852" w:type="dxa"/>
            <w:vMerge w:val="continue"/>
            <w:tcBorders>
              <w:left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none"/>
                <w:u w:val="none"/>
                <w:lang w:val="en-US" w:eastAsia="zh-CN"/>
              </w:rPr>
            </w:pPr>
            <w:r>
              <w:rPr>
                <w:rFonts w:hint="eastAsia" w:ascii="幼圆" w:hAnsi="幼圆" w:eastAsia="幼圆" w:cs="幼圆"/>
                <w:b w:val="0"/>
                <w:bCs w:val="0"/>
                <w:i w:val="0"/>
                <w:iCs w:val="0"/>
                <w:color w:val="000000"/>
                <w:sz w:val="21"/>
                <w:szCs w:val="21"/>
                <w:highlight w:val="none"/>
                <w:u w:val="none"/>
                <w:lang w:val="en-US" w:eastAsia="zh-CN"/>
              </w:rPr>
              <w:t>9</w:t>
            </w: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卧式暗装风机盘管</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自行勘探</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1426</w:t>
            </w:r>
          </w:p>
        </w:tc>
        <w:tc>
          <w:tcPr>
            <w:tcW w:w="852" w:type="dxa"/>
            <w:vMerge w:val="continue"/>
            <w:tcBorders>
              <w:left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none"/>
                <w:u w:val="none"/>
                <w:lang w:val="en-US" w:eastAsia="zh-CN"/>
              </w:rPr>
            </w:pPr>
            <w:r>
              <w:rPr>
                <w:rFonts w:hint="eastAsia" w:ascii="幼圆" w:hAnsi="幼圆" w:eastAsia="幼圆" w:cs="幼圆"/>
                <w:b w:val="0"/>
                <w:bCs w:val="0"/>
                <w:i w:val="0"/>
                <w:iCs w:val="0"/>
                <w:color w:val="000000"/>
                <w:sz w:val="21"/>
                <w:szCs w:val="21"/>
                <w:highlight w:val="none"/>
                <w:u w:val="none"/>
                <w:lang w:val="en-US" w:eastAsia="zh-CN"/>
              </w:rPr>
              <w:t>10</w:t>
            </w: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立式明装风机盘管</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自行勘探</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15</w:t>
            </w:r>
          </w:p>
        </w:tc>
        <w:tc>
          <w:tcPr>
            <w:tcW w:w="852" w:type="dxa"/>
            <w:vMerge w:val="continue"/>
            <w:tcBorders>
              <w:left w:val="single" w:color="000000" w:sz="4" w:space="0"/>
              <w:right w:val="single" w:color="000000" w:sz="4" w:space="0"/>
            </w:tcBorders>
            <w:shd w:val="clear" w:color="auto" w:fill="auto"/>
            <w:vAlign w:val="center"/>
          </w:tcPr>
          <w:p>
            <w:pPr>
              <w:jc w:val="both"/>
              <w:rPr>
                <w:rFonts w:hint="eastAsia" w:ascii="幼圆" w:hAnsi="幼圆" w:eastAsia="幼圆" w:cs="幼圆"/>
                <w:b w:val="0"/>
                <w:bCs w:val="0"/>
                <w:i w:val="0"/>
                <w:iCs w:val="0"/>
                <w:color w:val="000000"/>
                <w:sz w:val="21"/>
                <w:szCs w:val="21"/>
                <w:highlight w:val="yellow"/>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none"/>
                <w:u w:val="none"/>
                <w:lang w:val="en-US" w:eastAsia="zh-CN"/>
              </w:rPr>
            </w:pPr>
            <w:r>
              <w:rPr>
                <w:rFonts w:hint="eastAsia" w:ascii="幼圆" w:hAnsi="幼圆" w:eastAsia="幼圆" w:cs="幼圆"/>
                <w:b w:val="0"/>
                <w:bCs w:val="0"/>
                <w:i w:val="0"/>
                <w:iCs w:val="0"/>
                <w:color w:val="000000"/>
                <w:sz w:val="21"/>
                <w:szCs w:val="21"/>
                <w:highlight w:val="none"/>
                <w:u w:val="none"/>
                <w:lang w:val="en-US" w:eastAsia="zh-CN"/>
              </w:rPr>
              <w:t>11</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6号楼空调设备</w:t>
            </w: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空调机组</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自行勘探</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12</w:t>
            </w:r>
          </w:p>
        </w:tc>
        <w:tc>
          <w:tcPr>
            <w:tcW w:w="852" w:type="dxa"/>
            <w:vMerge w:val="continue"/>
            <w:tcBorders>
              <w:left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none"/>
                <w:u w:val="none"/>
                <w:lang w:val="en-US" w:eastAsia="zh-CN"/>
              </w:rPr>
            </w:pPr>
            <w:r>
              <w:rPr>
                <w:rFonts w:hint="eastAsia" w:ascii="幼圆" w:hAnsi="幼圆" w:eastAsia="幼圆" w:cs="幼圆"/>
                <w:b w:val="0"/>
                <w:bCs w:val="0"/>
                <w:i w:val="0"/>
                <w:iCs w:val="0"/>
                <w:color w:val="000000"/>
                <w:sz w:val="21"/>
                <w:szCs w:val="21"/>
                <w:highlight w:val="none"/>
                <w:u w:val="none"/>
                <w:lang w:val="en-US" w:eastAsia="zh-CN"/>
              </w:rPr>
              <w:t>12</w:t>
            </w: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风机盘管</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自行勘探</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val="0"/>
                <w:bCs w:val="0"/>
                <w:i w:val="0"/>
                <w:iCs w:val="0"/>
                <w:color w:val="000000"/>
                <w:sz w:val="21"/>
                <w:szCs w:val="21"/>
                <w:highlight w:val="yellow"/>
                <w:u w:val="none"/>
              </w:rPr>
            </w:pPr>
            <w:r>
              <w:rPr>
                <w:rFonts w:hint="eastAsia" w:ascii="幼圆" w:hAnsi="幼圆" w:eastAsia="幼圆" w:cs="幼圆"/>
                <w:i w:val="0"/>
                <w:iCs w:val="0"/>
                <w:color w:val="000000"/>
                <w:kern w:val="0"/>
                <w:sz w:val="21"/>
                <w:szCs w:val="21"/>
                <w:u w:val="none"/>
                <w:lang w:val="en-US" w:eastAsia="zh-CN" w:bidi="ar"/>
              </w:rPr>
              <w:t>99</w:t>
            </w:r>
          </w:p>
        </w:tc>
        <w:tc>
          <w:tcPr>
            <w:tcW w:w="85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幼圆" w:hAnsi="幼圆" w:eastAsia="幼圆" w:cs="幼圆"/>
                <w:b w:val="0"/>
                <w:bCs w:val="0"/>
                <w:i w:val="0"/>
                <w:iCs w:val="0"/>
                <w:color w:val="000000"/>
                <w:sz w:val="21"/>
                <w:szCs w:val="21"/>
                <w:highlight w:val="yellow"/>
                <w:u w:val="none"/>
              </w:rPr>
            </w:pPr>
          </w:p>
        </w:tc>
      </w:tr>
    </w:tbl>
    <w:p>
      <w:pPr>
        <w:pStyle w:val="2"/>
        <w:ind w:left="0" w:leftChars="0" w:firstLine="0" w:firstLineChars="0"/>
        <w:rPr>
          <w:rFonts w:hint="eastAsia" w:ascii="幼圆" w:hAnsi="幼圆" w:eastAsia="幼圆" w:cs="幼圆"/>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十、评标方法和评审标准</w:t>
      </w:r>
      <w:bookmarkEnd w:id="0"/>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1.评标方法</w:t>
      </w:r>
    </w:p>
    <w:p>
      <w:pPr>
        <w:pStyle w:val="22"/>
        <w:spacing w:line="240" w:lineRule="auto"/>
        <w:ind w:firstLine="440" w:firstLineChars="200"/>
        <w:rPr>
          <w:rFonts w:hint="eastAsia" w:ascii="幼圆" w:hAnsi="幼圆" w:eastAsia="幼圆" w:cs="幼圆"/>
          <w:lang w:val="en-US" w:eastAsia="zh-CN"/>
        </w:rPr>
      </w:pPr>
      <w:r>
        <w:rPr>
          <w:rFonts w:hint="eastAsia" w:ascii="幼圆" w:hAnsi="幼圆" w:eastAsia="幼圆" w:cs="幼圆"/>
          <w:lang w:val="en-US" w:eastAsia="zh-CN"/>
        </w:rPr>
        <w:t>本次评标采用</w:t>
      </w:r>
      <w:r>
        <w:rPr>
          <w:rFonts w:hint="eastAsia" w:ascii="幼圆" w:hAnsi="幼圆" w:eastAsia="幼圆" w:cs="幼圆"/>
          <w:b/>
          <w:bCs/>
          <w:lang w:val="en-US" w:eastAsia="zh-CN"/>
        </w:rPr>
        <w:t>综合评分法</w:t>
      </w:r>
      <w:r>
        <w:rPr>
          <w:rFonts w:hint="eastAsia" w:ascii="幼圆" w:hAnsi="幼圆" w:eastAsia="幼圆" w:cs="幼圆"/>
          <w:lang w:val="en-US" w:eastAsia="zh-CN"/>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keepNext w:val="0"/>
        <w:keepLines w:val="0"/>
        <w:pageBreakBefore w:val="0"/>
        <w:widowControl/>
        <w:numPr>
          <w:ilvl w:val="0"/>
          <w:numId w:val="0"/>
        </w:numPr>
        <w:wordWrap/>
        <w:topLinePunct w:val="0"/>
        <w:bidi w:val="0"/>
        <w:spacing w:after="0" w:line="240" w:lineRule="auto"/>
        <w:ind w:leftChars="0" w:firstLine="482" w:firstLineChars="200"/>
        <w:jc w:val="both"/>
        <w:rPr>
          <w:rFonts w:hint="eastAsia" w:ascii="幼圆" w:hAnsi="幼圆" w:eastAsia="幼圆" w:cs="幼圆"/>
          <w:b/>
          <w:bCs/>
          <w:color w:val="FF0000"/>
          <w:sz w:val="24"/>
          <w:szCs w:val="20"/>
        </w:rPr>
      </w:pPr>
      <w:r>
        <w:rPr>
          <w:rFonts w:hint="eastAsia" w:ascii="幼圆" w:hAnsi="幼圆" w:eastAsia="幼圆" w:cs="幼圆"/>
          <w:b/>
          <w:bCs/>
          <w:color w:val="FF0000"/>
          <w:sz w:val="24"/>
          <w:szCs w:val="20"/>
        </w:rPr>
        <w:t>投标最低报价不作为中标的唯一理由</w:t>
      </w:r>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2</w:t>
      </w:r>
      <w:r>
        <w:rPr>
          <w:rFonts w:hint="eastAsia" w:ascii="幼圆" w:hAnsi="幼圆" w:eastAsia="幼圆" w:cs="幼圆"/>
          <w:b/>
          <w:bCs/>
          <w:sz w:val="24"/>
          <w:szCs w:val="20"/>
        </w:rPr>
        <w:t>.</w:t>
      </w:r>
      <w:r>
        <w:rPr>
          <w:rFonts w:hint="eastAsia" w:ascii="幼圆" w:hAnsi="幼圆" w:eastAsia="幼圆" w:cs="幼圆"/>
          <w:b/>
          <w:bCs/>
          <w:sz w:val="24"/>
          <w:szCs w:val="20"/>
          <w:lang w:val="en-US" w:eastAsia="zh-CN"/>
        </w:rPr>
        <w:t>评分标准</w:t>
      </w:r>
    </w:p>
    <w:tbl>
      <w:tblPr>
        <w:tblStyle w:val="35"/>
        <w:tblW w:w="94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12"/>
        <w:gridCol w:w="776"/>
        <w:gridCol w:w="1665"/>
        <w:gridCol w:w="574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b/>
                <w:bCs/>
                <w:highlight w:val="none"/>
              </w:rPr>
            </w:pPr>
            <w:bookmarkStart w:id="1" w:name="_Hlk536608376"/>
            <w:r>
              <w:rPr>
                <w:rFonts w:hint="eastAsia" w:ascii="幼圆" w:hAnsi="幼圆" w:eastAsia="幼圆" w:cs="幼圆"/>
                <w:b/>
                <w:bCs/>
                <w:highlight w:val="none"/>
              </w:rPr>
              <w:t>内容</w:t>
            </w:r>
          </w:p>
        </w:tc>
        <w:tc>
          <w:tcPr>
            <w:tcW w:w="776"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分值</w:t>
            </w:r>
          </w:p>
        </w:tc>
        <w:tc>
          <w:tcPr>
            <w:tcW w:w="1665"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评分因素分项</w:t>
            </w:r>
          </w:p>
        </w:tc>
        <w:tc>
          <w:tcPr>
            <w:tcW w:w="5749"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价格部分</w:t>
            </w:r>
          </w:p>
        </w:tc>
        <w:tc>
          <w:tcPr>
            <w:tcW w:w="776" w:type="dxa"/>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lang w:val="en-US" w:eastAsia="zh-CN"/>
              </w:rPr>
              <w:t>20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评标价格</w:t>
            </w:r>
          </w:p>
        </w:tc>
        <w:tc>
          <w:tcPr>
            <w:tcW w:w="5749" w:type="dxa"/>
            <w:vAlign w:val="center"/>
          </w:tcPr>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lang w:eastAsia="zh-CN"/>
              </w:rPr>
            </w:pPr>
            <w:r>
              <w:rPr>
                <w:rFonts w:hint="eastAsia" w:ascii="幼圆" w:hAnsi="幼圆" w:eastAsia="幼圆" w:cs="幼圆"/>
                <w:highlight w:val="none"/>
                <w:lang w:eastAsia="zh-CN"/>
              </w:rPr>
              <w:t>满足招标文件要求且投标价格最低的投标报价为评标基准价，其价格分为满分。其他投标人的价格分统一按照下列公式计算：</w:t>
            </w:r>
          </w:p>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rPr>
            </w:pPr>
            <w:r>
              <w:rPr>
                <w:rFonts w:hint="eastAsia" w:ascii="幼圆" w:hAnsi="幼圆" w:eastAsia="幼圆" w:cs="幼圆"/>
                <w:highlight w:val="none"/>
                <w:lang w:eastAsia="zh-CN"/>
              </w:rPr>
              <w:t>投标报价得分=(评标基准价／投标报价)×</w:t>
            </w:r>
            <w:r>
              <w:rPr>
                <w:rFonts w:hint="eastAsia" w:ascii="幼圆" w:hAnsi="幼圆" w:eastAsia="幼圆" w:cs="幼圆"/>
                <w:highlight w:val="none"/>
                <w:lang w:val="en-US" w:eastAsia="zh-CN"/>
              </w:rPr>
              <w:t>20</w:t>
            </w:r>
            <w:r>
              <w:rPr>
                <w:rFonts w:hint="eastAsia" w:ascii="幼圆" w:hAnsi="幼圆" w:eastAsia="幼圆" w:cs="幼圆"/>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商务部分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类似业绩</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自202</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年</w:t>
            </w:r>
            <w:r>
              <w:rPr>
                <w:rFonts w:hint="eastAsia" w:ascii="幼圆" w:hAnsi="幼圆" w:eastAsia="幼圆" w:cs="幼圆"/>
                <w:highlight w:val="none"/>
                <w:lang w:val="en-US" w:eastAsia="zh-CN"/>
              </w:rPr>
              <w:t>5</w:t>
            </w:r>
            <w:r>
              <w:rPr>
                <w:rFonts w:hint="eastAsia" w:ascii="幼圆" w:hAnsi="幼圆" w:eastAsia="幼圆" w:cs="幼圆"/>
                <w:highlight w:val="none"/>
                <w:lang w:eastAsia="zh-CN"/>
              </w:rPr>
              <w:t>月1日至今（按合同签订时间计算），投标人每提供一个</w:t>
            </w:r>
            <w:r>
              <w:rPr>
                <w:rFonts w:hint="eastAsia" w:ascii="幼圆" w:hAnsi="幼圆" w:eastAsia="幼圆" w:cs="幼圆"/>
                <w:highlight w:val="none"/>
                <w:lang w:val="en-US" w:eastAsia="zh-CN"/>
              </w:rPr>
              <w:t>同类</w:t>
            </w:r>
            <w:r>
              <w:rPr>
                <w:rFonts w:hint="eastAsia" w:ascii="幼圆" w:hAnsi="幼圆" w:eastAsia="幼圆" w:cs="幼圆"/>
                <w:highlight w:val="none"/>
                <w:lang w:eastAsia="zh-CN"/>
              </w:rPr>
              <w:t>项目</w:t>
            </w:r>
            <w:r>
              <w:rPr>
                <w:rFonts w:hint="eastAsia" w:ascii="幼圆" w:hAnsi="幼圆" w:eastAsia="幼圆" w:cs="幼圆"/>
                <w:highlight w:val="none"/>
                <w:lang w:val="en-US" w:eastAsia="zh-CN"/>
              </w:rPr>
              <w:t>的</w:t>
            </w:r>
            <w:r>
              <w:rPr>
                <w:rFonts w:hint="eastAsia" w:ascii="幼圆" w:hAnsi="幼圆" w:eastAsia="幼圆" w:cs="幼圆"/>
                <w:highlight w:val="none"/>
                <w:lang w:eastAsia="zh-CN"/>
              </w:rPr>
              <w:t>业绩，得</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分，最高得</w:t>
            </w:r>
            <w:r>
              <w:rPr>
                <w:rFonts w:hint="eastAsia" w:ascii="幼圆" w:hAnsi="幼圆" w:eastAsia="幼圆" w:cs="幼圆"/>
                <w:highlight w:val="none"/>
                <w:lang w:val="en-US" w:eastAsia="zh-CN"/>
              </w:rPr>
              <w:t>10</w:t>
            </w:r>
            <w:r>
              <w:rPr>
                <w:rFonts w:hint="eastAsia" w:ascii="幼圆" w:hAnsi="幼圆" w:eastAsia="幼圆" w:cs="幼圆"/>
                <w:highlight w:val="none"/>
                <w:lang w:eastAsia="zh-CN"/>
              </w:rPr>
              <w:t>分。须提供合同复印件，内容能体现合同名称、主要服务内容以及双方签字盖章页。未按上述要求提供合同复印件的不得分。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技术部分</w:t>
            </w:r>
          </w:p>
        </w:tc>
        <w:tc>
          <w:tcPr>
            <w:tcW w:w="776"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lang w:val="en-US" w:eastAsia="zh-CN"/>
              </w:rPr>
              <w:t>27</w:t>
            </w:r>
          </w:p>
        </w:tc>
        <w:tc>
          <w:tcPr>
            <w:tcW w:w="1665"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rPr>
              <w:t>对文件技术要求的响应程度</w:t>
            </w:r>
          </w:p>
        </w:tc>
        <w:tc>
          <w:tcPr>
            <w:tcW w:w="5749" w:type="dxa"/>
            <w:shd w:val="clear" w:color="auto" w:fill="auto"/>
            <w:vAlign w:val="center"/>
          </w:tcPr>
          <w:p>
            <w:pPr>
              <w:widowControl/>
              <w:spacing w:line="240" w:lineRule="auto"/>
              <w:jc w:val="both"/>
              <w:rPr>
                <w:rFonts w:hint="eastAsia" w:ascii="幼圆" w:hAnsi="幼圆" w:eastAsia="幼圆" w:cs="幼圆"/>
                <w:highlight w:val="none"/>
              </w:rPr>
            </w:pPr>
            <w:r>
              <w:rPr>
                <w:rFonts w:hint="eastAsia" w:ascii="幼圆" w:hAnsi="幼圆" w:eastAsia="幼圆" w:cs="幼圆"/>
                <w:highlight w:val="none"/>
              </w:rPr>
              <w:t>投标人完全满足【技术要求及评分标准】中“</w:t>
            </w:r>
            <w:r>
              <w:rPr>
                <w:rFonts w:hint="eastAsia" w:ascii="幼圆" w:hAnsi="幼圆" w:eastAsia="幼圆" w:cs="幼圆"/>
                <w:highlight w:val="none"/>
                <w:lang w:val="en-US" w:eastAsia="zh-CN"/>
              </w:rPr>
              <w:t>五</w:t>
            </w:r>
            <w:r>
              <w:rPr>
                <w:rFonts w:hint="eastAsia" w:ascii="幼圆" w:hAnsi="幼圆" w:eastAsia="幼圆" w:cs="幼圆"/>
                <w:highlight w:val="none"/>
              </w:rPr>
              <w:t>、</w:t>
            </w:r>
            <w:r>
              <w:rPr>
                <w:rFonts w:hint="eastAsia" w:ascii="幼圆" w:hAnsi="幼圆" w:eastAsia="幼圆" w:cs="幼圆"/>
                <w:highlight w:val="none"/>
                <w:lang w:val="en-US" w:eastAsia="zh-CN"/>
              </w:rPr>
              <w:t>维保内容</w:t>
            </w:r>
            <w:r>
              <w:rPr>
                <w:rFonts w:hint="eastAsia" w:ascii="幼圆" w:hAnsi="幼圆" w:eastAsia="幼圆" w:cs="幼圆"/>
                <w:highlight w:val="none"/>
              </w:rPr>
              <w:t>”的得</w:t>
            </w:r>
            <w:r>
              <w:rPr>
                <w:rFonts w:hint="eastAsia" w:ascii="幼圆" w:hAnsi="幼圆" w:eastAsia="幼圆" w:cs="幼圆"/>
                <w:highlight w:val="none"/>
                <w:lang w:val="en-US" w:eastAsia="zh-CN"/>
              </w:rPr>
              <w:t>27</w:t>
            </w:r>
            <w:r>
              <w:rPr>
                <w:rFonts w:hint="eastAsia" w:ascii="幼圆" w:hAnsi="幼圆" w:eastAsia="幼圆" w:cs="幼圆"/>
                <w:highlight w:val="none"/>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rPr>
              <w:t>共有</w:t>
            </w:r>
            <w:r>
              <w:rPr>
                <w:rFonts w:hint="eastAsia" w:ascii="幼圆" w:hAnsi="幼圆" w:eastAsia="幼圆" w:cs="幼圆"/>
                <w:highlight w:val="none"/>
                <w:lang w:val="en-US" w:eastAsia="zh-CN"/>
              </w:rPr>
              <w:t>12</w:t>
            </w:r>
            <w:r>
              <w:rPr>
                <w:rFonts w:hint="eastAsia" w:ascii="幼圆" w:hAnsi="幼圆" w:eastAsia="幼圆" w:cs="幼圆"/>
                <w:highlight w:val="none"/>
              </w:rPr>
              <w:t>项指标，每满足一项得</w:t>
            </w:r>
            <w:r>
              <w:rPr>
                <w:rFonts w:hint="eastAsia" w:ascii="幼圆" w:hAnsi="幼圆" w:eastAsia="幼圆" w:cs="幼圆"/>
                <w:highlight w:val="none"/>
                <w:lang w:val="en-US" w:eastAsia="zh-CN"/>
              </w:rPr>
              <w:t>2.25</w:t>
            </w:r>
            <w:r>
              <w:rPr>
                <w:rFonts w:hint="eastAsia" w:ascii="幼圆" w:hAnsi="幼圆" w:eastAsia="幼圆" w:cs="幼圆"/>
                <w:highlight w:val="none"/>
              </w:rPr>
              <w:t>分，共</w:t>
            </w:r>
            <w:r>
              <w:rPr>
                <w:rFonts w:hint="eastAsia" w:ascii="幼圆" w:hAnsi="幼圆" w:eastAsia="幼圆" w:cs="幼圆"/>
                <w:highlight w:val="none"/>
                <w:lang w:val="en-US" w:eastAsia="zh-CN"/>
              </w:rPr>
              <w:t>27</w:t>
            </w:r>
            <w:r>
              <w:rPr>
                <w:rFonts w:hint="eastAsia" w:ascii="幼圆" w:hAnsi="幼圆" w:eastAsia="幼圆" w:cs="幼圆"/>
                <w:highlight w:val="none"/>
              </w:rPr>
              <w:t>分</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b/>
                <w:bCs/>
                <w:highlight w:val="none"/>
                <w:lang w:eastAsia="zh-CN"/>
              </w:rPr>
              <w:t>注：</w:t>
            </w:r>
            <w:r>
              <w:rPr>
                <w:rFonts w:hint="eastAsia" w:ascii="幼圆" w:hAnsi="幼圆" w:eastAsia="幼圆" w:cs="幼圆"/>
                <w:b/>
                <w:bCs/>
                <w:highlight w:val="none"/>
                <w:lang w:val="en-US" w:eastAsia="zh-CN"/>
              </w:rPr>
              <w:t>1</w:t>
            </w:r>
            <w:r>
              <w:rPr>
                <w:rFonts w:hint="eastAsia" w:ascii="幼圆" w:hAnsi="幼圆" w:eastAsia="幼圆" w:cs="幼圆"/>
                <w:b/>
                <w:bCs/>
                <w:highlight w:val="none"/>
                <w:lang w:eastAsia="zh-CN"/>
              </w:rPr>
              <w:t>）“</w:t>
            </w:r>
            <w:r>
              <w:rPr>
                <w:rFonts w:hint="eastAsia" w:ascii="幼圆" w:hAnsi="幼圆" w:eastAsia="幼圆" w:cs="幼圆"/>
                <w:b/>
                <w:bCs/>
                <w:highlight w:val="none"/>
                <w:lang w:val="en-US" w:eastAsia="zh-CN"/>
              </w:rPr>
              <w:t>服务内容</w:t>
            </w:r>
            <w:r>
              <w:rPr>
                <w:rFonts w:hint="eastAsia" w:ascii="幼圆" w:hAnsi="幼圆" w:eastAsia="幼圆" w:cs="幼圆"/>
                <w:b/>
                <w:bCs/>
                <w:highlight w:val="none"/>
                <w:lang w:eastAsia="zh-CN"/>
              </w:rPr>
              <w:t>”以“ 附件《技术规格偏离表》”响应为准，否则不得分。</w:t>
            </w:r>
          </w:p>
          <w:p>
            <w:pPr>
              <w:spacing w:line="240" w:lineRule="auto"/>
              <w:jc w:val="both"/>
              <w:rPr>
                <w:rFonts w:hint="eastAsia" w:ascii="幼圆" w:hAnsi="幼圆" w:eastAsia="幼圆" w:cs="幼圆"/>
                <w:b/>
                <w:bCs/>
                <w:highlight w:val="none"/>
                <w:lang w:val="en-US" w:eastAsia="zh-CN"/>
              </w:rPr>
            </w:pPr>
            <w:r>
              <w:rPr>
                <w:rFonts w:hint="eastAsia" w:ascii="幼圆" w:hAnsi="幼圆" w:eastAsia="幼圆" w:cs="幼圆"/>
                <w:b/>
                <w:bCs/>
                <w:highlight w:val="none"/>
              </w:rPr>
              <w:t>2）以“</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rPr>
              <w:t>”中的“序号”作为指标项的计算依据，无论该指标项包含几条技术参数。如该指标项中有任意一条指标不满足招标文件要求或负偏离，则该项不得分；漏报该项不得分。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rPr>
            </w:pPr>
          </w:p>
        </w:tc>
        <w:tc>
          <w:tcPr>
            <w:tcW w:w="776"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内部管理制度及培训方案</w:t>
            </w:r>
          </w:p>
        </w:tc>
        <w:tc>
          <w:tcPr>
            <w:tcW w:w="5749" w:type="dxa"/>
            <w:shd w:val="clear" w:color="auto" w:fill="auto"/>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val="en-US" w:eastAsia="zh-CN"/>
              </w:rPr>
              <w:t>内部管理制度及培训方案</w:t>
            </w:r>
            <w:r>
              <w:rPr>
                <w:rFonts w:hint="eastAsia" w:ascii="幼圆" w:hAnsi="幼圆" w:eastAsia="幼圆" w:cs="幼圆"/>
                <w:highlight w:val="none"/>
                <w:lang w:eastAsia="zh-CN"/>
              </w:rPr>
              <w:t>合理、详细，</w:t>
            </w:r>
            <w:r>
              <w:rPr>
                <w:rFonts w:hint="eastAsia" w:ascii="幼圆" w:hAnsi="幼圆" w:eastAsia="幼圆" w:cs="幼圆"/>
                <w:highlight w:val="none"/>
                <w:lang w:val="en-US" w:eastAsia="zh-CN"/>
              </w:rPr>
              <w:t>培训</w:t>
            </w:r>
            <w:r>
              <w:rPr>
                <w:rFonts w:hint="eastAsia" w:ascii="幼圆" w:hAnsi="幼圆" w:eastAsia="幼圆" w:cs="幼圆"/>
                <w:highlight w:val="none"/>
                <w:lang w:eastAsia="zh-CN"/>
              </w:rPr>
              <w:t>服务承诺周到，具有完善的</w:t>
            </w:r>
            <w:r>
              <w:rPr>
                <w:rFonts w:hint="eastAsia" w:ascii="幼圆" w:hAnsi="幼圆" w:eastAsia="幼圆" w:cs="幼圆"/>
                <w:highlight w:val="none"/>
                <w:lang w:val="en-US" w:eastAsia="zh-CN"/>
              </w:rPr>
              <w:t>管理</w:t>
            </w:r>
            <w:r>
              <w:rPr>
                <w:rFonts w:hint="eastAsia" w:ascii="幼圆" w:hAnsi="幼圆" w:eastAsia="幼圆" w:cs="幼圆"/>
                <w:highlight w:val="none"/>
                <w:lang w:eastAsia="zh-CN"/>
              </w:rPr>
              <w:t>体系：</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方案合理、</w:t>
            </w:r>
            <w:r>
              <w:rPr>
                <w:rFonts w:hint="eastAsia" w:ascii="幼圆" w:hAnsi="幼圆" w:eastAsia="幼圆" w:cs="幼圆"/>
                <w:highlight w:val="none"/>
                <w:lang w:val="en-US" w:eastAsia="zh-CN"/>
              </w:rPr>
              <w:t>详细，体系完善的，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5</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较为</w:t>
            </w:r>
            <w:r>
              <w:rPr>
                <w:rFonts w:hint="eastAsia" w:ascii="幼圆" w:hAnsi="幼圆" w:eastAsia="幼圆" w:cs="幼圆"/>
                <w:highlight w:val="none"/>
                <w:lang w:eastAsia="zh-CN"/>
              </w:rPr>
              <w:t>合理、</w:t>
            </w:r>
            <w:r>
              <w:rPr>
                <w:rFonts w:hint="eastAsia" w:ascii="幼圆" w:hAnsi="幼圆" w:eastAsia="幼圆" w:cs="幼圆"/>
                <w:highlight w:val="none"/>
                <w:lang w:val="en-US" w:eastAsia="zh-CN"/>
              </w:rPr>
              <w:t>详细，体系较为完善的，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一般，体系基本完善的，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highlight w:val="none"/>
                <w:lang w:val="en-US" w:eastAsia="zh-CN"/>
              </w:rPr>
              <w:t>未提供，</w:t>
            </w:r>
            <w:r>
              <w:rPr>
                <w:rFonts w:hint="eastAsia" w:ascii="幼圆" w:hAnsi="幼圆" w:eastAsia="幼圆" w:cs="幼圆"/>
                <w:highlight w:val="none"/>
                <w:lang w:eastAsia="zh-CN"/>
              </w:rPr>
              <w:t>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服务部分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Merge w:val="restart"/>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rPr>
              <w:t>服务方案及人员配备方案</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根据投标人提供的</w:t>
            </w:r>
            <w:r>
              <w:rPr>
                <w:rFonts w:hint="eastAsia" w:ascii="幼圆" w:hAnsi="幼圆" w:eastAsia="幼圆" w:cs="幼圆"/>
                <w:highlight w:val="none"/>
                <w:lang w:val="en-US" w:eastAsia="zh-CN"/>
              </w:rPr>
              <w:t>总体设计方案进行评价</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设计方案亮点突出、针对性强、内容全面、规划统筹考虑充分，得</w:t>
            </w:r>
            <w:r>
              <w:rPr>
                <w:rFonts w:hint="eastAsia" w:ascii="幼圆" w:hAnsi="幼圆" w:eastAsia="幼圆" w:cs="幼圆"/>
                <w:highlight w:val="none"/>
                <w:lang w:val="en-US" w:eastAsia="zh-CN"/>
              </w:rPr>
              <w:t>7</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基本全面</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一般</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中规中矩</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4</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简单</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欠妥</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欠佳</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未提供该方案不得分。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12</w:t>
            </w:r>
          </w:p>
        </w:tc>
        <w:tc>
          <w:tcPr>
            <w:tcW w:w="1665" w:type="dxa"/>
            <w:vMerge w:val="continue"/>
            <w:vAlign w:val="center"/>
          </w:tcPr>
          <w:p>
            <w:pPr>
              <w:widowControl/>
              <w:spacing w:line="240" w:lineRule="auto"/>
              <w:jc w:val="center"/>
              <w:rPr>
                <w:rFonts w:hint="eastAsia" w:ascii="幼圆" w:hAnsi="幼圆" w:eastAsia="幼圆" w:cs="幼圆"/>
                <w:highlight w:val="none"/>
                <w:lang w:eastAsia="zh-CN"/>
              </w:rPr>
            </w:pPr>
          </w:p>
        </w:tc>
        <w:tc>
          <w:tcPr>
            <w:tcW w:w="5749" w:type="dxa"/>
            <w:vAlign w:val="center"/>
          </w:tcPr>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（1）根据各投标人按照采购需求提供的维保团队的规模、专业度、架构方面进行打分。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人员架构科学合理，数量充足，专业度高的，完全满足项目需求的，得4分；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人员架构基本科学合理，数量一般，专业度普通的，得2分；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人员架构不合理，数量稀少，专业度低的，得1分；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未提供不得分。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（2）根据团队成员的专业能力进行评价：</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1）具有《中华人民共和国特种作业操作证（空调相关）》，每提供一人得1分，最高4分。</w:t>
            </w:r>
          </w:p>
          <w:p>
            <w:pPr>
              <w:widowControl/>
              <w:spacing w:line="240" w:lineRule="auto"/>
              <w:rPr>
                <w:rFonts w:hint="eastAsia"/>
                <w:lang w:val="en-US" w:eastAsia="zh-CN"/>
              </w:rPr>
            </w:pPr>
            <w:r>
              <w:rPr>
                <w:rFonts w:hint="eastAsia" w:ascii="幼圆" w:hAnsi="幼圆" w:eastAsia="幼圆" w:cs="幼圆"/>
                <w:lang w:val="en-US" w:eastAsia="zh-CN"/>
              </w:rPr>
              <w:t>2）具有《中华人民共和国特种作业操作证（高空作业证）》，每提供一人得1分，最高4分。</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b/>
                <w:bCs/>
                <w:highlight w:val="none"/>
                <w:lang w:val="en-US" w:eastAsia="zh-CN"/>
              </w:rPr>
              <w:t>注：以上证书需提供有效的证书复印件，并加盖投标单位公章，否则视为无效</w:t>
            </w:r>
            <w:r>
              <w:rPr>
                <w:rFonts w:hint="eastAsia" w:ascii="幼圆" w:hAnsi="幼圆" w:eastAsia="幼圆" w:cs="幼圆"/>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服务响应时间及质量保障措施</w:t>
            </w:r>
          </w:p>
        </w:tc>
        <w:tc>
          <w:tcPr>
            <w:tcW w:w="5749" w:type="dxa"/>
            <w:vAlign w:val="center"/>
          </w:tcPr>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响应时间及时、保障措施到位、分工明确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得7分；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响应时间基本满足需求、保障措施基本到位、分工较为明确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得4分；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响应时间滞后、保障措施欠缺、分工混乱</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得1分；</w:t>
            </w:r>
          </w:p>
          <w:p>
            <w:pPr>
              <w:keepNext w:val="0"/>
              <w:keepLines w:val="0"/>
              <w:pageBreakBefore w:val="0"/>
              <w:widowControl/>
              <w:kinsoku/>
              <w:wordWrap/>
              <w:overflowPunct/>
              <w:topLinePunct w:val="0"/>
              <w:autoSpaceDE/>
              <w:autoSpaceDN/>
              <w:bidi w:val="0"/>
              <w:snapToGrid/>
              <w:spacing w:line="240" w:lineRule="auto"/>
              <w:rPr>
                <w:rFonts w:hint="eastAsia" w:ascii="幼圆" w:hAnsi="幼圆" w:eastAsia="幼圆" w:cs="幼圆"/>
                <w:highlight w:val="none"/>
              </w:rPr>
            </w:pPr>
            <w:r>
              <w:rPr>
                <w:rFonts w:hint="eastAsia" w:ascii="幼圆" w:hAnsi="幼圆" w:eastAsia="幼圆" w:cs="幼圆"/>
                <w:sz w:val="24"/>
                <w:szCs w:val="24"/>
                <w:highlight w:val="none"/>
                <w:lang w:val="en-US" w:eastAsia="zh-CN"/>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后续服务承诺</w:t>
            </w:r>
          </w:p>
        </w:tc>
        <w:tc>
          <w:tcPr>
            <w:tcW w:w="5749" w:type="dxa"/>
            <w:vAlign w:val="center"/>
          </w:tcPr>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根据投标人提供的服务承诺进行打分：内容应包含但不限于售后服务及其他情况介绍；</w:t>
            </w:r>
            <w:r>
              <w:rPr>
                <w:rFonts w:hint="eastAsia" w:ascii="幼圆" w:hAnsi="幼圆" w:eastAsia="幼圆" w:cs="幼圆"/>
                <w:b/>
                <w:highlight w:val="none"/>
              </w:rPr>
              <w:t>可提供的优惠条件；突发状况服务时间承诺。</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服务承诺完全满足项目需求的，得</w:t>
            </w:r>
            <w:r>
              <w:rPr>
                <w:rFonts w:hint="eastAsia" w:ascii="幼圆" w:hAnsi="幼圆" w:eastAsia="幼圆" w:cs="幼圆"/>
                <w:highlight w:val="none"/>
                <w:lang w:val="en-US" w:eastAsia="zh-CN"/>
              </w:rPr>
              <w:t>7</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服务承诺基本满足项目需求的，得</w:t>
            </w:r>
            <w:r>
              <w:rPr>
                <w:rFonts w:hint="eastAsia" w:ascii="幼圆" w:hAnsi="幼圆" w:eastAsia="幼圆" w:cs="幼圆"/>
                <w:highlight w:val="none"/>
                <w:lang w:val="en-US" w:eastAsia="zh-CN"/>
              </w:rPr>
              <w:t>4</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服务承诺不满足项目需求的，得1分；</w:t>
            </w:r>
          </w:p>
          <w:p>
            <w:pPr>
              <w:widowControl/>
              <w:spacing w:line="240" w:lineRule="auto"/>
              <w:rPr>
                <w:rFonts w:hint="eastAsia" w:ascii="幼圆" w:hAnsi="幼圆" w:eastAsia="幼圆" w:cs="幼圆"/>
                <w:highlight w:val="none"/>
              </w:rPr>
            </w:pPr>
            <w:r>
              <w:rPr>
                <w:rFonts w:hint="eastAsia" w:ascii="幼圆" w:hAnsi="幼圆" w:eastAsia="幼圆" w:cs="幼圆"/>
                <w:highlight w:val="none"/>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其他</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拟投入设备</w:t>
            </w:r>
          </w:p>
        </w:tc>
        <w:tc>
          <w:tcPr>
            <w:tcW w:w="5749" w:type="dxa"/>
            <w:vAlign w:val="center"/>
          </w:tcPr>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设备齐全，完全满足项目需要的，得5分；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设备基本满足项目需要的，得3分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设备无法满足项目需要的，得1分；</w:t>
            </w:r>
          </w:p>
          <w:p>
            <w:pPr>
              <w:widowControl/>
              <w:spacing w:line="240" w:lineRule="auto"/>
              <w:rPr>
                <w:rFonts w:hint="eastAsia" w:ascii="幼圆" w:hAnsi="幼圆" w:eastAsia="幼圆" w:cs="幼圆"/>
                <w:highlight w:val="none"/>
                <w:lang w:eastAsia="zh-CN"/>
              </w:rPr>
            </w:pPr>
            <w:r>
              <w:rPr>
                <w:rFonts w:hint="eastAsia" w:ascii="幼圆" w:hAnsi="幼圆" w:eastAsia="幼圆" w:cs="幼圆"/>
                <w:highlight w:val="none"/>
                <w:lang w:val="en-US" w:eastAsia="zh-CN"/>
              </w:rPr>
              <w:t>不满足项目需要或未提供，不得分。</w:t>
            </w:r>
          </w:p>
        </w:tc>
      </w:tr>
      <w:bookmarkEnd w:id="1"/>
    </w:tbl>
    <w:p>
      <w:pPr>
        <w:keepNext w:val="0"/>
        <w:keepLines w:val="0"/>
        <w:pageBreakBefore w:val="0"/>
        <w:widowControl/>
        <w:wordWrap/>
        <w:topLinePunct w:val="0"/>
        <w:bidi w:val="0"/>
        <w:spacing w:line="240" w:lineRule="auto"/>
        <w:rPr>
          <w:rFonts w:hint="eastAsia" w:ascii="幼圆" w:hAnsi="幼圆" w:eastAsia="幼圆" w:cs="幼圆"/>
          <w:b/>
          <w:bCs/>
          <w:sz w:val="24"/>
          <w:szCs w:val="20"/>
        </w:rPr>
      </w:pPr>
    </w:p>
    <w:p>
      <w:pPr>
        <w:spacing w:line="240" w:lineRule="auto"/>
        <w:rPr>
          <w:rFonts w:hint="eastAsia" w:ascii="幼圆" w:hAnsi="幼圆" w:eastAsia="幼圆" w:cs="幼圆"/>
          <w:color w:val="FF0000"/>
          <w:kern w:val="2"/>
          <w:highlight w:val="none"/>
          <w:lang w:val="en-US" w:eastAsia="zh-CN" w:bidi="zh-CN"/>
        </w:rPr>
      </w:pPr>
      <w:r>
        <w:rPr>
          <w:rFonts w:hint="eastAsia" w:ascii="幼圆" w:hAnsi="幼圆" w:eastAsia="幼圆" w:cs="幼圆"/>
          <w:color w:val="FF0000"/>
          <w:kern w:val="2"/>
          <w:highlight w:val="none"/>
          <w:lang w:val="en-US" w:eastAsia="zh-CN" w:bidi="zh-CN"/>
        </w:rPr>
        <w:br w:type="page"/>
      </w:r>
    </w:p>
    <w:p>
      <w:pPr>
        <w:snapToGrid w:val="0"/>
        <w:spacing w:line="240" w:lineRule="auto"/>
        <w:textAlignment w:val="auto"/>
        <w:outlineLvl w:val="0"/>
        <w:rPr>
          <w:rFonts w:hint="eastAsia" w:ascii="幼圆" w:hAnsi="幼圆" w:eastAsia="幼圆" w:cs="幼圆"/>
          <w:b/>
          <w:szCs w:val="20"/>
          <w:highlight w:val="none"/>
        </w:rPr>
      </w:pPr>
      <w:bookmarkStart w:id="2" w:name="_Toc73536577"/>
      <w:bookmarkStart w:id="3" w:name="_Toc955"/>
      <w:bookmarkStart w:id="4" w:name="_Toc70433717"/>
      <w:r>
        <w:rPr>
          <w:rFonts w:hint="eastAsia" w:ascii="幼圆" w:hAnsi="幼圆" w:eastAsia="幼圆" w:cs="幼圆"/>
          <w:b/>
          <w:szCs w:val="20"/>
          <w:highlight w:val="none"/>
        </w:rPr>
        <w:t>附件</w:t>
      </w:r>
      <w:r>
        <w:rPr>
          <w:rFonts w:hint="eastAsia" w:ascii="幼圆" w:hAnsi="幼圆" w:eastAsia="幼圆" w:cs="幼圆"/>
          <w:b/>
          <w:szCs w:val="20"/>
          <w:highlight w:val="none"/>
          <w:lang w:eastAsia="zh-CN"/>
        </w:rPr>
        <w:t>（</w:t>
      </w:r>
      <w:r>
        <w:rPr>
          <w:rFonts w:hint="eastAsia" w:ascii="幼圆" w:hAnsi="幼圆" w:eastAsia="幼圆" w:cs="幼圆"/>
          <w:b/>
          <w:szCs w:val="20"/>
          <w:highlight w:val="none"/>
          <w:lang w:val="en-US" w:eastAsia="zh-CN"/>
        </w:rPr>
        <w:t>偏离表示例</w:t>
      </w:r>
      <w:r>
        <w:rPr>
          <w:rFonts w:hint="eastAsia" w:ascii="幼圆" w:hAnsi="幼圆" w:eastAsia="幼圆" w:cs="幼圆"/>
          <w:b/>
          <w:szCs w:val="20"/>
          <w:highlight w:val="none"/>
          <w:lang w:eastAsia="zh-CN"/>
        </w:rPr>
        <w:t>）</w:t>
      </w:r>
      <w:r>
        <w:rPr>
          <w:rFonts w:hint="eastAsia" w:ascii="幼圆" w:hAnsi="幼圆" w:eastAsia="幼圆" w:cs="幼圆"/>
          <w:b/>
          <w:szCs w:val="20"/>
          <w:highlight w:val="none"/>
        </w:rPr>
        <w:t>：</w:t>
      </w:r>
      <w:bookmarkEnd w:id="2"/>
      <w:bookmarkEnd w:id="3"/>
      <w:bookmarkEnd w:id="4"/>
    </w:p>
    <w:p>
      <w:pPr>
        <w:widowControl/>
        <w:snapToGrid w:val="0"/>
        <w:spacing w:line="240" w:lineRule="auto"/>
        <w:textAlignment w:val="auto"/>
        <w:rPr>
          <w:rFonts w:hint="eastAsia" w:ascii="幼圆" w:hAnsi="幼圆" w:eastAsia="幼圆" w:cs="幼圆"/>
          <w:b/>
          <w:highlight w:val="none"/>
        </w:rPr>
      </w:pPr>
    </w:p>
    <w:p>
      <w:pPr>
        <w:snapToGrid w:val="0"/>
        <w:spacing w:line="240" w:lineRule="auto"/>
        <w:jc w:val="center"/>
        <w:rPr>
          <w:rFonts w:hint="eastAsia" w:ascii="幼圆" w:hAnsi="幼圆" w:eastAsia="幼圆" w:cs="幼圆"/>
          <w:caps/>
          <w:sz w:val="36"/>
          <w:szCs w:val="36"/>
          <w:highlight w:val="none"/>
        </w:rPr>
      </w:pPr>
      <w:r>
        <w:rPr>
          <w:rFonts w:hint="eastAsia" w:ascii="幼圆" w:hAnsi="幼圆" w:eastAsia="幼圆" w:cs="幼圆"/>
          <w:caps/>
          <w:sz w:val="36"/>
          <w:szCs w:val="36"/>
          <w:highlight w:val="none"/>
        </w:rPr>
        <w:t>技术规格偏离表</w:t>
      </w:r>
    </w:p>
    <w:p>
      <w:pPr>
        <w:snapToGrid w:val="0"/>
        <w:spacing w:before="120" w:beforeLines="50" w:line="240" w:lineRule="auto"/>
        <w:rPr>
          <w:rFonts w:hint="eastAsia" w:ascii="幼圆" w:hAnsi="幼圆" w:eastAsia="幼圆" w:cs="幼圆"/>
          <w:highlight w:val="none"/>
        </w:rPr>
      </w:pPr>
    </w:p>
    <w:p>
      <w:pPr>
        <w:snapToGrid w:val="0"/>
        <w:spacing w:after="120" w:afterLines="50" w:line="240" w:lineRule="auto"/>
        <w:rPr>
          <w:rFonts w:hint="eastAsia" w:ascii="幼圆" w:hAnsi="幼圆" w:eastAsia="幼圆" w:cs="幼圆"/>
          <w:highlight w:val="none"/>
          <w:u w:val="single"/>
        </w:rPr>
      </w:pPr>
      <w:r>
        <w:rPr>
          <w:rFonts w:hint="eastAsia" w:ascii="幼圆" w:hAnsi="幼圆" w:eastAsia="幼圆" w:cs="幼圆"/>
          <w:highlight w:val="none"/>
        </w:rPr>
        <w:t>项目名称：</w:t>
      </w:r>
    </w:p>
    <w:tbl>
      <w:tblPr>
        <w:tblStyle w:val="35"/>
        <w:tblW w:w="850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977"/>
        <w:gridCol w:w="2586"/>
        <w:gridCol w:w="166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招标文件条目号</w:t>
            </w:r>
          </w:p>
        </w:tc>
        <w:tc>
          <w:tcPr>
            <w:tcW w:w="2977"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招标文件采购需求的内容与数值</w:t>
            </w:r>
          </w:p>
        </w:tc>
        <w:tc>
          <w:tcPr>
            <w:tcW w:w="258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投标人的采购需求响应内容与数值</w:t>
            </w:r>
          </w:p>
        </w:tc>
        <w:tc>
          <w:tcPr>
            <w:tcW w:w="166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偏差说明</w:t>
            </w:r>
          </w:p>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（是否偏离/满足）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bl>
    <w:p>
      <w:pPr>
        <w:snapToGrid w:val="0"/>
        <w:spacing w:line="240" w:lineRule="auto"/>
        <w:ind w:left="540" w:hanging="495" w:hangingChars="225"/>
        <w:rPr>
          <w:rFonts w:hint="eastAsia" w:ascii="幼圆" w:hAnsi="幼圆" w:eastAsia="幼圆" w:cs="幼圆"/>
          <w:highlight w:val="none"/>
        </w:rPr>
      </w:pP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注：1.投标人应对招标文件第三章采购需求要求的内容给予逐条响应，以投标服务所能达到的内容予以填写，有具体需求的应填写具体要求。</w:t>
      </w: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ab/>
      </w:r>
      <w:r>
        <w:rPr>
          <w:rFonts w:hint="eastAsia" w:ascii="幼圆" w:hAnsi="幼圆" w:eastAsia="幼圆" w:cs="幼圆"/>
          <w:highlight w:val="none"/>
        </w:rPr>
        <w:t>2. 偏差说明处：技术、服务内容满足招标文件相应要求填写：“满足招标文件要求”、或“无偏离”；技术、服务内容不满足招标文件相应要求填写：“不满足招标文件要求”或“负偏离”。</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投标人名称：（单位公章）</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法定代表人或授权代表：（签字）</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日期：</w:t>
      </w:r>
    </w:p>
    <w:p>
      <w:pPr>
        <w:spacing w:line="240" w:lineRule="auto"/>
        <w:rPr>
          <w:rFonts w:hint="eastAsia" w:ascii="幼圆" w:hAnsi="幼圆" w:eastAsia="幼圆" w:cs="幼圆"/>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2C6442"/>
    <w:multiLevelType w:val="singleLevel"/>
    <w:tmpl w:val="822C6442"/>
    <w:lvl w:ilvl="0" w:tentative="0">
      <w:start w:val="1"/>
      <w:numFmt w:val="decimal"/>
      <w:lvlText w:val="%1."/>
      <w:lvlJc w:val="left"/>
      <w:pPr>
        <w:ind w:left="425" w:hanging="425"/>
      </w:pPr>
      <w:rPr>
        <w:rFonts w:hint="default"/>
      </w:rPr>
    </w:lvl>
  </w:abstractNum>
  <w:abstractNum w:abstractNumId="1">
    <w:nsid w:val="B801158A"/>
    <w:multiLevelType w:val="singleLevel"/>
    <w:tmpl w:val="B801158A"/>
    <w:lvl w:ilvl="0" w:tentative="0">
      <w:start w:val="2"/>
      <w:numFmt w:val="chineseCounting"/>
      <w:suff w:val="nothing"/>
      <w:lvlText w:val="%1、"/>
      <w:lvlJc w:val="left"/>
      <w:rPr>
        <w:rFonts w:hint="eastAsia"/>
      </w:rPr>
    </w:lvl>
  </w:abstractNum>
  <w:abstractNum w:abstractNumId="2">
    <w:nsid w:val="E9D502EE"/>
    <w:multiLevelType w:val="singleLevel"/>
    <w:tmpl w:val="E9D502EE"/>
    <w:lvl w:ilvl="0" w:tentative="0">
      <w:start w:val="5"/>
      <w:numFmt w:val="chineseCounting"/>
      <w:suff w:val="nothing"/>
      <w:lvlText w:val="%1、"/>
      <w:lvlJc w:val="left"/>
      <w:rPr>
        <w:rFonts w:hint="eastAsia"/>
      </w:rPr>
    </w:lvl>
  </w:abstractNum>
  <w:abstractNum w:abstractNumId="3">
    <w:nsid w:val="FFFFFF7E"/>
    <w:multiLevelType w:val="singleLevel"/>
    <w:tmpl w:val="FFFFFF7E"/>
    <w:lvl w:ilvl="0" w:tentative="0">
      <w:start w:val="1"/>
      <w:numFmt w:val="decimal"/>
      <w:pStyle w:val="24"/>
      <w:lvlText w:val="%1."/>
      <w:lvlJc w:val="left"/>
      <w:pPr>
        <w:tabs>
          <w:tab w:val="left" w:pos="1080"/>
        </w:tabs>
        <w:ind w:left="1080" w:hanging="360"/>
      </w:pPr>
    </w:lvl>
  </w:abstractNum>
  <w:abstractNum w:abstractNumId="4">
    <w:nsid w:val="FFFFFF7F"/>
    <w:multiLevelType w:val="singleLevel"/>
    <w:tmpl w:val="FFFFFF7F"/>
    <w:lvl w:ilvl="0" w:tentative="0">
      <w:start w:val="1"/>
      <w:numFmt w:val="decimal"/>
      <w:pStyle w:val="15"/>
      <w:lvlText w:val="%1."/>
      <w:lvlJc w:val="left"/>
      <w:pPr>
        <w:tabs>
          <w:tab w:val="left" w:pos="720"/>
        </w:tabs>
        <w:ind w:left="720" w:hanging="360"/>
      </w:pPr>
    </w:lvl>
  </w:abstractNum>
  <w:abstractNum w:abstractNumId="5">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6">
    <w:nsid w:val="FFFFFF83"/>
    <w:multiLevelType w:val="singleLevel"/>
    <w:tmpl w:val="FFFFFF83"/>
    <w:lvl w:ilvl="0" w:tentative="0">
      <w:start w:val="1"/>
      <w:numFmt w:val="bullet"/>
      <w:pStyle w:val="27"/>
      <w:lvlText w:val=""/>
      <w:lvlJc w:val="left"/>
      <w:pPr>
        <w:tabs>
          <w:tab w:val="left" w:pos="720"/>
        </w:tabs>
        <w:ind w:left="720" w:hanging="360"/>
      </w:pPr>
      <w:rPr>
        <w:rFonts w:hint="default" w:ascii="Symbol" w:hAnsi="Symbol"/>
      </w:rPr>
    </w:lvl>
  </w:abstractNum>
  <w:abstractNum w:abstractNumId="7">
    <w:nsid w:val="FFFFFF88"/>
    <w:multiLevelType w:val="singleLevel"/>
    <w:tmpl w:val="FFFFFF88"/>
    <w:lvl w:ilvl="0" w:tentative="0">
      <w:start w:val="1"/>
      <w:numFmt w:val="decimal"/>
      <w:pStyle w:val="16"/>
      <w:lvlText w:val="%1."/>
      <w:lvlJc w:val="left"/>
      <w:pPr>
        <w:tabs>
          <w:tab w:val="left" w:pos="360"/>
        </w:tabs>
        <w:ind w:left="360" w:hanging="360"/>
      </w:pPr>
    </w:lvl>
  </w:abstractNum>
  <w:abstractNum w:abstractNumId="8">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9">
    <w:nsid w:val="433F00E0"/>
    <w:multiLevelType w:val="multilevel"/>
    <w:tmpl w:val="433F00E0"/>
    <w:lvl w:ilvl="0" w:tentative="0">
      <w:start w:val="1"/>
      <w:numFmt w:val="decimal"/>
      <w:pStyle w:val="172"/>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7"/>
  </w:num>
  <w:num w:numId="3">
    <w:abstractNumId w:val="8"/>
  </w:num>
  <w:num w:numId="4">
    <w:abstractNumId w:val="5"/>
  </w:num>
  <w:num w:numId="5">
    <w:abstractNumId w:val="3"/>
  </w:num>
  <w:num w:numId="6">
    <w:abstractNumId w:val="6"/>
  </w:num>
  <w:num w:numId="7">
    <w:abstractNumId w:val="9"/>
  </w:num>
  <w:num w:numId="8">
    <w:abstractNumId w:val="1"/>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39276B"/>
    <w:rsid w:val="005F224A"/>
    <w:rsid w:val="008369C7"/>
    <w:rsid w:val="009C7AE2"/>
    <w:rsid w:val="00AA1D8D"/>
    <w:rsid w:val="00B47730"/>
    <w:rsid w:val="00CB0664"/>
    <w:rsid w:val="00FC693F"/>
    <w:rsid w:val="015A556D"/>
    <w:rsid w:val="039B035C"/>
    <w:rsid w:val="03DC6164"/>
    <w:rsid w:val="04BF5B95"/>
    <w:rsid w:val="05B922DB"/>
    <w:rsid w:val="06247180"/>
    <w:rsid w:val="08CA0C86"/>
    <w:rsid w:val="08E24B5B"/>
    <w:rsid w:val="0A4A3DA1"/>
    <w:rsid w:val="0ADE0A96"/>
    <w:rsid w:val="0B772CD7"/>
    <w:rsid w:val="0B9760F9"/>
    <w:rsid w:val="0D32706A"/>
    <w:rsid w:val="0F553938"/>
    <w:rsid w:val="0F6F40AA"/>
    <w:rsid w:val="106611D9"/>
    <w:rsid w:val="113329E6"/>
    <w:rsid w:val="117F262B"/>
    <w:rsid w:val="12A90D4E"/>
    <w:rsid w:val="12C56763"/>
    <w:rsid w:val="12EA542F"/>
    <w:rsid w:val="15901876"/>
    <w:rsid w:val="15B1627B"/>
    <w:rsid w:val="172A7912"/>
    <w:rsid w:val="178A7EBB"/>
    <w:rsid w:val="1990077F"/>
    <w:rsid w:val="19A32D0D"/>
    <w:rsid w:val="1BE71C78"/>
    <w:rsid w:val="1F3C1C4F"/>
    <w:rsid w:val="1F5F6D41"/>
    <w:rsid w:val="202408C8"/>
    <w:rsid w:val="205F522A"/>
    <w:rsid w:val="210C0BC6"/>
    <w:rsid w:val="213671B0"/>
    <w:rsid w:val="2274584A"/>
    <w:rsid w:val="229B3C09"/>
    <w:rsid w:val="22BF180F"/>
    <w:rsid w:val="22E24F49"/>
    <w:rsid w:val="23E75A93"/>
    <w:rsid w:val="24392B0D"/>
    <w:rsid w:val="24A75DD1"/>
    <w:rsid w:val="24AB1841"/>
    <w:rsid w:val="24F414B1"/>
    <w:rsid w:val="258A6E5B"/>
    <w:rsid w:val="25AF67D6"/>
    <w:rsid w:val="25D77D3F"/>
    <w:rsid w:val="25E54A8E"/>
    <w:rsid w:val="26B26BA7"/>
    <w:rsid w:val="27372964"/>
    <w:rsid w:val="27BD3A55"/>
    <w:rsid w:val="28357004"/>
    <w:rsid w:val="2994584A"/>
    <w:rsid w:val="2A663850"/>
    <w:rsid w:val="2B745DF2"/>
    <w:rsid w:val="2BE26EA2"/>
    <w:rsid w:val="2C08354D"/>
    <w:rsid w:val="2C5F3B91"/>
    <w:rsid w:val="2CEB1C25"/>
    <w:rsid w:val="2D056703"/>
    <w:rsid w:val="2D26536C"/>
    <w:rsid w:val="2DA44891"/>
    <w:rsid w:val="2F1D0548"/>
    <w:rsid w:val="2F6E5F01"/>
    <w:rsid w:val="2FF57743"/>
    <w:rsid w:val="30286D46"/>
    <w:rsid w:val="30F149D3"/>
    <w:rsid w:val="31321010"/>
    <w:rsid w:val="313F5CD8"/>
    <w:rsid w:val="3225199F"/>
    <w:rsid w:val="335911B0"/>
    <w:rsid w:val="347B53E1"/>
    <w:rsid w:val="34813790"/>
    <w:rsid w:val="349013E9"/>
    <w:rsid w:val="34B64844"/>
    <w:rsid w:val="3543266F"/>
    <w:rsid w:val="35A3178F"/>
    <w:rsid w:val="35BA5B31"/>
    <w:rsid w:val="35C02C5D"/>
    <w:rsid w:val="36710DAA"/>
    <w:rsid w:val="374D3D49"/>
    <w:rsid w:val="377C3B60"/>
    <w:rsid w:val="381A7AE8"/>
    <w:rsid w:val="386E2923"/>
    <w:rsid w:val="39445FFB"/>
    <w:rsid w:val="39577622"/>
    <w:rsid w:val="397720D5"/>
    <w:rsid w:val="399036C4"/>
    <w:rsid w:val="3AA1560E"/>
    <w:rsid w:val="3D3FEA48"/>
    <w:rsid w:val="3DAB702F"/>
    <w:rsid w:val="3DBFD295"/>
    <w:rsid w:val="3DF35805"/>
    <w:rsid w:val="3E543B04"/>
    <w:rsid w:val="3E9B6EC4"/>
    <w:rsid w:val="3EBA3A53"/>
    <w:rsid w:val="3F6E7574"/>
    <w:rsid w:val="40E40ADC"/>
    <w:rsid w:val="411538B7"/>
    <w:rsid w:val="41536D26"/>
    <w:rsid w:val="41BE02EE"/>
    <w:rsid w:val="41EB7473"/>
    <w:rsid w:val="41F027BE"/>
    <w:rsid w:val="420A5259"/>
    <w:rsid w:val="421945B1"/>
    <w:rsid w:val="43F67691"/>
    <w:rsid w:val="44DB5B25"/>
    <w:rsid w:val="455507B5"/>
    <w:rsid w:val="456516C7"/>
    <w:rsid w:val="45A307A5"/>
    <w:rsid w:val="45A40BA1"/>
    <w:rsid w:val="45A73923"/>
    <w:rsid w:val="469F2EE7"/>
    <w:rsid w:val="47091014"/>
    <w:rsid w:val="4709160B"/>
    <w:rsid w:val="472B3D0B"/>
    <w:rsid w:val="476165B4"/>
    <w:rsid w:val="480333C8"/>
    <w:rsid w:val="48153C8D"/>
    <w:rsid w:val="48482E26"/>
    <w:rsid w:val="4875046F"/>
    <w:rsid w:val="48D90193"/>
    <w:rsid w:val="491E21A3"/>
    <w:rsid w:val="49B06B72"/>
    <w:rsid w:val="49F927E9"/>
    <w:rsid w:val="4A695CBB"/>
    <w:rsid w:val="4AEF402B"/>
    <w:rsid w:val="4B5410CE"/>
    <w:rsid w:val="4C0D4686"/>
    <w:rsid w:val="4D1D5914"/>
    <w:rsid w:val="4D5C393A"/>
    <w:rsid w:val="4E737776"/>
    <w:rsid w:val="4F884709"/>
    <w:rsid w:val="4FC375E6"/>
    <w:rsid w:val="502A0955"/>
    <w:rsid w:val="5257047F"/>
    <w:rsid w:val="529C7846"/>
    <w:rsid w:val="537D6985"/>
    <w:rsid w:val="53ED7FA3"/>
    <w:rsid w:val="548B5756"/>
    <w:rsid w:val="562D069E"/>
    <w:rsid w:val="5656504D"/>
    <w:rsid w:val="56982553"/>
    <w:rsid w:val="56A9ACE5"/>
    <w:rsid w:val="574D52F6"/>
    <w:rsid w:val="57F124B8"/>
    <w:rsid w:val="586B0DA0"/>
    <w:rsid w:val="5887487A"/>
    <w:rsid w:val="5B5150A4"/>
    <w:rsid w:val="5B785B9F"/>
    <w:rsid w:val="5E4C798F"/>
    <w:rsid w:val="5E75216F"/>
    <w:rsid w:val="5F165949"/>
    <w:rsid w:val="5F1C45FF"/>
    <w:rsid w:val="5FEFBD42"/>
    <w:rsid w:val="602F6FC8"/>
    <w:rsid w:val="62BB227D"/>
    <w:rsid w:val="63A6046B"/>
    <w:rsid w:val="64690EAB"/>
    <w:rsid w:val="64F50F92"/>
    <w:rsid w:val="6653074D"/>
    <w:rsid w:val="678C0E2E"/>
    <w:rsid w:val="68860CA5"/>
    <w:rsid w:val="69281BE2"/>
    <w:rsid w:val="69524F00"/>
    <w:rsid w:val="6A177E9C"/>
    <w:rsid w:val="6A5C38C9"/>
    <w:rsid w:val="6BBC5FCE"/>
    <w:rsid w:val="6BD25936"/>
    <w:rsid w:val="6CC7031A"/>
    <w:rsid w:val="6FBD2579"/>
    <w:rsid w:val="6FED3F9B"/>
    <w:rsid w:val="701139EA"/>
    <w:rsid w:val="703B2526"/>
    <w:rsid w:val="70712FCD"/>
    <w:rsid w:val="72014FA3"/>
    <w:rsid w:val="720472B3"/>
    <w:rsid w:val="72E4478C"/>
    <w:rsid w:val="74B344DD"/>
    <w:rsid w:val="755F72B5"/>
    <w:rsid w:val="75C51121"/>
    <w:rsid w:val="75DF8964"/>
    <w:rsid w:val="75F106A5"/>
    <w:rsid w:val="761942CF"/>
    <w:rsid w:val="773A2CDF"/>
    <w:rsid w:val="787B4E47"/>
    <w:rsid w:val="78EF290F"/>
    <w:rsid w:val="79EFCB93"/>
    <w:rsid w:val="7B1D2D88"/>
    <w:rsid w:val="7B4D01D8"/>
    <w:rsid w:val="7BBE4424"/>
    <w:rsid w:val="7CE1176F"/>
    <w:rsid w:val="7DFB6C40"/>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5">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line="360" w:lineRule="auto"/>
      <w:ind w:firstLine="200" w:firstLineChars="200"/>
    </w:pPr>
  </w:style>
  <w:style w:type="paragraph" w:styleId="3">
    <w:name w:val="Body Text Indent"/>
    <w:basedOn w:val="1"/>
    <w:unhideWhenUsed/>
    <w:qFormat/>
    <w:uiPriority w:val="99"/>
    <w:pPr>
      <w:spacing w:after="120"/>
      <w:ind w:left="420" w:leftChars="200"/>
    </w:pPr>
  </w:style>
  <w:style w:type="paragraph" w:styleId="4">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3"/>
    <w:basedOn w:val="1"/>
    <w:unhideWhenUsed/>
    <w:qFormat/>
    <w:uiPriority w:val="99"/>
    <w:pPr>
      <w:ind w:left="1080" w:hanging="360"/>
      <w:contextualSpacing/>
    </w:pPr>
  </w:style>
  <w:style w:type="paragraph" w:styleId="15">
    <w:name w:val="List Number 2"/>
    <w:basedOn w:val="1"/>
    <w:unhideWhenUsed/>
    <w:qFormat/>
    <w:uiPriority w:val="99"/>
    <w:pPr>
      <w:numPr>
        <w:ilvl w:val="0"/>
        <w:numId w:val="1"/>
      </w:numPr>
      <w:contextualSpacing/>
    </w:pPr>
  </w:style>
  <w:style w:type="paragraph" w:styleId="16">
    <w:name w:val="List Number"/>
    <w:basedOn w:val="1"/>
    <w:unhideWhenUsed/>
    <w:qFormat/>
    <w:uiPriority w:val="99"/>
    <w:pPr>
      <w:numPr>
        <w:ilvl w:val="0"/>
        <w:numId w:val="2"/>
      </w:numPr>
      <w:contextualSpacing/>
    </w:pPr>
  </w:style>
  <w:style w:type="paragraph" w:styleId="1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8">
    <w:name w:val="List Bullet"/>
    <w:basedOn w:val="1"/>
    <w:unhideWhenUsed/>
    <w:qFormat/>
    <w:uiPriority w:val="99"/>
    <w:pPr>
      <w:numPr>
        <w:ilvl w:val="0"/>
        <w:numId w:val="3"/>
      </w:numPr>
      <w:contextualSpacing/>
    </w:pPr>
  </w:style>
  <w:style w:type="paragraph" w:styleId="19">
    <w:name w:val="annotation text"/>
    <w:basedOn w:val="1"/>
    <w:semiHidden/>
    <w:unhideWhenUsed/>
    <w:qFormat/>
    <w:uiPriority w:val="99"/>
    <w:pPr>
      <w:jc w:val="left"/>
    </w:pPr>
  </w:style>
  <w:style w:type="paragraph" w:styleId="20">
    <w:name w:val="Body Text 3"/>
    <w:basedOn w:val="1"/>
    <w:link w:val="149"/>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next w:val="23"/>
    <w:link w:val="147"/>
    <w:unhideWhenUsed/>
    <w:qFormat/>
    <w:uiPriority w:val="99"/>
    <w:pPr>
      <w:spacing w:after="120"/>
    </w:pPr>
  </w:style>
  <w:style w:type="paragraph" w:styleId="23">
    <w:name w:val="Body Text 2"/>
    <w:basedOn w:val="1"/>
    <w:link w:val="148"/>
    <w:unhideWhenUsed/>
    <w:qFormat/>
    <w:uiPriority w:val="99"/>
    <w:pPr>
      <w:spacing w:after="120" w:line="480" w:lineRule="auto"/>
    </w:pPr>
  </w:style>
  <w:style w:type="paragraph" w:styleId="24">
    <w:name w:val="List Number 3"/>
    <w:basedOn w:val="1"/>
    <w:unhideWhenUsed/>
    <w:qFormat/>
    <w:uiPriority w:val="99"/>
    <w:pPr>
      <w:numPr>
        <w:ilvl w:val="0"/>
        <w:numId w:val="5"/>
      </w:numPr>
      <w:contextualSpacing/>
    </w:pPr>
  </w:style>
  <w:style w:type="paragraph" w:styleId="25">
    <w:name w:val="List 2"/>
    <w:basedOn w:val="1"/>
    <w:unhideWhenUsed/>
    <w:qFormat/>
    <w:uiPriority w:val="99"/>
    <w:pPr>
      <w:ind w:left="720" w:hanging="360"/>
      <w:contextualSpacing/>
    </w:pPr>
  </w:style>
  <w:style w:type="paragraph" w:styleId="26">
    <w:name w:val="List Continue"/>
    <w:basedOn w:val="1"/>
    <w:unhideWhenUsed/>
    <w:qFormat/>
    <w:uiPriority w:val="99"/>
    <w:pPr>
      <w:spacing w:after="120"/>
      <w:ind w:left="360"/>
      <w:contextualSpacing/>
    </w:pPr>
  </w:style>
  <w:style w:type="paragraph" w:styleId="27">
    <w:name w:val="List Bullet 2"/>
    <w:basedOn w:val="1"/>
    <w:unhideWhenUsed/>
    <w:qFormat/>
    <w:uiPriority w:val="99"/>
    <w:pPr>
      <w:numPr>
        <w:ilvl w:val="0"/>
        <w:numId w:val="6"/>
      </w:numPr>
      <w:contextualSpacing/>
    </w:pPr>
  </w:style>
  <w:style w:type="paragraph" w:styleId="28">
    <w:name w:val="footer"/>
    <w:basedOn w:val="1"/>
    <w:link w:val="139"/>
    <w:unhideWhenUsed/>
    <w:qFormat/>
    <w:uiPriority w:val="99"/>
    <w:pPr>
      <w:tabs>
        <w:tab w:val="center" w:pos="4680"/>
        <w:tab w:val="right" w:pos="9360"/>
      </w:tabs>
      <w:spacing w:after="0" w:line="240" w:lineRule="auto"/>
    </w:pPr>
  </w:style>
  <w:style w:type="paragraph" w:styleId="29">
    <w:name w:val="header"/>
    <w:basedOn w:val="1"/>
    <w:link w:val="138"/>
    <w:unhideWhenUsed/>
    <w:qFormat/>
    <w:uiPriority w:val="99"/>
    <w:pPr>
      <w:tabs>
        <w:tab w:val="center" w:pos="4680"/>
        <w:tab w:val="right" w:pos="9360"/>
      </w:tabs>
      <w:spacing w:after="0" w:line="240" w:lineRule="auto"/>
    </w:pPr>
  </w:style>
  <w:style w:type="paragraph" w:styleId="30">
    <w:name w:val="Subtitle"/>
    <w:basedOn w:val="1"/>
    <w:next w:val="1"/>
    <w:link w:val="1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List Continue 2"/>
    <w:basedOn w:val="1"/>
    <w:unhideWhenUsed/>
    <w:qFormat/>
    <w:uiPriority w:val="99"/>
    <w:pPr>
      <w:spacing w:after="120"/>
      <w:ind w:left="720"/>
      <w:contextualSpacing/>
    </w:pPr>
  </w:style>
  <w:style w:type="paragraph" w:styleId="33">
    <w:name w:val="List Continue 3"/>
    <w:basedOn w:val="1"/>
    <w:unhideWhenUsed/>
    <w:qFormat/>
    <w:uiPriority w:val="99"/>
    <w:pPr>
      <w:spacing w:after="120"/>
      <w:ind w:left="1080"/>
      <w:contextualSpacing/>
    </w:pPr>
  </w:style>
  <w:style w:type="paragraph" w:styleId="34">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customStyle="1" w:styleId="138">
    <w:name w:val="Header Char"/>
    <w:basedOn w:val="135"/>
    <w:link w:val="29"/>
    <w:qFormat/>
    <w:uiPriority w:val="99"/>
  </w:style>
  <w:style w:type="character" w:customStyle="1" w:styleId="139">
    <w:name w:val="Footer Char"/>
    <w:basedOn w:val="135"/>
    <w:link w:val="28"/>
    <w:qFormat/>
    <w:uiPriority w:val="99"/>
  </w:style>
  <w:style w:type="paragraph" w:styleId="1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1">
    <w:name w:val="Heading 1 Char"/>
    <w:basedOn w:val="135"/>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Heading 2 Char"/>
    <w:basedOn w:val="135"/>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Heading 3 Char"/>
    <w:basedOn w:val="135"/>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itle Char"/>
    <w:basedOn w:val="135"/>
    <w:link w:val="34"/>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itle Char"/>
    <w:basedOn w:val="135"/>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Body Text Char"/>
    <w:basedOn w:val="135"/>
    <w:link w:val="22"/>
    <w:qFormat/>
    <w:uiPriority w:val="99"/>
  </w:style>
  <w:style w:type="character" w:customStyle="1" w:styleId="148">
    <w:name w:val="Body Text 2 Char"/>
    <w:basedOn w:val="135"/>
    <w:link w:val="23"/>
    <w:qFormat/>
    <w:uiPriority w:val="99"/>
  </w:style>
  <w:style w:type="character" w:customStyle="1" w:styleId="149">
    <w:name w:val="Body Text 3 Char"/>
    <w:basedOn w:val="135"/>
    <w:link w:val="20"/>
    <w:qFormat/>
    <w:uiPriority w:val="99"/>
    <w:rPr>
      <w:sz w:val="16"/>
      <w:szCs w:val="16"/>
    </w:rPr>
  </w:style>
  <w:style w:type="character" w:customStyle="1" w:styleId="150">
    <w:name w:val="Macro Text Char"/>
    <w:basedOn w:val="135"/>
    <w:link w:val="4"/>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Quote Char"/>
    <w:basedOn w:val="135"/>
    <w:link w:val="151"/>
    <w:qFormat/>
    <w:uiPriority w:val="29"/>
    <w:rPr>
      <w:i/>
      <w:iCs/>
      <w:color w:val="000000" w:themeColor="text1"/>
      <w14:textFill>
        <w14:solidFill>
          <w14:schemeClr w14:val="tx1"/>
        </w14:solidFill>
      </w14:textFill>
    </w:rPr>
  </w:style>
  <w:style w:type="character" w:customStyle="1" w:styleId="153">
    <w:name w:val="Heading 4 Char"/>
    <w:basedOn w:val="135"/>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Heading 5 Char"/>
    <w:basedOn w:val="135"/>
    <w:link w:val="9"/>
    <w:semiHidden/>
    <w:qFormat/>
    <w:uiPriority w:val="9"/>
    <w:rPr>
      <w:rFonts w:asciiTheme="majorHAnsi" w:hAnsiTheme="majorHAnsi" w:eastAsiaTheme="majorEastAsia" w:cstheme="majorBidi"/>
      <w:color w:val="254061" w:themeColor="accent1" w:themeShade="80"/>
    </w:rPr>
  </w:style>
  <w:style w:type="character" w:customStyle="1" w:styleId="155">
    <w:name w:val="Heading 6 Char"/>
    <w:basedOn w:val="135"/>
    <w:link w:val="10"/>
    <w:semiHidden/>
    <w:qFormat/>
    <w:uiPriority w:val="9"/>
    <w:rPr>
      <w:rFonts w:asciiTheme="majorHAnsi" w:hAnsiTheme="majorHAnsi" w:eastAsiaTheme="majorEastAsia" w:cstheme="majorBidi"/>
      <w:i/>
      <w:iCs/>
      <w:color w:val="254061" w:themeColor="accent1" w:themeShade="80"/>
    </w:rPr>
  </w:style>
  <w:style w:type="character" w:customStyle="1" w:styleId="156">
    <w:name w:val="Heading 7 Char"/>
    <w:basedOn w:val="135"/>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Heading 8 Char"/>
    <w:basedOn w:val="135"/>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Heading 9 Char"/>
    <w:basedOn w:val="135"/>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Intense Quote Char"/>
    <w:basedOn w:val="135"/>
    <w:link w:val="159"/>
    <w:qFormat/>
    <w:uiPriority w:val="30"/>
    <w:rPr>
      <w:b/>
      <w:bCs/>
      <w:i/>
      <w:iCs/>
      <w:color w:val="4F81BD" w:themeColor="accent1"/>
      <w14:textFill>
        <w14:solidFill>
          <w14:schemeClr w14:val="accent1"/>
        </w14:solidFill>
      </w14:textFill>
    </w:rPr>
  </w:style>
  <w:style w:type="character" w:customStyle="1" w:styleId="161">
    <w:name w:val="Subtle Emphasis"/>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
    <w:basedOn w:val="135"/>
    <w:qFormat/>
    <w:uiPriority w:val="21"/>
    <w:rPr>
      <w:b/>
      <w:bCs/>
      <w:i/>
      <w:iCs/>
      <w:color w:val="4F81BD" w:themeColor="accent1"/>
      <w14:textFill>
        <w14:solidFill>
          <w14:schemeClr w14:val="accent1"/>
        </w14:solidFill>
      </w14:textFill>
    </w:rPr>
  </w:style>
  <w:style w:type="character" w:customStyle="1" w:styleId="163">
    <w:name w:val="Subtle Reference"/>
    <w:basedOn w:val="135"/>
    <w:qFormat/>
    <w:uiPriority w:val="31"/>
    <w:rPr>
      <w:smallCaps/>
      <w:color w:val="C0504D" w:themeColor="accent2"/>
      <w:u w:val="single"/>
      <w14:textFill>
        <w14:solidFill>
          <w14:schemeClr w14:val="accent2"/>
        </w14:solidFill>
      </w14:textFill>
    </w:rPr>
  </w:style>
  <w:style w:type="character" w:customStyle="1" w:styleId="164">
    <w:name w:val="Intense Reference"/>
    <w:basedOn w:val="135"/>
    <w:qFormat/>
    <w:uiPriority w:val="32"/>
    <w:rPr>
      <w:b/>
      <w:bCs/>
      <w:smallCaps/>
      <w:color w:val="C0504D" w:themeColor="accent2"/>
      <w:spacing w:val="5"/>
      <w:u w:val="single"/>
      <w14:textFill>
        <w14:solidFill>
          <w14:schemeClr w14:val="accent2"/>
        </w14:solidFill>
      </w14:textFill>
    </w:rPr>
  </w:style>
  <w:style w:type="character" w:customStyle="1" w:styleId="165">
    <w:name w:val="Book Title"/>
    <w:basedOn w:val="135"/>
    <w:qFormat/>
    <w:uiPriority w:val="33"/>
    <w:rPr>
      <w:b/>
      <w:bCs/>
      <w:smallCaps/>
      <w:spacing w:val="5"/>
    </w:rPr>
  </w:style>
  <w:style w:type="paragraph" w:customStyle="1" w:styleId="166">
    <w:name w:val="TOC Heading"/>
    <w:basedOn w:val="5"/>
    <w:next w:val="1"/>
    <w:semiHidden/>
    <w:unhideWhenUsed/>
    <w:qFormat/>
    <w:uiPriority w:val="39"/>
    <w:pPr>
      <w:outlineLvl w:val="9"/>
    </w:pPr>
  </w:style>
  <w:style w:type="paragraph" w:customStyle="1" w:styleId="167">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8">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9">
    <w:name w:val="王越的表头"/>
    <w:basedOn w:val="170"/>
    <w:qFormat/>
    <w:uiPriority w:val="0"/>
    <w:pPr>
      <w:spacing w:line="240" w:lineRule="auto"/>
      <w:ind w:firstLine="0" w:firstLineChars="0"/>
      <w:jc w:val="center"/>
    </w:pPr>
    <w:rPr>
      <w:b/>
    </w:rPr>
  </w:style>
  <w:style w:type="paragraph" w:customStyle="1" w:styleId="170">
    <w:name w:val="王越的正文"/>
    <w:basedOn w:val="1"/>
    <w:qFormat/>
    <w:uiPriority w:val="0"/>
    <w:pPr>
      <w:ind w:firstLine="480"/>
      <w:jc w:val="left"/>
    </w:pPr>
    <w:rPr>
      <w:rFonts w:ascii="宋体" w:hAnsi="宋体"/>
    </w:rPr>
  </w:style>
  <w:style w:type="paragraph" w:customStyle="1" w:styleId="171">
    <w:name w:val="王越的表格"/>
    <w:basedOn w:val="170"/>
    <w:qFormat/>
    <w:uiPriority w:val="0"/>
    <w:pPr>
      <w:spacing w:line="240" w:lineRule="auto"/>
      <w:ind w:firstLine="0" w:firstLineChars="0"/>
    </w:pPr>
  </w:style>
  <w:style w:type="paragraph" w:customStyle="1" w:styleId="172">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3">
    <w:name w:val="首行缩进"/>
    <w:basedOn w:val="1"/>
    <w:qFormat/>
    <w:uiPriority w:val="0"/>
    <w:pPr>
      <w:spacing w:line="360" w:lineRule="auto"/>
      <w:ind w:firstLine="480" w:firstLineChars="200"/>
    </w:pPr>
    <w:rPr>
      <w:rFonts w:ascii="Calibri" w:hAnsi="Calibri"/>
      <w:sz w:val="24"/>
      <w:szCs w:val="22"/>
      <w:lang w:val="zh-CN"/>
    </w:rPr>
  </w:style>
  <w:style w:type="paragraph" w:customStyle="1" w:styleId="174">
    <w:name w:val="列出段落11"/>
    <w:basedOn w:val="1"/>
    <w:qFormat/>
    <w:uiPriority w:val="99"/>
    <w:pPr>
      <w:widowControl/>
      <w:adjustRightInd/>
      <w:spacing w:before="40" w:after="160" w:line="240" w:lineRule="auto"/>
      <w:ind w:firstLine="420" w:firstLineChars="200"/>
      <w:textAlignment w:val="auto"/>
    </w:pPr>
    <w:rPr>
      <w:rFonts w:ascii="Cambria" w:hAnsi="Cambria" w:eastAsia="微软雅黑" w:cs="Cambria"/>
      <w:color w:val="565656"/>
      <w:kern w:val="20"/>
      <w:sz w:val="21"/>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0</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cp:lastPrinted>2025-12-31T00:47:00Z</cp:lastPrinted>
  <dcterms:modified xsi:type="dcterms:W3CDTF">2026-06-08T07:43:45Z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