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auto"/>
        <w:jc w:val="center"/>
        <w:rPr>
          <w:rFonts w:ascii="宋体"/>
          <w:b/>
          <w:bCs/>
          <w:sz w:val="36"/>
          <w:szCs w:val="36"/>
        </w:rPr>
      </w:pPr>
      <w:r>
        <w:rPr>
          <w:rFonts w:hint="eastAsia" w:ascii="宋体"/>
          <w:b/>
          <w:bCs/>
          <w:sz w:val="36"/>
          <w:szCs w:val="36"/>
        </w:rPr>
        <w:t>货物需求一览表及技术规格</w:t>
      </w:r>
    </w:p>
    <w:tbl>
      <w:tblPr>
        <w:tblStyle w:val="24"/>
        <w:tblpPr w:leftFromText="180" w:rightFromText="180" w:vertAnchor="text" w:horzAnchor="page" w:tblpX="1898" w:tblpY="322"/>
        <w:tblOverlap w:val="never"/>
        <w:tblW w:w="86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68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80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107" w:rightChars="-51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招标要求条目号</w:t>
            </w:r>
          </w:p>
        </w:tc>
        <w:tc>
          <w:tcPr>
            <w:tcW w:w="6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招标规格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180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一</w:t>
            </w:r>
            <w:r>
              <w:rPr>
                <w:rFonts w:asciiTheme="majorEastAsia" w:hAnsiTheme="majorEastAsia" w:eastAsiaTheme="majorEastAsia"/>
                <w:b/>
                <w:szCs w:val="21"/>
              </w:rPr>
              <w:t>.</w:t>
            </w: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设备名称</w:t>
            </w:r>
          </w:p>
        </w:tc>
        <w:tc>
          <w:tcPr>
            <w:tcW w:w="6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rPr>
                <w:rFonts w:hint="default" w:asciiTheme="majorEastAsia" w:hAnsiTheme="majorEastAsia" w:eastAsiaTheme="majorEastAsia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val="en-US" w:eastAsia="zh-CN"/>
              </w:rPr>
              <w:t>治疗车2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80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二</w:t>
            </w:r>
            <w:r>
              <w:rPr>
                <w:rFonts w:asciiTheme="majorEastAsia" w:hAnsiTheme="majorEastAsia" w:eastAsiaTheme="majorEastAsia"/>
                <w:b/>
                <w:szCs w:val="21"/>
              </w:rPr>
              <w:t>.</w:t>
            </w: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数量</w:t>
            </w:r>
          </w:p>
        </w:tc>
        <w:tc>
          <w:tcPr>
            <w:tcW w:w="6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auto"/>
              <w:rPr>
                <w:rFonts w:hint="default" w:asciiTheme="majorEastAsia" w:hAnsiTheme="majorEastAsia" w:eastAsiaTheme="majorEastAsia"/>
                <w:szCs w:val="21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46台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80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三</w:t>
            </w:r>
            <w:r>
              <w:rPr>
                <w:rFonts w:asciiTheme="majorEastAsia" w:hAnsiTheme="majorEastAsia" w:eastAsiaTheme="majorEastAsia"/>
                <w:b/>
                <w:szCs w:val="21"/>
              </w:rPr>
              <w:t>.</w:t>
            </w: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用途</w:t>
            </w:r>
          </w:p>
        </w:tc>
        <w:tc>
          <w:tcPr>
            <w:tcW w:w="6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auto"/>
              <w:rPr>
                <w:rFonts w:hint="default" w:eastAsia="宋体" w:asciiTheme="majorEastAsia" w:hAnsiTheme="majorEastAsia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 w:val="24"/>
                <w:lang w:val="en-US" w:eastAsia="zh-CN"/>
              </w:rPr>
              <w:t>用于放置物品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80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四</w:t>
            </w:r>
            <w:r>
              <w:rPr>
                <w:rFonts w:asciiTheme="majorEastAsia" w:hAnsiTheme="majorEastAsia" w:eastAsiaTheme="majorEastAsia"/>
                <w:b/>
                <w:szCs w:val="21"/>
              </w:rPr>
              <w:t>.</w:t>
            </w: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主要组成</w:t>
            </w:r>
          </w:p>
        </w:tc>
        <w:tc>
          <w:tcPr>
            <w:tcW w:w="6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>主要组成如下：</w:t>
            </w:r>
          </w:p>
          <w:p>
            <w:pPr>
              <w:pStyle w:val="13"/>
              <w:rPr>
                <w:rFonts w:hint="default"/>
                <w:lang w:val="en-US" w:eastAsia="zh-CN"/>
              </w:rPr>
            </w:pP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主体、医用轮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800" w:type="dxa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/>
                <w:szCs w:val="21"/>
                <w:lang w:eastAsia="zh-CN"/>
              </w:rPr>
              <w:t>五</w:t>
            </w:r>
            <w:r>
              <w:rPr>
                <w:rFonts w:asciiTheme="majorEastAsia" w:hAnsiTheme="majorEastAsia" w:eastAsiaTheme="majorEastAsia"/>
                <w:b/>
                <w:szCs w:val="21"/>
              </w:rPr>
              <w:t>.</w:t>
            </w: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技术规格</w:t>
            </w:r>
          </w:p>
        </w:tc>
        <w:tc>
          <w:tcPr>
            <w:tcW w:w="6840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材质说明：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firstLine="210" w:firstLineChars="10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整体</w:t>
            </w:r>
            <w:r>
              <w:rPr>
                <w:rFonts w:hint="default"/>
                <w:lang w:val="en-US" w:eastAsia="zh-CN"/>
              </w:rPr>
              <w:t>使用</w:t>
            </w:r>
            <w:r>
              <w:rPr>
                <w:rFonts w:hint="eastAsia"/>
                <w:lang w:val="en-US" w:eastAsia="zh-CN"/>
              </w:rPr>
              <w:t>1.0mm厚</w:t>
            </w:r>
            <w:r>
              <w:rPr>
                <w:rFonts w:hint="default"/>
                <w:lang w:val="en-US" w:eastAsia="zh-CN"/>
              </w:rPr>
              <w:t>冷轧钢板制作，使用激光切割，数控折弯，使整体无误差更加美观。坚实耐用。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firstLine="0" w:firstLineChars="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台面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Chars="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钢制不低于1.2厚，一体成型，</w:t>
            </w:r>
            <w:r>
              <w:rPr>
                <w:rFonts w:hint="default"/>
                <w:lang w:val="en-US" w:eastAsia="zh-CN"/>
              </w:rPr>
              <w:t>左，右，后起</w:t>
            </w:r>
            <w:r>
              <w:rPr>
                <w:rFonts w:hint="eastAsia"/>
                <w:lang w:val="en-US" w:eastAsia="zh-CN"/>
              </w:rPr>
              <w:t>10</w:t>
            </w:r>
            <w:r>
              <w:rPr>
                <w:rFonts w:hint="default"/>
                <w:lang w:val="en-US" w:eastAsia="zh-CN"/>
              </w:rPr>
              <w:t>mm挡边，防止物品脱落。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firstLine="0" w:firstLineChars="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扩展台面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Chars="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移动柜的</w:t>
            </w:r>
            <w:r>
              <w:rPr>
                <w:rFonts w:hint="eastAsia"/>
                <w:lang w:val="en-US" w:eastAsia="zh-CN"/>
              </w:rPr>
              <w:t>前方隐藏</w:t>
            </w:r>
            <w:r>
              <w:rPr>
                <w:rFonts w:hint="default"/>
                <w:lang w:val="en-US" w:eastAsia="zh-CN"/>
              </w:rPr>
              <w:t>有拓展台，使台面使用空间加大。</w:t>
            </w:r>
            <w:r>
              <w:rPr>
                <w:rFonts w:hint="eastAsia"/>
                <w:lang w:val="en-US" w:eastAsia="zh-CN"/>
              </w:rPr>
              <w:t>使用时拉出，不需要时回位，承</w:t>
            </w:r>
            <w:r>
              <w:rPr>
                <w:rFonts w:hint="default"/>
                <w:lang w:val="en-US" w:eastAsia="zh-CN"/>
              </w:rPr>
              <w:t>重</w:t>
            </w:r>
            <w:r>
              <w:rPr>
                <w:rFonts w:hint="eastAsia"/>
                <w:lang w:val="en-US" w:eastAsia="zh-CN"/>
              </w:rPr>
              <w:t>不低于20</w:t>
            </w:r>
            <w:r>
              <w:rPr>
                <w:rFonts w:hint="default"/>
                <w:lang w:val="en-US" w:eastAsia="zh-CN"/>
              </w:rPr>
              <w:t>公斤。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firstLine="0" w:firstLineChars="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滑轨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Chars="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缓存全拉三节轨。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firstLine="0" w:firstLineChars="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拉手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Chars="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实芯</w:t>
            </w:r>
            <w:r>
              <w:rPr>
                <w:rFonts w:hint="eastAsia"/>
                <w:lang w:val="en-US" w:eastAsia="zh-CN"/>
              </w:rPr>
              <w:t>铝制</w:t>
            </w:r>
            <w:r>
              <w:rPr>
                <w:rFonts w:hint="default"/>
                <w:lang w:val="en-US" w:eastAsia="zh-CN"/>
              </w:rPr>
              <w:t>拉手，拉手</w:t>
            </w:r>
            <w:r>
              <w:rPr>
                <w:rFonts w:hint="eastAsia"/>
                <w:lang w:val="en-US" w:eastAsia="zh-CN"/>
              </w:rPr>
              <w:t>样式多款选择，</w:t>
            </w:r>
            <w:r>
              <w:rPr>
                <w:rFonts w:hint="default"/>
                <w:lang w:val="en-US" w:eastAsia="zh-CN"/>
              </w:rPr>
              <w:t>颜色可</w:t>
            </w:r>
            <w:r>
              <w:rPr>
                <w:rFonts w:hint="eastAsia"/>
                <w:lang w:val="en-US" w:eastAsia="zh-CN"/>
              </w:rPr>
              <w:t>选。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firstLine="0" w:firstLineChars="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移动脚轮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Chars="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静音</w:t>
            </w:r>
            <w:r>
              <w:rPr>
                <w:rFonts w:hint="default"/>
                <w:lang w:val="en-US" w:eastAsia="zh-CN"/>
              </w:rPr>
              <w:t>脚轮</w:t>
            </w:r>
            <w:r>
              <w:rPr>
                <w:rFonts w:hint="eastAsia"/>
                <w:lang w:val="en-US" w:eastAsia="zh-CN"/>
              </w:rPr>
              <w:t>，</w:t>
            </w:r>
            <w:r>
              <w:rPr>
                <w:rFonts w:hint="default"/>
                <w:lang w:val="en-US" w:eastAsia="zh-CN"/>
              </w:rPr>
              <w:t>外部使用硅胶外围制作防滑处理，万向脚轮适合各种地面使用。前轮带有刹车设计。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firstLine="0" w:firstLineChars="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锁具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Chars="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锁具为可换锁芯设计，用户可自行更换锁芯方便操作。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Chars="0"/>
              <w:textAlignment w:val="auto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left"/>
              <w:textAlignment w:val="center"/>
              <w:rPr>
                <w:rFonts w:asciiTheme="majorEastAsia" w:hAnsiTheme="majorEastAsia" w:eastAsiaTheme="majorEastAsia"/>
                <w:b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/>
                <w:szCs w:val="21"/>
                <w:lang w:eastAsia="zh-CN"/>
              </w:rPr>
              <w:t>六．</w:t>
            </w: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安装与调试</w:t>
            </w:r>
          </w:p>
        </w:tc>
        <w:tc>
          <w:tcPr>
            <w:tcW w:w="6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1.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中标厂商负责场地规划、搬运、安装、调试，包括设备到货至安装期间之搬运及保险; 保险需包括人员及设备之全额保险</w:t>
            </w:r>
          </w:p>
          <w:p>
            <w:pPr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2.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如现场条件无法安装，中标厂商负责调整设备以满足现场条件</w:t>
            </w:r>
          </w:p>
          <w:p>
            <w:pPr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3.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安装完成需提交安装报告书与质量报告书</w:t>
            </w:r>
          </w:p>
          <w:p>
            <w:pPr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4.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本规格书经厂商填报后，为合约之一部分，验收时依本规格书逐项比对</w:t>
            </w:r>
          </w:p>
          <w:p>
            <w:pPr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5.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厂商需负责清理安装所产生的废弃物</w:t>
            </w:r>
          </w:p>
          <w:p>
            <w:pPr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6.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厂商需负责安装现场整洁; 若有损坏需负责恢复原状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left"/>
              <w:textAlignment w:val="center"/>
              <w:rPr>
                <w:rFonts w:asciiTheme="majorEastAsia" w:hAnsiTheme="majorEastAsia" w:eastAsiaTheme="majorEastAsia"/>
                <w:b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/>
                <w:szCs w:val="21"/>
                <w:lang w:eastAsia="zh-CN"/>
              </w:rPr>
              <w:t>七．</w:t>
            </w:r>
            <w:r>
              <w:rPr>
                <w:rFonts w:asciiTheme="majorEastAsia" w:hAnsiTheme="majorEastAsia" w:eastAsiaTheme="majorEastAsia"/>
                <w:b/>
                <w:szCs w:val="21"/>
              </w:rPr>
              <w:t>资质</w:t>
            </w:r>
          </w:p>
        </w:tc>
        <w:tc>
          <w:tcPr>
            <w:tcW w:w="6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textAlignment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1.</w:t>
            </w:r>
            <w:r>
              <w:rPr>
                <w:rFonts w:hint="eastAsia"/>
              </w:rPr>
              <w:t>代理商需为</w:t>
            </w:r>
            <w:r>
              <w:rPr>
                <w:rFonts w:hint="eastAsia"/>
                <w:highlight w:val="yellow"/>
              </w:rPr>
              <w:t>本地二级以上代理</w:t>
            </w:r>
            <w:r>
              <w:rPr>
                <w:rFonts w:hint="eastAsia"/>
              </w:rPr>
              <w:t>，并提供设备生产厂商</w:t>
            </w:r>
            <w:r>
              <w:rPr>
                <w:rFonts w:hint="eastAsia"/>
                <w:highlight w:val="yellow"/>
              </w:rPr>
              <w:t>半年期以上授权书</w:t>
            </w:r>
            <w:r>
              <w:rPr>
                <w:rFonts w:hint="eastAsia"/>
                <w:highlight w:val="yellow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left"/>
              <w:textAlignment w:val="center"/>
              <w:rPr>
                <w:rFonts w:asciiTheme="majorEastAsia" w:hAnsiTheme="majorEastAsia" w:eastAsiaTheme="majorEastAsia"/>
                <w:b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/>
                <w:szCs w:val="21"/>
                <w:lang w:eastAsia="zh-CN"/>
              </w:rPr>
              <w:t>八．</w:t>
            </w: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保修</w:t>
            </w:r>
          </w:p>
        </w:tc>
        <w:tc>
          <w:tcPr>
            <w:tcW w:w="6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extAlignment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/>
              </w:rPr>
              <w:t>自设备验收完成之日起，贰年（24个月）全责（不区分是否人为）免费保修，所有原机装配附带的零配件均免费更换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</w:rPr>
              <w:t>保修期内并依原厂规定执行，中标厂商提供保养工具及设备。24小时不能排除故障要求提供备品服务，备品满足同样要求。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left"/>
              <w:textAlignment w:val="center"/>
              <w:rPr>
                <w:rFonts w:hint="eastAsia" w:asciiTheme="majorEastAsia" w:hAnsiTheme="majorEastAsia" w:eastAsiaTheme="majorEastAsia"/>
                <w:b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Cs w:val="21"/>
                <w:lang w:val="en-US" w:eastAsia="zh-CN"/>
              </w:rPr>
              <w:t>九.</w:t>
            </w:r>
            <w:r>
              <w:rPr>
                <w:rFonts w:hint="eastAsia" w:asciiTheme="majorEastAsia" w:hAnsiTheme="majorEastAsia" w:eastAsiaTheme="majorEastAsia"/>
                <w:b/>
                <w:szCs w:val="21"/>
                <w:lang w:eastAsia="zh-CN"/>
              </w:rPr>
              <w:t>交货期</w:t>
            </w:r>
          </w:p>
        </w:tc>
        <w:tc>
          <w:tcPr>
            <w:tcW w:w="6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extAlignment w:val="center"/>
              <w:rPr>
                <w:rFonts w:hint="eastAsia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Cs w:val="21"/>
                <w:lang w:val="en-US" w:eastAsia="zh-CN"/>
              </w:rPr>
              <w:t>签订合同后一个月内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left"/>
              <w:textAlignment w:val="center"/>
              <w:rPr>
                <w:rFonts w:hint="eastAsia" w:asciiTheme="majorEastAsia" w:hAnsiTheme="majorEastAsia" w:eastAsiaTheme="majorEastAsia"/>
                <w:b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Cs w:val="21"/>
                <w:lang w:val="en-US" w:eastAsia="zh-CN"/>
              </w:rPr>
              <w:t>十、参照照片</w:t>
            </w:r>
          </w:p>
        </w:tc>
        <w:tc>
          <w:tcPr>
            <w:tcW w:w="6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/>
                <w:lang w:val="en-US" w:eastAsia="zh-CN"/>
              </w:rPr>
              <w:drawing>
                <wp:inline distT="0" distB="0" distL="114300" distR="114300">
                  <wp:extent cx="3810000" cy="3810000"/>
                  <wp:effectExtent l="0" t="0" r="0" b="0"/>
                  <wp:docPr id="2" name="图片 2" descr="144a5eaf9dcfb692b5396b3129d81b9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144a5eaf9dcfb692b5396b3129d81b9d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0000" cy="381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pacing w:line="300" w:lineRule="auto"/>
        <w:jc w:val="center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Helvetica">
    <w:altName w:val="Arial"/>
    <w:panose1 w:val="020B0504020202030204"/>
    <w:charset w:val="00"/>
    <w:family w:val="swiss"/>
    <w:pitch w:val="default"/>
    <w:sig w:usb0="00000000" w:usb1="00000000" w:usb2="00000000" w:usb3="00000000" w:csb0="00000093" w:csb1="00000000"/>
  </w:font>
  <w:font w:name="ヒラギノ角ゴ Pro W3">
    <w:altName w:val="Yu Gothic"/>
    <w:panose1 w:val="00000000000000000000"/>
    <w:charset w:val="80"/>
    <w:family w:val="auto"/>
    <w:pitch w:val="default"/>
    <w:sig w:usb0="00000000" w:usb1="00000000" w:usb2="01000417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7564341"/>
    <w:multiLevelType w:val="singleLevel"/>
    <w:tmpl w:val="A756434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535778F6"/>
    <w:multiLevelType w:val="multilevel"/>
    <w:tmpl w:val="535778F6"/>
    <w:lvl w:ilvl="0" w:tentative="0">
      <w:start w:val="1"/>
      <w:numFmt w:val="chineseCountingThousand"/>
      <w:pStyle w:val="2"/>
      <w:suff w:val="nothing"/>
      <w:lvlText w:val="%1、"/>
      <w:lvlJc w:val="left"/>
      <w:rPr>
        <w:rFonts w:hint="eastAsia" w:cs="Times New Roman"/>
        <w:b/>
        <w:i w:val="0"/>
        <w:sz w:val="24"/>
      </w:rPr>
    </w:lvl>
    <w:lvl w:ilvl="1" w:tentative="0">
      <w:start w:val="1"/>
      <w:numFmt w:val="decimal"/>
      <w:pStyle w:val="3"/>
      <w:suff w:val="nothing"/>
      <w:lvlText w:val="%2. "/>
      <w:lvlJc w:val="left"/>
      <w:rPr>
        <w:rFonts w:hint="eastAsia" w:cs="Times New Roman"/>
        <w:b w:val="0"/>
        <w:i w:val="0"/>
        <w:sz w:val="24"/>
      </w:rPr>
    </w:lvl>
    <w:lvl w:ilvl="2" w:tentative="0">
      <w:start w:val="1"/>
      <w:numFmt w:val="none"/>
      <w:pStyle w:val="4"/>
      <w:suff w:val="nothing"/>
      <w:lvlText w:val=""/>
      <w:lvlJc w:val="left"/>
      <w:rPr>
        <w:rFonts w:hint="eastAsia" w:cs="Times New Roman"/>
      </w:rPr>
    </w:lvl>
    <w:lvl w:ilvl="3" w:tentative="0">
      <w:start w:val="1"/>
      <w:numFmt w:val="none"/>
      <w:pStyle w:val="5"/>
      <w:suff w:val="nothing"/>
      <w:lvlText w:val=""/>
      <w:lvlJc w:val="left"/>
      <w:rPr>
        <w:rFonts w:hint="eastAsia" w:cs="Times New Roman"/>
      </w:rPr>
    </w:lvl>
    <w:lvl w:ilvl="4" w:tentative="0">
      <w:start w:val="1"/>
      <w:numFmt w:val="none"/>
      <w:pStyle w:val="7"/>
      <w:suff w:val="nothing"/>
      <w:lvlText w:val=""/>
      <w:lvlJc w:val="left"/>
      <w:rPr>
        <w:rFonts w:hint="eastAsia" w:cs="Times New Roman"/>
      </w:rPr>
    </w:lvl>
    <w:lvl w:ilvl="5" w:tentative="0">
      <w:start w:val="1"/>
      <w:numFmt w:val="none"/>
      <w:pStyle w:val="8"/>
      <w:suff w:val="nothing"/>
      <w:lvlText w:val=""/>
      <w:lvlJc w:val="left"/>
      <w:rPr>
        <w:rFonts w:hint="eastAsia" w:cs="Times New Roman"/>
      </w:rPr>
    </w:lvl>
    <w:lvl w:ilvl="6" w:tentative="0">
      <w:start w:val="1"/>
      <w:numFmt w:val="none"/>
      <w:pStyle w:val="9"/>
      <w:suff w:val="nothing"/>
      <w:lvlText w:val=""/>
      <w:lvlJc w:val="left"/>
      <w:rPr>
        <w:rFonts w:hint="eastAsia" w:cs="Times New Roman"/>
      </w:rPr>
    </w:lvl>
    <w:lvl w:ilvl="7" w:tentative="0">
      <w:start w:val="1"/>
      <w:numFmt w:val="none"/>
      <w:pStyle w:val="10"/>
      <w:suff w:val="nothing"/>
      <w:lvlText w:val=""/>
      <w:lvlJc w:val="left"/>
      <w:rPr>
        <w:rFonts w:hint="eastAsia" w:cs="Times New Roman"/>
      </w:rPr>
    </w:lvl>
    <w:lvl w:ilvl="8" w:tentative="0">
      <w:start w:val="1"/>
      <w:numFmt w:val="none"/>
      <w:pStyle w:val="11"/>
      <w:suff w:val="nothing"/>
      <w:lvlText w:val=""/>
      <w:lvlJc w:val="left"/>
      <w:rPr>
        <w:rFonts w:hint="eastAsia"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8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5AA2"/>
    <w:rsid w:val="0000238B"/>
    <w:rsid w:val="000824C6"/>
    <w:rsid w:val="000B0769"/>
    <w:rsid w:val="000B7C66"/>
    <w:rsid w:val="000C127A"/>
    <w:rsid w:val="000C1E61"/>
    <w:rsid w:val="00142B7C"/>
    <w:rsid w:val="001E0822"/>
    <w:rsid w:val="00210F2C"/>
    <w:rsid w:val="00251A94"/>
    <w:rsid w:val="00256F03"/>
    <w:rsid w:val="00270625"/>
    <w:rsid w:val="00282CB3"/>
    <w:rsid w:val="0028499D"/>
    <w:rsid w:val="002A1879"/>
    <w:rsid w:val="002A6E83"/>
    <w:rsid w:val="00331329"/>
    <w:rsid w:val="00371B50"/>
    <w:rsid w:val="00374259"/>
    <w:rsid w:val="003852C5"/>
    <w:rsid w:val="003A0E18"/>
    <w:rsid w:val="003E62EF"/>
    <w:rsid w:val="0041287A"/>
    <w:rsid w:val="004517D5"/>
    <w:rsid w:val="00457C49"/>
    <w:rsid w:val="00467B7C"/>
    <w:rsid w:val="00473067"/>
    <w:rsid w:val="0047638A"/>
    <w:rsid w:val="004926F1"/>
    <w:rsid w:val="004A0592"/>
    <w:rsid w:val="004B28E7"/>
    <w:rsid w:val="004B7AF6"/>
    <w:rsid w:val="004E57E4"/>
    <w:rsid w:val="005219BC"/>
    <w:rsid w:val="00581911"/>
    <w:rsid w:val="005B5FBA"/>
    <w:rsid w:val="005B74A0"/>
    <w:rsid w:val="005C0F0F"/>
    <w:rsid w:val="006029AC"/>
    <w:rsid w:val="0060323B"/>
    <w:rsid w:val="006428C1"/>
    <w:rsid w:val="00672563"/>
    <w:rsid w:val="00682EA8"/>
    <w:rsid w:val="0068437C"/>
    <w:rsid w:val="006979A2"/>
    <w:rsid w:val="006D26C2"/>
    <w:rsid w:val="006D507D"/>
    <w:rsid w:val="006E2A3D"/>
    <w:rsid w:val="006E70E0"/>
    <w:rsid w:val="006F3ABD"/>
    <w:rsid w:val="00705DCD"/>
    <w:rsid w:val="007319C7"/>
    <w:rsid w:val="0076528B"/>
    <w:rsid w:val="007A5F17"/>
    <w:rsid w:val="007B4FA0"/>
    <w:rsid w:val="007E3306"/>
    <w:rsid w:val="008356B1"/>
    <w:rsid w:val="00851DB5"/>
    <w:rsid w:val="008533BE"/>
    <w:rsid w:val="00854822"/>
    <w:rsid w:val="008972C3"/>
    <w:rsid w:val="00902701"/>
    <w:rsid w:val="009461BB"/>
    <w:rsid w:val="009A0ED6"/>
    <w:rsid w:val="00A26AF4"/>
    <w:rsid w:val="00A65AA2"/>
    <w:rsid w:val="00AF7C4B"/>
    <w:rsid w:val="00B74A39"/>
    <w:rsid w:val="00B7571A"/>
    <w:rsid w:val="00B80FF0"/>
    <w:rsid w:val="00BE5777"/>
    <w:rsid w:val="00C42206"/>
    <w:rsid w:val="00C91D39"/>
    <w:rsid w:val="00CC1748"/>
    <w:rsid w:val="00CD3AF4"/>
    <w:rsid w:val="00D206FF"/>
    <w:rsid w:val="00D237A3"/>
    <w:rsid w:val="00D4659E"/>
    <w:rsid w:val="00D60D99"/>
    <w:rsid w:val="00D8792B"/>
    <w:rsid w:val="00D97CDB"/>
    <w:rsid w:val="00DA36E2"/>
    <w:rsid w:val="00DC220B"/>
    <w:rsid w:val="00E32760"/>
    <w:rsid w:val="00E54CFD"/>
    <w:rsid w:val="00E657CD"/>
    <w:rsid w:val="00E67BF8"/>
    <w:rsid w:val="00E82EA3"/>
    <w:rsid w:val="00E96B31"/>
    <w:rsid w:val="00EF582D"/>
    <w:rsid w:val="00F1631B"/>
    <w:rsid w:val="00F22C3F"/>
    <w:rsid w:val="00F55DAC"/>
    <w:rsid w:val="00FC7B0D"/>
    <w:rsid w:val="011D7A19"/>
    <w:rsid w:val="034F581F"/>
    <w:rsid w:val="047569C1"/>
    <w:rsid w:val="059A4EDC"/>
    <w:rsid w:val="060F0D08"/>
    <w:rsid w:val="089F67CE"/>
    <w:rsid w:val="0E951C67"/>
    <w:rsid w:val="112E059C"/>
    <w:rsid w:val="11826AFE"/>
    <w:rsid w:val="118C1E5E"/>
    <w:rsid w:val="119E3E06"/>
    <w:rsid w:val="14CD14A4"/>
    <w:rsid w:val="15314A0A"/>
    <w:rsid w:val="156A615C"/>
    <w:rsid w:val="1AF336D4"/>
    <w:rsid w:val="1FE91D68"/>
    <w:rsid w:val="251A7656"/>
    <w:rsid w:val="258C3993"/>
    <w:rsid w:val="26BE50E6"/>
    <w:rsid w:val="272D45D3"/>
    <w:rsid w:val="27BD15C7"/>
    <w:rsid w:val="27D01E16"/>
    <w:rsid w:val="2C1B702E"/>
    <w:rsid w:val="2EC67693"/>
    <w:rsid w:val="2F6C58BC"/>
    <w:rsid w:val="30C035EF"/>
    <w:rsid w:val="33613DFD"/>
    <w:rsid w:val="34EE6976"/>
    <w:rsid w:val="353115DE"/>
    <w:rsid w:val="370D7FB7"/>
    <w:rsid w:val="37875A5C"/>
    <w:rsid w:val="37964F3A"/>
    <w:rsid w:val="3BD63A96"/>
    <w:rsid w:val="3C701E2A"/>
    <w:rsid w:val="3F707BDF"/>
    <w:rsid w:val="40845091"/>
    <w:rsid w:val="40FD76E4"/>
    <w:rsid w:val="4234449F"/>
    <w:rsid w:val="43E4099D"/>
    <w:rsid w:val="43F120F4"/>
    <w:rsid w:val="45025A72"/>
    <w:rsid w:val="45DE3CAE"/>
    <w:rsid w:val="48D55826"/>
    <w:rsid w:val="4B6A69C7"/>
    <w:rsid w:val="4CE238BB"/>
    <w:rsid w:val="4E120496"/>
    <w:rsid w:val="52DB0DB3"/>
    <w:rsid w:val="53770DE8"/>
    <w:rsid w:val="53EA3DF6"/>
    <w:rsid w:val="54F439C0"/>
    <w:rsid w:val="58FD49FD"/>
    <w:rsid w:val="5D5F7093"/>
    <w:rsid w:val="5DC41F97"/>
    <w:rsid w:val="5E5B2E8B"/>
    <w:rsid w:val="60702506"/>
    <w:rsid w:val="6A3A2025"/>
    <w:rsid w:val="6B903568"/>
    <w:rsid w:val="6EFF1582"/>
    <w:rsid w:val="70F76FBC"/>
    <w:rsid w:val="79773309"/>
    <w:rsid w:val="7ABB49EF"/>
    <w:rsid w:val="7B2C6CEF"/>
    <w:rsid w:val="7D0E359B"/>
    <w:rsid w:val="7E035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99" w:semiHidden="0" w:name="Normal Indent"/>
    <w:lsdException w:uiPriority="99" w:name="footnote text"/>
    <w:lsdException w:qFormat="1" w:uiPriority="0" w:semiHidden="0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31"/>
    <w:qFormat/>
    <w:uiPriority w:val="99"/>
    <w:pPr>
      <w:keepNext/>
      <w:keepLines/>
      <w:numPr>
        <w:ilvl w:val="0"/>
        <w:numId w:val="1"/>
      </w:numPr>
      <w:spacing w:before="340" w:after="330" w:line="578" w:lineRule="auto"/>
      <w:outlineLvl w:val="0"/>
    </w:pPr>
    <w:rPr>
      <w:b/>
      <w:kern w:val="44"/>
      <w:sz w:val="44"/>
      <w:szCs w:val="20"/>
    </w:rPr>
  </w:style>
  <w:style w:type="paragraph" w:styleId="3">
    <w:name w:val="heading 2"/>
    <w:basedOn w:val="1"/>
    <w:next w:val="1"/>
    <w:link w:val="32"/>
    <w:qFormat/>
    <w:uiPriority w:val="9"/>
    <w:pPr>
      <w:keepNext/>
      <w:keepLines/>
      <w:numPr>
        <w:ilvl w:val="1"/>
        <w:numId w:val="1"/>
      </w:numPr>
      <w:adjustRightInd w:val="0"/>
      <w:spacing w:before="260" w:after="260" w:line="416" w:lineRule="atLeast"/>
      <w:textAlignment w:val="baseline"/>
      <w:outlineLvl w:val="1"/>
    </w:pPr>
    <w:rPr>
      <w:rFonts w:ascii="Arial" w:hAnsi="Arial" w:eastAsia="黑体"/>
      <w:b/>
      <w:kern w:val="0"/>
      <w:sz w:val="32"/>
      <w:szCs w:val="20"/>
    </w:rPr>
  </w:style>
  <w:style w:type="paragraph" w:styleId="4">
    <w:name w:val="heading 3"/>
    <w:basedOn w:val="1"/>
    <w:next w:val="1"/>
    <w:link w:val="33"/>
    <w:qFormat/>
    <w:uiPriority w:val="9"/>
    <w:pPr>
      <w:keepNext/>
      <w:keepLines/>
      <w:numPr>
        <w:ilvl w:val="2"/>
        <w:numId w:val="1"/>
      </w:numPr>
      <w:adjustRightInd w:val="0"/>
      <w:spacing w:before="260" w:after="260" w:line="416" w:lineRule="atLeast"/>
      <w:textAlignment w:val="baseline"/>
      <w:outlineLvl w:val="2"/>
    </w:pPr>
    <w:rPr>
      <w:b/>
      <w:kern w:val="0"/>
      <w:sz w:val="32"/>
      <w:szCs w:val="20"/>
    </w:rPr>
  </w:style>
  <w:style w:type="paragraph" w:styleId="5">
    <w:name w:val="heading 4"/>
    <w:basedOn w:val="1"/>
    <w:next w:val="6"/>
    <w:link w:val="34"/>
    <w:qFormat/>
    <w:uiPriority w:val="9"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rFonts w:ascii="Arial" w:hAnsi="Arial" w:eastAsia="黑体"/>
      <w:b/>
      <w:sz w:val="28"/>
      <w:szCs w:val="20"/>
    </w:rPr>
  </w:style>
  <w:style w:type="paragraph" w:styleId="7">
    <w:name w:val="heading 5"/>
    <w:basedOn w:val="1"/>
    <w:next w:val="6"/>
    <w:link w:val="35"/>
    <w:qFormat/>
    <w:uiPriority w:val="9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sz w:val="28"/>
      <w:szCs w:val="20"/>
    </w:rPr>
  </w:style>
  <w:style w:type="paragraph" w:styleId="8">
    <w:name w:val="heading 6"/>
    <w:basedOn w:val="1"/>
    <w:next w:val="6"/>
    <w:link w:val="36"/>
    <w:qFormat/>
    <w:uiPriority w:val="9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hAnsi="Arial" w:eastAsia="黑体"/>
      <w:b/>
      <w:sz w:val="24"/>
      <w:szCs w:val="20"/>
    </w:rPr>
  </w:style>
  <w:style w:type="paragraph" w:styleId="9">
    <w:name w:val="heading 7"/>
    <w:basedOn w:val="1"/>
    <w:next w:val="6"/>
    <w:link w:val="37"/>
    <w:qFormat/>
    <w:uiPriority w:val="9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sz w:val="24"/>
      <w:szCs w:val="20"/>
    </w:rPr>
  </w:style>
  <w:style w:type="paragraph" w:styleId="10">
    <w:name w:val="heading 8"/>
    <w:basedOn w:val="1"/>
    <w:next w:val="6"/>
    <w:link w:val="38"/>
    <w:qFormat/>
    <w:uiPriority w:val="9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hAnsi="Arial" w:eastAsia="黑体"/>
      <w:sz w:val="24"/>
      <w:szCs w:val="20"/>
    </w:rPr>
  </w:style>
  <w:style w:type="paragraph" w:styleId="11">
    <w:name w:val="heading 9"/>
    <w:basedOn w:val="1"/>
    <w:next w:val="6"/>
    <w:link w:val="39"/>
    <w:qFormat/>
    <w:uiPriority w:val="9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hAnsi="Arial" w:eastAsia="黑体"/>
      <w:szCs w:val="20"/>
    </w:rPr>
  </w:style>
  <w:style w:type="character" w:default="1" w:styleId="25">
    <w:name w:val="Default Paragraph Font"/>
    <w:unhideWhenUsed/>
    <w:qFormat/>
    <w:uiPriority w:val="1"/>
  </w:style>
  <w:style w:type="table" w:default="1" w:styleId="2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qFormat/>
    <w:uiPriority w:val="99"/>
    <w:pPr>
      <w:ind w:firstLine="420"/>
    </w:pPr>
    <w:rPr>
      <w:szCs w:val="20"/>
    </w:rPr>
  </w:style>
  <w:style w:type="paragraph" w:styleId="12">
    <w:name w:val="annotation text"/>
    <w:basedOn w:val="1"/>
    <w:link w:val="52"/>
    <w:unhideWhenUsed/>
    <w:qFormat/>
    <w:uiPriority w:val="0"/>
    <w:pPr>
      <w:jc w:val="left"/>
    </w:pPr>
  </w:style>
  <w:style w:type="paragraph" w:styleId="13">
    <w:name w:val="Body Text"/>
    <w:basedOn w:val="1"/>
    <w:link w:val="44"/>
    <w:qFormat/>
    <w:uiPriority w:val="0"/>
    <w:pPr>
      <w:adjustRightInd w:val="0"/>
      <w:spacing w:line="360" w:lineRule="atLeast"/>
      <w:jc w:val="center"/>
      <w:textAlignment w:val="baseline"/>
    </w:pPr>
    <w:rPr>
      <w:rFonts w:asciiTheme="minorHAnsi" w:hAnsiTheme="minorHAnsi" w:eastAsiaTheme="minorEastAsia" w:cstheme="minorBidi"/>
      <w:sz w:val="24"/>
      <w:szCs w:val="22"/>
    </w:rPr>
  </w:style>
  <w:style w:type="paragraph" w:styleId="14">
    <w:name w:val="Body Text Indent"/>
    <w:basedOn w:val="1"/>
    <w:link w:val="43"/>
    <w:qFormat/>
    <w:uiPriority w:val="99"/>
    <w:pPr>
      <w:adjustRightInd w:val="0"/>
      <w:spacing w:line="360" w:lineRule="auto"/>
      <w:ind w:firstLine="480"/>
    </w:pPr>
    <w:rPr>
      <w:rFonts w:asciiTheme="minorHAnsi" w:hAnsiTheme="minorHAnsi" w:cstheme="minorBidi"/>
      <w:sz w:val="24"/>
      <w:szCs w:val="22"/>
    </w:rPr>
  </w:style>
  <w:style w:type="paragraph" w:styleId="15">
    <w:name w:val="Plain Text"/>
    <w:basedOn w:val="1"/>
    <w:link w:val="45"/>
    <w:qFormat/>
    <w:uiPriority w:val="99"/>
    <w:pPr>
      <w:adjustRightInd w:val="0"/>
      <w:textAlignment w:val="baseline"/>
    </w:pPr>
    <w:rPr>
      <w:rFonts w:ascii="宋体" w:hAnsi="Courier New" w:eastAsiaTheme="minorEastAsia" w:cstheme="minorBidi"/>
      <w:szCs w:val="22"/>
    </w:rPr>
  </w:style>
  <w:style w:type="paragraph" w:styleId="16">
    <w:name w:val="Date"/>
    <w:basedOn w:val="1"/>
    <w:next w:val="1"/>
    <w:link w:val="40"/>
    <w:qFormat/>
    <w:uiPriority w:val="0"/>
    <w:pPr>
      <w:ind w:left="100" w:leftChars="2500"/>
    </w:pPr>
    <w:rPr>
      <w:rFonts w:asciiTheme="minorHAnsi" w:hAnsiTheme="minorHAnsi" w:cstheme="minorBidi"/>
      <w:b/>
      <w:sz w:val="44"/>
    </w:rPr>
  </w:style>
  <w:style w:type="paragraph" w:styleId="17">
    <w:name w:val="Body Text Indent 2"/>
    <w:basedOn w:val="1"/>
    <w:link w:val="41"/>
    <w:qFormat/>
    <w:uiPriority w:val="0"/>
    <w:pPr>
      <w:ind w:left="600"/>
    </w:pPr>
    <w:rPr>
      <w:rFonts w:eastAsia="楷体_GB2312" w:asciiTheme="minorHAnsi" w:hAnsiTheme="minorHAnsi" w:cstheme="minorBidi"/>
      <w:sz w:val="30"/>
    </w:rPr>
  </w:style>
  <w:style w:type="paragraph" w:styleId="18">
    <w:name w:val="Balloon Text"/>
    <w:basedOn w:val="1"/>
    <w:link w:val="46"/>
    <w:qFormat/>
    <w:uiPriority w:val="0"/>
    <w:rPr>
      <w:rFonts w:ascii="Tahoma" w:hAnsi="Tahoma" w:cs="Tahoma" w:eastAsiaTheme="minorEastAsia"/>
      <w:sz w:val="16"/>
      <w:szCs w:val="16"/>
    </w:rPr>
  </w:style>
  <w:style w:type="paragraph" w:styleId="19">
    <w:name w:val="footer"/>
    <w:basedOn w:val="1"/>
    <w:link w:val="30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0">
    <w:name w:val="header"/>
    <w:basedOn w:val="1"/>
    <w:link w:val="29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1">
    <w:name w:val="toc 1"/>
    <w:basedOn w:val="1"/>
    <w:next w:val="1"/>
    <w:semiHidden/>
    <w:qFormat/>
    <w:uiPriority w:val="0"/>
    <w:pPr>
      <w:adjustRightInd w:val="0"/>
      <w:spacing w:line="312" w:lineRule="atLeast"/>
      <w:textAlignment w:val="baseline"/>
    </w:pPr>
    <w:rPr>
      <w:kern w:val="0"/>
      <w:szCs w:val="20"/>
    </w:rPr>
  </w:style>
  <w:style w:type="paragraph" w:styleId="2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23">
    <w:name w:val="annotation subject"/>
    <w:basedOn w:val="12"/>
    <w:next w:val="12"/>
    <w:link w:val="42"/>
    <w:qFormat/>
    <w:uiPriority w:val="0"/>
    <w:rPr>
      <w:rFonts w:asciiTheme="minorHAnsi" w:hAnsiTheme="minorHAnsi" w:eastAsiaTheme="minorEastAsia" w:cstheme="minorBidi"/>
      <w:b/>
      <w:bCs/>
    </w:rPr>
  </w:style>
  <w:style w:type="character" w:styleId="26">
    <w:name w:val="page number"/>
    <w:basedOn w:val="25"/>
    <w:qFormat/>
    <w:uiPriority w:val="0"/>
  </w:style>
  <w:style w:type="character" w:styleId="27">
    <w:name w:val="Hyperlink"/>
    <w:qFormat/>
    <w:uiPriority w:val="99"/>
    <w:rPr>
      <w:rFonts w:cs="Times New Roman"/>
      <w:color w:val="0000FF"/>
      <w:u w:val="single"/>
    </w:rPr>
  </w:style>
  <w:style w:type="character" w:styleId="28">
    <w:name w:val="annotation reference"/>
    <w:qFormat/>
    <w:uiPriority w:val="0"/>
    <w:rPr>
      <w:sz w:val="21"/>
      <w:szCs w:val="21"/>
    </w:rPr>
  </w:style>
  <w:style w:type="character" w:customStyle="1" w:styleId="29">
    <w:name w:val="页眉 Char"/>
    <w:basedOn w:val="25"/>
    <w:link w:val="20"/>
    <w:qFormat/>
    <w:uiPriority w:val="0"/>
    <w:rPr>
      <w:sz w:val="18"/>
      <w:szCs w:val="18"/>
    </w:rPr>
  </w:style>
  <w:style w:type="character" w:customStyle="1" w:styleId="30">
    <w:name w:val="页脚 Char"/>
    <w:basedOn w:val="25"/>
    <w:link w:val="19"/>
    <w:qFormat/>
    <w:uiPriority w:val="0"/>
    <w:rPr>
      <w:sz w:val="18"/>
      <w:szCs w:val="18"/>
    </w:rPr>
  </w:style>
  <w:style w:type="character" w:customStyle="1" w:styleId="31">
    <w:name w:val="标题 1 Char"/>
    <w:basedOn w:val="25"/>
    <w:link w:val="2"/>
    <w:qFormat/>
    <w:uiPriority w:val="99"/>
    <w:rPr>
      <w:rFonts w:ascii="Times New Roman" w:hAnsi="Times New Roman" w:eastAsia="宋体" w:cs="Times New Roman"/>
      <w:b/>
      <w:kern w:val="44"/>
      <w:sz w:val="44"/>
      <w:szCs w:val="20"/>
    </w:rPr>
  </w:style>
  <w:style w:type="character" w:customStyle="1" w:styleId="32">
    <w:name w:val="标题 2 Char"/>
    <w:basedOn w:val="25"/>
    <w:link w:val="3"/>
    <w:qFormat/>
    <w:uiPriority w:val="9"/>
    <w:rPr>
      <w:rFonts w:ascii="Arial" w:hAnsi="Arial" w:eastAsia="黑体" w:cs="Times New Roman"/>
      <w:b/>
      <w:kern w:val="0"/>
      <w:sz w:val="32"/>
      <w:szCs w:val="20"/>
    </w:rPr>
  </w:style>
  <w:style w:type="character" w:customStyle="1" w:styleId="33">
    <w:name w:val="标题 3 Char"/>
    <w:basedOn w:val="25"/>
    <w:link w:val="4"/>
    <w:qFormat/>
    <w:uiPriority w:val="9"/>
    <w:rPr>
      <w:rFonts w:ascii="Times New Roman" w:hAnsi="Times New Roman" w:eastAsia="宋体" w:cs="Times New Roman"/>
      <w:b/>
      <w:kern w:val="0"/>
      <w:sz w:val="32"/>
      <w:szCs w:val="20"/>
    </w:rPr>
  </w:style>
  <w:style w:type="character" w:customStyle="1" w:styleId="34">
    <w:name w:val="标题 4 Char"/>
    <w:basedOn w:val="25"/>
    <w:link w:val="5"/>
    <w:qFormat/>
    <w:uiPriority w:val="9"/>
    <w:rPr>
      <w:rFonts w:ascii="Arial" w:hAnsi="Arial" w:eastAsia="黑体" w:cs="Times New Roman"/>
      <w:b/>
      <w:sz w:val="28"/>
      <w:szCs w:val="20"/>
    </w:rPr>
  </w:style>
  <w:style w:type="character" w:customStyle="1" w:styleId="35">
    <w:name w:val="标题 5 Char"/>
    <w:basedOn w:val="25"/>
    <w:link w:val="7"/>
    <w:qFormat/>
    <w:uiPriority w:val="9"/>
    <w:rPr>
      <w:rFonts w:ascii="Times New Roman" w:hAnsi="Times New Roman" w:eastAsia="宋体" w:cs="Times New Roman"/>
      <w:b/>
      <w:sz w:val="28"/>
      <w:szCs w:val="20"/>
    </w:rPr>
  </w:style>
  <w:style w:type="character" w:customStyle="1" w:styleId="36">
    <w:name w:val="标题 6 Char"/>
    <w:basedOn w:val="25"/>
    <w:link w:val="8"/>
    <w:qFormat/>
    <w:uiPriority w:val="9"/>
    <w:rPr>
      <w:rFonts w:ascii="Arial" w:hAnsi="Arial" w:eastAsia="黑体" w:cs="Times New Roman"/>
      <w:b/>
      <w:sz w:val="24"/>
      <w:szCs w:val="20"/>
    </w:rPr>
  </w:style>
  <w:style w:type="character" w:customStyle="1" w:styleId="37">
    <w:name w:val="标题 7 Char"/>
    <w:basedOn w:val="25"/>
    <w:link w:val="9"/>
    <w:qFormat/>
    <w:uiPriority w:val="9"/>
    <w:rPr>
      <w:rFonts w:ascii="Times New Roman" w:hAnsi="Times New Roman" w:eastAsia="宋体" w:cs="Times New Roman"/>
      <w:b/>
      <w:sz w:val="24"/>
      <w:szCs w:val="20"/>
    </w:rPr>
  </w:style>
  <w:style w:type="character" w:customStyle="1" w:styleId="38">
    <w:name w:val="标题 8 Char"/>
    <w:basedOn w:val="25"/>
    <w:link w:val="10"/>
    <w:qFormat/>
    <w:uiPriority w:val="9"/>
    <w:rPr>
      <w:rFonts w:ascii="Arial" w:hAnsi="Arial" w:eastAsia="黑体" w:cs="Times New Roman"/>
      <w:sz w:val="24"/>
      <w:szCs w:val="20"/>
    </w:rPr>
  </w:style>
  <w:style w:type="character" w:customStyle="1" w:styleId="39">
    <w:name w:val="标题 9 Char"/>
    <w:basedOn w:val="25"/>
    <w:link w:val="11"/>
    <w:qFormat/>
    <w:uiPriority w:val="9"/>
    <w:rPr>
      <w:rFonts w:ascii="Arial" w:hAnsi="Arial" w:eastAsia="黑体" w:cs="Times New Roman"/>
      <w:szCs w:val="20"/>
    </w:rPr>
  </w:style>
  <w:style w:type="character" w:customStyle="1" w:styleId="40">
    <w:name w:val="日期 Char"/>
    <w:link w:val="16"/>
    <w:qFormat/>
    <w:uiPriority w:val="0"/>
    <w:rPr>
      <w:rFonts w:eastAsia="宋体"/>
      <w:b/>
      <w:sz w:val="44"/>
      <w:szCs w:val="24"/>
    </w:rPr>
  </w:style>
  <w:style w:type="character" w:customStyle="1" w:styleId="41">
    <w:name w:val="正文文本缩进 2 Char"/>
    <w:link w:val="17"/>
    <w:qFormat/>
    <w:uiPriority w:val="0"/>
    <w:rPr>
      <w:rFonts w:eastAsia="楷体_GB2312"/>
      <w:sz w:val="30"/>
      <w:szCs w:val="24"/>
    </w:rPr>
  </w:style>
  <w:style w:type="character" w:customStyle="1" w:styleId="42">
    <w:name w:val="批注主题 Char"/>
    <w:link w:val="23"/>
    <w:qFormat/>
    <w:uiPriority w:val="0"/>
    <w:rPr>
      <w:b/>
      <w:bCs/>
      <w:szCs w:val="24"/>
    </w:rPr>
  </w:style>
  <w:style w:type="character" w:customStyle="1" w:styleId="43">
    <w:name w:val="正文文本缩进 Char"/>
    <w:link w:val="14"/>
    <w:qFormat/>
    <w:uiPriority w:val="99"/>
    <w:rPr>
      <w:rFonts w:eastAsia="宋体"/>
      <w:sz w:val="24"/>
    </w:rPr>
  </w:style>
  <w:style w:type="character" w:customStyle="1" w:styleId="44">
    <w:name w:val="正文文本 Char"/>
    <w:link w:val="13"/>
    <w:qFormat/>
    <w:uiPriority w:val="0"/>
    <w:rPr>
      <w:sz w:val="24"/>
    </w:rPr>
  </w:style>
  <w:style w:type="character" w:customStyle="1" w:styleId="45">
    <w:name w:val="纯文本 Char"/>
    <w:link w:val="15"/>
    <w:qFormat/>
    <w:uiPriority w:val="99"/>
    <w:rPr>
      <w:rFonts w:ascii="宋体" w:hAnsi="Courier New"/>
    </w:rPr>
  </w:style>
  <w:style w:type="character" w:customStyle="1" w:styleId="46">
    <w:name w:val="批注框文本 Char"/>
    <w:link w:val="18"/>
    <w:qFormat/>
    <w:uiPriority w:val="0"/>
    <w:rPr>
      <w:rFonts w:ascii="Tahoma" w:hAnsi="Tahoma" w:cs="Tahoma"/>
      <w:sz w:val="16"/>
      <w:szCs w:val="16"/>
    </w:rPr>
  </w:style>
  <w:style w:type="character" w:customStyle="1" w:styleId="47">
    <w:name w:val="批注文字 Char"/>
    <w:qFormat/>
    <w:uiPriority w:val="0"/>
    <w:rPr>
      <w:kern w:val="2"/>
      <w:sz w:val="21"/>
      <w:szCs w:val="24"/>
    </w:rPr>
  </w:style>
  <w:style w:type="character" w:customStyle="1" w:styleId="48">
    <w:name w:val="Anrede1IhrZeichen"/>
    <w:qFormat/>
    <w:uiPriority w:val="0"/>
    <w:rPr>
      <w:rFonts w:ascii="Arial" w:hAnsi="Arial" w:cs="Times New Roman"/>
      <w:sz w:val="20"/>
    </w:rPr>
  </w:style>
  <w:style w:type="character" w:customStyle="1" w:styleId="49">
    <w:name w:val="日期 Char1"/>
    <w:basedOn w:val="25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50">
    <w:name w:val="正文文本缩进 Char1"/>
    <w:basedOn w:val="25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51">
    <w:name w:val="正文文本 Char1"/>
    <w:basedOn w:val="25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52">
    <w:name w:val="批注文字 Char1"/>
    <w:basedOn w:val="25"/>
    <w:link w:val="12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53">
    <w:name w:val="批注主题 Char1"/>
    <w:basedOn w:val="52"/>
    <w:semiHidden/>
    <w:qFormat/>
    <w:uiPriority w:val="99"/>
    <w:rPr>
      <w:rFonts w:ascii="Times New Roman" w:hAnsi="Times New Roman" w:eastAsia="宋体" w:cs="Times New Roman"/>
      <w:b/>
      <w:bCs/>
      <w:szCs w:val="24"/>
    </w:rPr>
  </w:style>
  <w:style w:type="character" w:customStyle="1" w:styleId="54">
    <w:name w:val="纯文本 Char1"/>
    <w:basedOn w:val="25"/>
    <w:semiHidden/>
    <w:qFormat/>
    <w:uiPriority w:val="99"/>
    <w:rPr>
      <w:rFonts w:ascii="宋体" w:hAnsi="Courier New" w:eastAsia="宋体" w:cs="Courier New"/>
      <w:szCs w:val="21"/>
    </w:rPr>
  </w:style>
  <w:style w:type="character" w:customStyle="1" w:styleId="55">
    <w:name w:val="正文文本缩进 2 Char1"/>
    <w:basedOn w:val="25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56">
    <w:name w:val="批注框文本 Char1"/>
    <w:basedOn w:val="25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57">
    <w:name w:val="Body"/>
    <w:qFormat/>
    <w:uiPriority w:val="0"/>
    <w:rPr>
      <w:rFonts w:ascii="Helvetica" w:hAnsi="Helvetica" w:eastAsia="ヒラギノ角ゴ Pro W3" w:cs="Times New Roman"/>
      <w:color w:val="000000"/>
      <w:sz w:val="24"/>
      <w:lang w:val="en-US" w:eastAsia="en-US" w:bidi="ar-SA"/>
    </w:rPr>
  </w:style>
  <w:style w:type="paragraph" w:customStyle="1" w:styleId="58">
    <w:name w:val="Char"/>
    <w:basedOn w:val="1"/>
    <w:qFormat/>
    <w:uiPriority w:val="0"/>
    <w:rPr>
      <w:rFonts w:ascii="Tahoma" w:hAnsi="Tahoma"/>
      <w:sz w:val="24"/>
      <w:szCs w:val="20"/>
    </w:rPr>
  </w:style>
  <w:style w:type="paragraph" w:customStyle="1" w:styleId="59">
    <w:name w:val="列出段落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60">
    <w:name w:val="列出段落2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61">
    <w:name w:val="Table Text"/>
    <w:basedOn w:val="1"/>
    <w:semiHidden/>
    <w:qFormat/>
    <w:uiPriority w:val="0"/>
    <w:rPr>
      <w:rFonts w:ascii="宋体" w:hAnsi="宋体" w:eastAsia="宋体" w:cs="宋体"/>
      <w:sz w:val="22"/>
      <w:szCs w:val="22"/>
      <w:lang w:val="en-US" w:eastAsia="en-US" w:bidi="ar-SA"/>
    </w:rPr>
  </w:style>
  <w:style w:type="table" w:customStyle="1" w:styleId="62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63">
    <w:name w:val="font11"/>
    <w:basedOn w:val="25"/>
    <w:qFormat/>
    <w:uiPriority w:val="0"/>
    <w:rPr>
      <w:rFonts w:hint="eastAsia" w:ascii="幼圆" w:hAnsi="幼圆" w:eastAsia="幼圆" w:cs="幼圆"/>
      <w:color w:val="000000"/>
      <w:sz w:val="22"/>
      <w:szCs w:val="22"/>
      <w:u w:val="none"/>
    </w:rPr>
  </w:style>
  <w:style w:type="character" w:customStyle="1" w:styleId="64">
    <w:name w:val="font21"/>
    <w:basedOn w:val="25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TX</Company>
  <Pages>2</Pages>
  <Words>811</Words>
  <Characters>834</Characters>
  <Lines>10</Lines>
  <Paragraphs>3</Paragraphs>
  <TotalTime>0</TotalTime>
  <ScaleCrop>false</ScaleCrop>
  <LinksUpToDate>false</LinksUpToDate>
  <CharactersWithSpaces>836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2018-01-16T06:33:00Z</dcterms:created>
  <dc:creator>HL</dc:creator>
  <cp:lastModifiedBy>user</cp:lastModifiedBy>
  <cp:lastPrinted>2016-08-01T01:43:00Z</cp:lastPrinted>
  <dcterms:modified xsi:type="dcterms:W3CDTF">2026-06-12T01:44:53Z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673EEA98F6124A0B8A5286EDB379CD1D_13</vt:lpwstr>
  </property>
  <property fmtid="{D5CDD505-2E9C-101B-9397-08002B2CF9AE}" pid="4" name="KSOTemplateDocerSaveRecord">
    <vt:lpwstr>eyJoZGlkIjoiZmM4OTg4OTY2NWQyOWMzOWMxNDU2NWM0ODRiZDRmMGEiLCJ1c2VySWQiOiIyOTA2NTg0MTcifQ==</vt:lpwstr>
  </property>
</Properties>
</file>