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w:t>
      </w:r>
      <w:r>
        <w:rPr>
          <w:rFonts w:hint="eastAsia" w:ascii="幼圆" w:hAnsi="幼圆" w:eastAsia="幼圆" w:cs="幼圆"/>
          <w:b/>
          <w:bCs/>
          <w:sz w:val="36"/>
          <w:szCs w:val="36"/>
          <w:lang w:val="en-US" w:eastAsia="zh-CN"/>
        </w:rPr>
        <w:t>评审办法</w:t>
      </w:r>
      <w:r>
        <w:rPr>
          <w:rFonts w:hint="eastAsia" w:ascii="幼圆" w:hAnsi="幼圆" w:eastAsia="幼圆" w:cs="幼圆"/>
          <w:b/>
          <w:bCs/>
          <w:sz w:val="36"/>
          <w:szCs w:val="36"/>
        </w:rPr>
        <w:t>】</w:t>
      </w:r>
    </w:p>
    <w:p>
      <w:pPr>
        <w:spacing w:before="320" w:after="120" w:line="288" w:lineRule="auto"/>
        <w:ind w:left="0"/>
        <w:jc w:val="left"/>
        <w:outlineLvl w:val="1"/>
        <w:rPr>
          <w:rFonts w:hint="eastAsia" w:ascii="幼圆" w:hAnsi="幼圆" w:eastAsia="幼圆" w:cs="幼圆"/>
        </w:rPr>
      </w:pPr>
      <w:bookmarkStart w:id="0" w:name="heading_0"/>
      <w:r>
        <w:rPr>
          <w:rFonts w:hint="eastAsia" w:ascii="幼圆" w:hAnsi="幼圆" w:eastAsia="幼圆" w:cs="幼圆"/>
          <w:b/>
          <w:sz w:val="32"/>
          <w:lang w:val="en-US" w:eastAsia="zh-CN"/>
        </w:rPr>
        <w:t>一、</w:t>
      </w:r>
      <w:r>
        <w:rPr>
          <w:rFonts w:hint="eastAsia" w:ascii="幼圆" w:hAnsi="幼圆" w:eastAsia="幼圆" w:cs="幼圆"/>
          <w:b/>
          <w:sz w:val="32"/>
        </w:rPr>
        <w:t xml:space="preserve"> 项目背景</w:t>
      </w:r>
      <w:bookmarkEnd w:id="0"/>
    </w:p>
    <w:p>
      <w:pPr>
        <w:spacing w:before="120" w:after="120" w:line="288" w:lineRule="auto"/>
        <w:ind w:left="0"/>
        <w:jc w:val="left"/>
        <w:rPr>
          <w:rFonts w:hint="eastAsia" w:ascii="幼圆" w:hAnsi="幼圆" w:eastAsia="幼圆" w:cs="幼圆"/>
        </w:rPr>
      </w:pPr>
      <w:r>
        <w:rPr>
          <w:rFonts w:hint="eastAsia" w:ascii="幼圆" w:hAnsi="幼圆" w:eastAsia="幼圆" w:cs="幼圆"/>
          <w:sz w:val="22"/>
        </w:rPr>
        <w:t>为保障院外G8、B8、B10楼宇与院内核心网络稳定互联互通，满足各楼宇OA办公、电话通讯、安防监控、考勤系统等业务正常运行，解决现有外联链路不足、业务无法独立承载、无冗余备份等问题，需新建院外楼宇光纤联络主干链路，统一规范建设标准，保障业务稳定、安全、可扩容运行。</w:t>
      </w:r>
    </w:p>
    <w:p>
      <w:pPr>
        <w:spacing w:before="320" w:after="120" w:line="288" w:lineRule="auto"/>
        <w:ind w:left="0"/>
        <w:jc w:val="left"/>
        <w:outlineLvl w:val="1"/>
        <w:rPr>
          <w:rFonts w:hint="eastAsia" w:ascii="幼圆" w:hAnsi="幼圆" w:eastAsia="幼圆" w:cs="幼圆"/>
        </w:rPr>
      </w:pPr>
      <w:bookmarkStart w:id="1" w:name="heading_1"/>
      <w:r>
        <w:rPr>
          <w:rFonts w:hint="eastAsia" w:ascii="幼圆" w:hAnsi="幼圆" w:eastAsia="幼圆" w:cs="幼圆"/>
          <w:b/>
          <w:sz w:val="32"/>
          <w:lang w:val="en-US" w:eastAsia="zh-CN"/>
        </w:rPr>
        <w:t>二、</w:t>
      </w:r>
      <w:r>
        <w:rPr>
          <w:rFonts w:hint="eastAsia" w:ascii="幼圆" w:hAnsi="幼圆" w:eastAsia="幼圆" w:cs="幼圆"/>
          <w:b/>
          <w:sz w:val="32"/>
        </w:rPr>
        <w:t xml:space="preserve"> 建设范围</w:t>
      </w:r>
      <w:bookmarkEnd w:id="1"/>
    </w:p>
    <w:p>
      <w:pPr>
        <w:spacing w:before="120" w:after="120" w:line="288" w:lineRule="auto"/>
        <w:ind w:left="0"/>
        <w:jc w:val="left"/>
        <w:rPr>
          <w:rFonts w:hint="eastAsia" w:ascii="幼圆" w:hAnsi="幼圆" w:eastAsia="幼圆" w:cs="幼圆"/>
        </w:rPr>
      </w:pPr>
      <w:r>
        <w:rPr>
          <w:rFonts w:hint="eastAsia" w:ascii="幼圆" w:hAnsi="幼圆" w:eastAsia="幼圆" w:cs="幼圆"/>
          <w:sz w:val="22"/>
        </w:rPr>
        <w:t>本次建设范围包含G8、B8、B10三栋院外楼宇至院区核心机房外联光缆，以及B8与B10楼宇之间互联光缆，包含光缆敷设、熔接成端、链路测试、标识挂牌、系统联调、竣工资料交付等全部内容。</w:t>
      </w:r>
    </w:p>
    <w:p>
      <w:pPr>
        <w:spacing w:before="320" w:after="120" w:line="288" w:lineRule="auto"/>
        <w:ind w:left="0"/>
        <w:jc w:val="left"/>
        <w:outlineLvl w:val="1"/>
        <w:rPr>
          <w:rFonts w:hint="eastAsia" w:ascii="幼圆" w:hAnsi="幼圆" w:eastAsia="幼圆" w:cs="幼圆"/>
        </w:rPr>
      </w:pPr>
      <w:bookmarkStart w:id="2" w:name="heading_2"/>
      <w:r>
        <w:rPr>
          <w:rFonts w:hint="eastAsia" w:ascii="幼圆" w:hAnsi="幼圆" w:eastAsia="幼圆" w:cs="幼圆"/>
          <w:b/>
          <w:sz w:val="32"/>
          <w:lang w:val="en-US" w:eastAsia="zh-CN"/>
        </w:rPr>
        <w:t>三、</w:t>
      </w:r>
      <w:r>
        <w:rPr>
          <w:rFonts w:hint="eastAsia" w:ascii="幼圆" w:hAnsi="幼圆" w:eastAsia="幼圆" w:cs="幼圆"/>
          <w:b/>
          <w:sz w:val="32"/>
        </w:rPr>
        <w:t xml:space="preserve"> 业务承载需求</w:t>
      </w:r>
      <w:bookmarkEnd w:id="2"/>
    </w:p>
    <w:p>
      <w:pPr>
        <w:spacing w:before="120" w:after="120" w:line="288" w:lineRule="auto"/>
        <w:ind w:left="0"/>
        <w:jc w:val="left"/>
        <w:rPr>
          <w:rFonts w:hint="eastAsia" w:ascii="幼圆" w:hAnsi="幼圆" w:eastAsia="幼圆" w:cs="幼圆"/>
        </w:rPr>
      </w:pPr>
      <w:r>
        <w:rPr>
          <w:rFonts w:hint="eastAsia" w:ascii="幼圆" w:hAnsi="幼圆" w:eastAsia="幼圆" w:cs="幼圆"/>
          <w:sz w:val="22"/>
        </w:rPr>
        <w:t>新建光纤链路需同时承载以下业务，各业务传输稳定、互不干扰，支持7×24小时不间断运行：</w:t>
      </w:r>
    </w:p>
    <w:p>
      <w:pPr>
        <w:numPr>
          <w:ilvl w:val="0"/>
          <w:numId w:val="7"/>
        </w:numPr>
        <w:spacing w:before="120" w:after="120" w:line="288" w:lineRule="auto"/>
        <w:ind w:left="0"/>
        <w:jc w:val="left"/>
        <w:rPr>
          <w:rFonts w:hint="eastAsia" w:ascii="幼圆" w:hAnsi="幼圆" w:eastAsia="幼圆" w:cs="幼圆"/>
        </w:rPr>
      </w:pPr>
      <w:r>
        <w:rPr>
          <w:rFonts w:hint="eastAsia" w:ascii="幼圆" w:hAnsi="幼圆" w:eastAsia="幼圆" w:cs="幼圆"/>
          <w:b/>
          <w:sz w:val="22"/>
        </w:rPr>
        <w:t>OA办公业务</w:t>
      </w:r>
      <w:r>
        <w:rPr>
          <w:rFonts w:hint="eastAsia" w:ascii="幼圆" w:hAnsi="幼圆" w:eastAsia="幼圆" w:cs="幼圆"/>
          <w:sz w:val="22"/>
        </w:rPr>
        <w:t>：内网办公、公文流转、文件传输、数据同步。</w:t>
      </w:r>
    </w:p>
    <w:p>
      <w:pPr>
        <w:numPr>
          <w:ilvl w:val="0"/>
          <w:numId w:val="8"/>
        </w:numPr>
        <w:spacing w:before="120" w:after="120" w:line="288" w:lineRule="auto"/>
        <w:ind w:left="0"/>
        <w:jc w:val="left"/>
        <w:rPr>
          <w:rFonts w:hint="eastAsia" w:ascii="幼圆" w:hAnsi="幼圆" w:eastAsia="幼圆" w:cs="幼圆"/>
        </w:rPr>
      </w:pPr>
      <w:r>
        <w:rPr>
          <w:rFonts w:hint="eastAsia" w:ascii="幼圆" w:hAnsi="幼圆" w:eastAsia="幼圆" w:cs="幼圆"/>
          <w:b/>
          <w:sz w:val="22"/>
        </w:rPr>
        <w:t>电话语音业务</w:t>
      </w:r>
      <w:r>
        <w:rPr>
          <w:rFonts w:hint="eastAsia" w:ascii="幼圆" w:hAnsi="幼圆" w:eastAsia="幼圆" w:cs="幼圆"/>
          <w:sz w:val="22"/>
        </w:rPr>
        <w:t>：内线通话、调度通讯、语音数据实时传输。</w:t>
      </w:r>
    </w:p>
    <w:p>
      <w:pPr>
        <w:numPr>
          <w:ilvl w:val="0"/>
          <w:numId w:val="9"/>
        </w:numPr>
        <w:spacing w:before="120" w:after="120" w:line="288" w:lineRule="auto"/>
        <w:ind w:left="0"/>
        <w:jc w:val="left"/>
        <w:rPr>
          <w:rFonts w:hint="eastAsia" w:ascii="幼圆" w:hAnsi="幼圆" w:eastAsia="幼圆" w:cs="幼圆"/>
        </w:rPr>
      </w:pPr>
      <w:r>
        <w:rPr>
          <w:rFonts w:hint="eastAsia" w:ascii="幼圆" w:hAnsi="幼圆" w:eastAsia="幼圆" w:cs="幼圆"/>
          <w:b/>
          <w:sz w:val="22"/>
        </w:rPr>
        <w:t>安防监控业务</w:t>
      </w:r>
      <w:r>
        <w:rPr>
          <w:rFonts w:hint="eastAsia" w:ascii="幼圆" w:hAnsi="幼圆" w:eastAsia="幼圆" w:cs="幼圆"/>
          <w:sz w:val="22"/>
        </w:rPr>
        <w:t>：高清视频预览、录像上传、报警信息推送、监控平台对接。</w:t>
      </w:r>
    </w:p>
    <w:p>
      <w:pPr>
        <w:numPr>
          <w:ilvl w:val="0"/>
          <w:numId w:val="10"/>
        </w:numPr>
        <w:spacing w:before="120" w:after="120" w:line="288" w:lineRule="auto"/>
        <w:ind w:left="0"/>
        <w:jc w:val="left"/>
        <w:rPr>
          <w:rFonts w:hint="eastAsia" w:ascii="幼圆" w:hAnsi="幼圆" w:eastAsia="幼圆" w:cs="幼圆"/>
        </w:rPr>
      </w:pPr>
      <w:r>
        <w:rPr>
          <w:rFonts w:hint="eastAsia" w:ascii="幼圆" w:hAnsi="幼圆" w:eastAsia="幼圆" w:cs="幼圆"/>
          <w:b/>
          <w:sz w:val="22"/>
        </w:rPr>
        <w:t>考勤业务</w:t>
      </w:r>
      <w:r>
        <w:rPr>
          <w:rFonts w:hint="eastAsia" w:ascii="幼圆" w:hAnsi="幼圆" w:eastAsia="幼圆" w:cs="幼圆"/>
          <w:sz w:val="22"/>
        </w:rPr>
        <w:t>：考勤终端数据上传、打卡记录同步、后台数据交互。</w:t>
      </w:r>
    </w:p>
    <w:p>
      <w:pPr>
        <w:spacing w:before="320" w:after="120" w:line="288" w:lineRule="auto"/>
        <w:ind w:left="0"/>
        <w:jc w:val="left"/>
        <w:outlineLvl w:val="1"/>
        <w:rPr>
          <w:rFonts w:hint="eastAsia" w:ascii="幼圆" w:hAnsi="幼圆" w:eastAsia="幼圆" w:cs="幼圆"/>
        </w:rPr>
      </w:pPr>
      <w:bookmarkStart w:id="3" w:name="heading_3"/>
      <w:r>
        <w:rPr>
          <w:rFonts w:hint="eastAsia" w:ascii="幼圆" w:hAnsi="幼圆" w:eastAsia="幼圆" w:cs="幼圆"/>
          <w:b/>
          <w:sz w:val="32"/>
          <w:lang w:val="en-US" w:eastAsia="zh-CN"/>
        </w:rPr>
        <w:t>四、</w:t>
      </w:r>
      <w:r>
        <w:rPr>
          <w:rFonts w:hint="eastAsia" w:ascii="幼圆" w:hAnsi="幼圆" w:eastAsia="幼圆" w:cs="幼圆"/>
          <w:b/>
          <w:sz w:val="32"/>
        </w:rPr>
        <w:t>光缆建设数量及用途</w:t>
      </w:r>
      <w:bookmarkEnd w:id="3"/>
    </w:p>
    <w:p>
      <w:pPr>
        <w:spacing w:before="120" w:after="120" w:line="288" w:lineRule="auto"/>
        <w:ind w:left="0"/>
        <w:jc w:val="left"/>
        <w:rPr>
          <w:rFonts w:hint="eastAsia" w:ascii="幼圆" w:hAnsi="幼圆" w:eastAsia="幼圆" w:cs="幼圆"/>
        </w:rPr>
      </w:pPr>
      <w:r>
        <w:rPr>
          <w:rFonts w:hint="eastAsia" w:ascii="幼圆" w:hAnsi="幼圆" w:eastAsia="幼圆" w:cs="幼圆"/>
          <w:sz w:val="22"/>
        </w:rPr>
        <w:t>本次所有外联及互联主干链路统一采用</w:t>
      </w:r>
      <w:r>
        <w:rPr>
          <w:rFonts w:hint="eastAsia" w:ascii="幼圆" w:hAnsi="幼圆" w:eastAsia="幼圆" w:cs="幼圆"/>
          <w:b/>
          <w:sz w:val="22"/>
        </w:rPr>
        <w:t>12芯室外单模光缆</w:t>
      </w:r>
      <w:r>
        <w:rPr>
          <w:rFonts w:hint="eastAsia" w:ascii="幼圆" w:hAnsi="幼圆" w:eastAsia="幼圆" w:cs="幼圆"/>
          <w:sz w:val="22"/>
        </w:rPr>
        <w:t>，总体建设数量及用途如下：</w:t>
      </w:r>
    </w:p>
    <w:p>
      <w:pPr>
        <w:numPr>
          <w:ilvl w:val="0"/>
          <w:numId w:val="11"/>
        </w:numPr>
        <w:spacing w:before="120" w:after="120" w:line="288" w:lineRule="auto"/>
        <w:ind w:left="0"/>
        <w:jc w:val="left"/>
        <w:rPr>
          <w:rFonts w:hint="eastAsia" w:ascii="幼圆" w:hAnsi="幼圆" w:eastAsia="幼圆" w:cs="幼圆"/>
        </w:rPr>
      </w:pPr>
      <w:r>
        <w:rPr>
          <w:rFonts w:hint="eastAsia" w:ascii="幼圆" w:hAnsi="幼圆" w:eastAsia="幼圆" w:cs="幼圆"/>
          <w:b/>
          <w:sz w:val="22"/>
        </w:rPr>
        <w:t>G8楼</w:t>
      </w:r>
      <w:r>
        <w:rPr>
          <w:rFonts w:hint="eastAsia" w:ascii="幼圆" w:hAnsi="幼圆" w:eastAsia="幼圆" w:cs="幼圆"/>
          <w:sz w:val="22"/>
        </w:rPr>
        <w:t>：新建</w:t>
      </w:r>
      <w:r>
        <w:rPr>
          <w:rFonts w:hint="eastAsia" w:ascii="幼圆" w:hAnsi="幼圆" w:eastAsia="幼圆" w:cs="幼圆"/>
          <w:b/>
          <w:sz w:val="22"/>
        </w:rPr>
        <w:t>12芯光缆</w:t>
      </w:r>
      <w:r>
        <w:rPr>
          <w:rFonts w:hint="eastAsia" w:ascii="幼圆" w:hAnsi="幼圆" w:eastAsia="幼圆" w:cs="幼圆"/>
          <w:b/>
          <w:sz w:val="22"/>
          <w:lang w:val="en-US" w:eastAsia="zh-CN"/>
        </w:rPr>
        <w:t>1</w:t>
      </w:r>
      <w:r>
        <w:rPr>
          <w:rFonts w:hint="eastAsia" w:ascii="幼圆" w:hAnsi="幼圆" w:eastAsia="幼圆" w:cs="幼圆"/>
          <w:b/>
          <w:sz w:val="22"/>
        </w:rPr>
        <w:t>根</w:t>
      </w:r>
      <w:r>
        <w:rPr>
          <w:rFonts w:hint="eastAsia" w:ascii="幼圆" w:hAnsi="幼圆" w:eastAsia="幼圆" w:cs="幼圆"/>
          <w:sz w:val="22"/>
        </w:rPr>
        <w:t>，用于G8楼与院区</w:t>
      </w:r>
      <w:r>
        <w:rPr>
          <w:rFonts w:hint="eastAsia" w:ascii="幼圆" w:hAnsi="幼圆" w:eastAsia="幼圆" w:cs="幼圆"/>
          <w:sz w:val="22"/>
          <w:lang w:val="en-US" w:eastAsia="zh-CN"/>
        </w:rPr>
        <w:t>5号楼网络</w:t>
      </w:r>
      <w:r>
        <w:rPr>
          <w:rFonts w:hint="eastAsia" w:ascii="幼圆" w:hAnsi="幼圆" w:eastAsia="幼圆" w:cs="幼圆"/>
          <w:sz w:val="22"/>
        </w:rPr>
        <w:t>机房联络，承载OA、</w:t>
      </w:r>
      <w:r>
        <w:rPr>
          <w:rFonts w:hint="eastAsia" w:ascii="幼圆" w:hAnsi="幼圆" w:eastAsia="幼圆" w:cs="幼圆"/>
          <w:sz w:val="22"/>
          <w:lang w:val="en-US" w:eastAsia="zh-CN"/>
        </w:rPr>
        <w:t>办公业务使用</w:t>
      </w:r>
      <w:r>
        <w:rPr>
          <w:rFonts w:hint="eastAsia" w:ascii="幼圆" w:hAnsi="幼圆" w:eastAsia="幼圆" w:cs="幼圆"/>
          <w:sz w:val="22"/>
        </w:rPr>
        <w:t>。新建</w:t>
      </w:r>
      <w:r>
        <w:rPr>
          <w:rFonts w:hint="eastAsia" w:ascii="幼圆" w:hAnsi="幼圆" w:eastAsia="幼圆" w:cs="幼圆"/>
          <w:b/>
          <w:sz w:val="22"/>
          <w:highlight w:val="yellow"/>
          <w:lang w:val="en-US" w:eastAsia="zh-CN"/>
        </w:rPr>
        <w:t>8</w:t>
      </w:r>
      <w:r>
        <w:rPr>
          <w:rFonts w:hint="eastAsia" w:ascii="幼圆" w:hAnsi="幼圆" w:eastAsia="幼圆" w:cs="幼圆"/>
          <w:b/>
          <w:sz w:val="22"/>
          <w:highlight w:val="yellow"/>
        </w:rPr>
        <w:t>芯</w:t>
      </w:r>
      <w:r>
        <w:rPr>
          <w:rFonts w:hint="eastAsia" w:ascii="幼圆" w:hAnsi="幼圆" w:eastAsia="幼圆" w:cs="幼圆"/>
          <w:b/>
          <w:sz w:val="22"/>
        </w:rPr>
        <w:t>光缆</w:t>
      </w:r>
      <w:r>
        <w:rPr>
          <w:rFonts w:hint="eastAsia" w:ascii="幼圆" w:hAnsi="幼圆" w:eastAsia="幼圆" w:cs="幼圆"/>
          <w:b/>
          <w:sz w:val="22"/>
          <w:lang w:val="en-US" w:eastAsia="zh-CN"/>
        </w:rPr>
        <w:t>1</w:t>
      </w:r>
      <w:r>
        <w:rPr>
          <w:rFonts w:hint="eastAsia" w:ascii="幼圆" w:hAnsi="幼圆" w:eastAsia="幼圆" w:cs="幼圆"/>
          <w:b/>
          <w:sz w:val="22"/>
        </w:rPr>
        <w:t>根</w:t>
      </w:r>
      <w:r>
        <w:rPr>
          <w:rFonts w:hint="eastAsia" w:ascii="幼圆" w:hAnsi="幼圆" w:eastAsia="幼圆" w:cs="幼圆"/>
          <w:sz w:val="22"/>
        </w:rPr>
        <w:t>，用于G8楼与院区</w:t>
      </w:r>
      <w:r>
        <w:rPr>
          <w:rFonts w:hint="eastAsia" w:ascii="幼圆" w:hAnsi="幼圆" w:eastAsia="幼圆" w:cs="幼圆"/>
          <w:sz w:val="22"/>
          <w:lang w:val="en-US" w:eastAsia="zh-CN"/>
        </w:rPr>
        <w:t>5号楼安防</w:t>
      </w:r>
      <w:r>
        <w:rPr>
          <w:rFonts w:hint="eastAsia" w:ascii="幼圆" w:hAnsi="幼圆" w:eastAsia="幼圆" w:cs="幼圆"/>
          <w:sz w:val="22"/>
        </w:rPr>
        <w:t>机房</w:t>
      </w:r>
      <w:r>
        <w:rPr>
          <w:rFonts w:hint="eastAsia" w:ascii="幼圆" w:hAnsi="幼圆" w:eastAsia="幼圆" w:cs="幼圆"/>
          <w:sz w:val="22"/>
          <w:lang w:val="en-US" w:eastAsia="zh-CN"/>
        </w:rPr>
        <w:t>、5号楼通讯机房和1号楼客服中心</w:t>
      </w:r>
      <w:r>
        <w:rPr>
          <w:rFonts w:hint="eastAsia" w:ascii="幼圆" w:hAnsi="幼圆" w:eastAsia="幼圆" w:cs="幼圆"/>
          <w:sz w:val="22"/>
        </w:rPr>
        <w:t>联络，承载电话、监控、考勤全部业务。</w:t>
      </w:r>
    </w:p>
    <w:p>
      <w:pPr>
        <w:numPr>
          <w:ilvl w:val="0"/>
          <w:numId w:val="12"/>
        </w:numPr>
        <w:spacing w:before="120" w:after="120" w:line="288" w:lineRule="auto"/>
        <w:ind w:left="0"/>
        <w:jc w:val="left"/>
        <w:rPr>
          <w:rFonts w:hint="eastAsia" w:ascii="幼圆" w:hAnsi="幼圆" w:eastAsia="幼圆" w:cs="幼圆"/>
        </w:rPr>
      </w:pPr>
      <w:r>
        <w:rPr>
          <w:rFonts w:hint="eastAsia" w:ascii="幼圆" w:hAnsi="幼圆" w:eastAsia="幼圆" w:cs="幼圆"/>
          <w:b/>
          <w:sz w:val="22"/>
        </w:rPr>
        <w:t>B8、B10楼</w:t>
      </w:r>
      <w:r>
        <w:rPr>
          <w:rFonts w:hint="eastAsia" w:ascii="幼圆" w:hAnsi="幼圆" w:eastAsia="幼圆" w:cs="幼圆"/>
          <w:sz w:val="22"/>
        </w:rPr>
        <w:t>：新建</w:t>
      </w:r>
      <w:r>
        <w:rPr>
          <w:rFonts w:hint="eastAsia" w:ascii="幼圆" w:hAnsi="幼圆" w:eastAsia="幼圆" w:cs="幼圆"/>
          <w:b/>
          <w:sz w:val="22"/>
          <w:lang w:val="en-US" w:eastAsia="zh-CN"/>
        </w:rPr>
        <w:t>12</w:t>
      </w:r>
      <w:r>
        <w:rPr>
          <w:rFonts w:hint="eastAsia" w:ascii="幼圆" w:hAnsi="幼圆" w:eastAsia="幼圆" w:cs="幼圆"/>
          <w:b/>
          <w:sz w:val="22"/>
        </w:rPr>
        <w:t>芯光缆</w:t>
      </w:r>
      <w:r>
        <w:rPr>
          <w:rFonts w:hint="eastAsia" w:ascii="幼圆" w:hAnsi="幼圆" w:eastAsia="幼圆" w:cs="幼圆"/>
          <w:b/>
          <w:sz w:val="22"/>
          <w:lang w:val="en-US" w:eastAsia="zh-CN"/>
        </w:rPr>
        <w:t>4</w:t>
      </w:r>
      <w:r>
        <w:rPr>
          <w:rFonts w:hint="eastAsia" w:ascii="幼圆" w:hAnsi="幼圆" w:eastAsia="幼圆" w:cs="幼圆"/>
          <w:b/>
          <w:sz w:val="22"/>
        </w:rPr>
        <w:t>根</w:t>
      </w:r>
      <w:r>
        <w:rPr>
          <w:rFonts w:hint="eastAsia" w:ascii="幼圆" w:hAnsi="幼圆" w:eastAsia="幼圆" w:cs="幼圆"/>
          <w:b/>
          <w:sz w:val="22"/>
          <w:lang w:eastAsia="zh-CN"/>
        </w:rPr>
        <w:t>，</w:t>
      </w:r>
      <w:r>
        <w:rPr>
          <w:rFonts w:hint="eastAsia" w:ascii="幼圆" w:hAnsi="幼圆" w:eastAsia="幼圆" w:cs="幼圆"/>
          <w:b/>
          <w:sz w:val="22"/>
          <w:lang w:val="en-US" w:eastAsia="zh-CN"/>
        </w:rPr>
        <w:t>分别与院内1号楼及5号楼网络机房连接，</w:t>
      </w:r>
      <w:r>
        <w:rPr>
          <w:rFonts w:hint="eastAsia" w:ascii="幼圆" w:hAnsi="幼圆" w:eastAsia="幼圆" w:cs="幼圆"/>
          <w:sz w:val="22"/>
        </w:rPr>
        <w:t>承载OA、</w:t>
      </w:r>
      <w:r>
        <w:rPr>
          <w:rFonts w:hint="eastAsia" w:ascii="幼圆" w:hAnsi="幼圆" w:eastAsia="幼圆" w:cs="幼圆"/>
          <w:sz w:val="22"/>
          <w:lang w:val="en-US" w:eastAsia="zh-CN"/>
        </w:rPr>
        <w:t>办公及HIS系统业务使用</w:t>
      </w:r>
      <w:r>
        <w:rPr>
          <w:rFonts w:hint="eastAsia" w:ascii="幼圆" w:hAnsi="幼圆" w:eastAsia="幼圆" w:cs="幼圆"/>
          <w:sz w:val="22"/>
        </w:rPr>
        <w:t>；</w:t>
      </w:r>
      <w:r>
        <w:rPr>
          <w:rFonts w:hint="eastAsia" w:ascii="幼圆" w:hAnsi="幼圆" w:eastAsia="幼圆" w:cs="幼圆"/>
          <w:sz w:val="22"/>
          <w:lang w:val="en-US" w:eastAsia="zh-CN"/>
        </w:rPr>
        <w:t>2根用于B8、B10楼宇之间互联</w:t>
      </w:r>
      <w:r>
        <w:rPr>
          <w:rFonts w:hint="eastAsia" w:ascii="幼圆" w:hAnsi="幼圆" w:eastAsia="幼圆" w:cs="幼圆"/>
          <w:b/>
          <w:sz w:val="22"/>
          <w:lang w:eastAsia="zh-CN"/>
        </w:rPr>
        <w:t>。</w:t>
      </w:r>
      <w:r>
        <w:rPr>
          <w:rFonts w:hint="eastAsia" w:ascii="幼圆" w:hAnsi="幼圆" w:eastAsia="幼圆" w:cs="幼圆"/>
          <w:sz w:val="22"/>
        </w:rPr>
        <w:t>新建</w:t>
      </w:r>
      <w:r>
        <w:rPr>
          <w:rFonts w:hint="eastAsia" w:ascii="幼圆" w:hAnsi="幼圆" w:eastAsia="幼圆" w:cs="幼圆"/>
          <w:b/>
          <w:sz w:val="22"/>
          <w:lang w:val="en-US" w:eastAsia="zh-CN"/>
        </w:rPr>
        <w:t>8</w:t>
      </w:r>
      <w:r>
        <w:rPr>
          <w:rFonts w:hint="eastAsia" w:ascii="幼圆" w:hAnsi="幼圆" w:eastAsia="幼圆" w:cs="幼圆"/>
          <w:b/>
          <w:sz w:val="22"/>
        </w:rPr>
        <w:t>芯光缆</w:t>
      </w:r>
      <w:r>
        <w:rPr>
          <w:rFonts w:hint="eastAsia" w:ascii="幼圆" w:hAnsi="幼圆" w:eastAsia="幼圆" w:cs="幼圆"/>
          <w:b/>
          <w:sz w:val="22"/>
          <w:lang w:val="en-US" w:eastAsia="zh-CN"/>
        </w:rPr>
        <w:t>2</w:t>
      </w:r>
      <w:r>
        <w:rPr>
          <w:rFonts w:hint="eastAsia" w:ascii="幼圆" w:hAnsi="幼圆" w:eastAsia="幼圆" w:cs="幼圆"/>
          <w:b/>
          <w:sz w:val="22"/>
        </w:rPr>
        <w:t>根</w:t>
      </w:r>
      <w:r>
        <w:rPr>
          <w:rFonts w:hint="eastAsia" w:ascii="幼圆" w:hAnsi="幼圆" w:eastAsia="幼圆" w:cs="幼圆"/>
          <w:sz w:val="22"/>
          <w:lang w:val="en-US" w:eastAsia="zh-CN"/>
        </w:rPr>
        <w:t xml:space="preserve"> ，</w:t>
      </w:r>
      <w:r>
        <w:rPr>
          <w:rFonts w:hint="eastAsia" w:ascii="幼圆" w:hAnsi="幼圆" w:eastAsia="幼圆" w:cs="幼圆"/>
          <w:b/>
          <w:sz w:val="22"/>
        </w:rPr>
        <w:t>1根</w:t>
      </w:r>
      <w:r>
        <w:rPr>
          <w:rFonts w:hint="eastAsia" w:ascii="幼圆" w:hAnsi="幼圆" w:eastAsia="幼圆" w:cs="幼圆"/>
          <w:sz w:val="22"/>
          <w:lang w:val="en-US" w:eastAsia="zh-CN"/>
        </w:rPr>
        <w:t>与院内5号楼安防机房联络，通讯机房及1号楼客服中心，</w:t>
      </w:r>
      <w:r>
        <w:rPr>
          <w:rFonts w:hint="eastAsia" w:ascii="幼圆" w:hAnsi="幼圆" w:eastAsia="幼圆" w:cs="幼圆"/>
          <w:sz w:val="22"/>
        </w:rPr>
        <w:t>承载承载电话、监控、考勤</w:t>
      </w:r>
      <w:r>
        <w:rPr>
          <w:rFonts w:hint="eastAsia" w:ascii="幼圆" w:hAnsi="幼圆" w:eastAsia="幼圆" w:cs="幼圆"/>
          <w:sz w:val="22"/>
          <w:lang w:eastAsia="zh-CN"/>
        </w:rPr>
        <w:t>、</w:t>
      </w:r>
      <w:r>
        <w:rPr>
          <w:rFonts w:hint="eastAsia" w:ascii="幼圆" w:hAnsi="幼圆" w:eastAsia="幼圆" w:cs="幼圆"/>
          <w:sz w:val="22"/>
          <w:lang w:val="en-US" w:eastAsia="zh-CN"/>
        </w:rPr>
        <w:t>背景广播</w:t>
      </w:r>
      <w:r>
        <w:rPr>
          <w:rFonts w:hint="eastAsia" w:ascii="幼圆" w:hAnsi="幼圆" w:eastAsia="幼圆" w:cs="幼圆"/>
          <w:sz w:val="22"/>
        </w:rPr>
        <w:t>全部业务</w:t>
      </w:r>
      <w:r>
        <w:rPr>
          <w:rFonts w:hint="eastAsia" w:ascii="幼圆" w:hAnsi="幼圆" w:eastAsia="幼圆" w:cs="幼圆"/>
          <w:sz w:val="22"/>
          <w:lang w:eastAsia="zh-CN"/>
        </w:rPr>
        <w:t>。</w:t>
      </w:r>
      <w:r>
        <w:rPr>
          <w:rFonts w:hint="eastAsia" w:ascii="幼圆" w:hAnsi="幼圆" w:eastAsia="幼圆" w:cs="幼圆"/>
          <w:b/>
          <w:sz w:val="22"/>
        </w:rPr>
        <w:t>1根用于B8、B10楼宇之间互联</w:t>
      </w:r>
      <w:r>
        <w:rPr>
          <w:rFonts w:hint="eastAsia" w:ascii="幼圆" w:hAnsi="幼圆" w:eastAsia="幼圆" w:cs="幼圆"/>
          <w:sz w:val="22"/>
        </w:rPr>
        <w:t>，满足楼间数据互通与链路备份需求。</w:t>
      </w:r>
    </w:p>
    <w:p>
      <w:pPr>
        <w:spacing w:before="320" w:after="120" w:line="288" w:lineRule="auto"/>
        <w:ind w:left="0"/>
        <w:jc w:val="left"/>
        <w:outlineLvl w:val="1"/>
        <w:rPr>
          <w:rFonts w:hint="eastAsia" w:ascii="幼圆" w:hAnsi="幼圆" w:eastAsia="幼圆" w:cs="幼圆"/>
        </w:rPr>
      </w:pPr>
      <w:bookmarkStart w:id="4" w:name="heading_4"/>
      <w:r>
        <w:rPr>
          <w:rFonts w:hint="eastAsia" w:ascii="幼圆" w:hAnsi="幼圆" w:eastAsia="幼圆" w:cs="幼圆"/>
          <w:b/>
          <w:sz w:val="32"/>
          <w:lang w:val="en-US" w:eastAsia="zh-CN"/>
        </w:rPr>
        <w:t>五、</w:t>
      </w:r>
      <w:r>
        <w:rPr>
          <w:rFonts w:hint="eastAsia" w:ascii="幼圆" w:hAnsi="幼圆" w:eastAsia="幼圆" w:cs="幼圆"/>
          <w:b/>
          <w:sz w:val="32"/>
        </w:rPr>
        <w:t xml:space="preserve"> 主要技术参数要求</w:t>
      </w:r>
      <w:bookmarkEnd w:id="4"/>
    </w:p>
    <w:p>
      <w:pPr>
        <w:spacing w:before="300" w:after="120" w:line="288" w:lineRule="auto"/>
        <w:ind w:left="0"/>
        <w:jc w:val="left"/>
        <w:outlineLvl w:val="2"/>
        <w:rPr>
          <w:rFonts w:hint="eastAsia" w:ascii="幼圆" w:hAnsi="幼圆" w:eastAsia="幼圆" w:cs="幼圆"/>
        </w:rPr>
      </w:pPr>
      <w:commentRangeStart w:id="0"/>
      <w:bookmarkStart w:id="5" w:name="heading_5"/>
      <w:r>
        <w:rPr>
          <w:rFonts w:hint="eastAsia" w:ascii="幼圆" w:hAnsi="幼圆" w:eastAsia="幼圆" w:cs="幼圆"/>
          <w:b/>
          <w:sz w:val="30"/>
          <w:lang w:val="en-US" w:eastAsia="zh-CN"/>
        </w:rPr>
        <w:t>1.</w:t>
      </w:r>
      <w:r>
        <w:rPr>
          <w:color w:val="FF0000"/>
          <w:kern w:val="0"/>
          <w:sz w:val="24"/>
        </w:rPr>
        <w:t>★</w:t>
      </w:r>
      <w:r>
        <w:rPr>
          <w:rFonts w:hint="eastAsia" w:ascii="幼圆" w:hAnsi="幼圆" w:eastAsia="幼圆" w:cs="幼圆"/>
          <w:b/>
          <w:sz w:val="30"/>
        </w:rPr>
        <w:t>光缆参数</w:t>
      </w:r>
      <w:bookmarkEnd w:id="5"/>
    </w:p>
    <w:p>
      <w:pPr>
        <w:numPr>
          <w:ilvl w:val="0"/>
          <w:numId w:val="13"/>
        </w:numPr>
        <w:spacing w:before="120" w:after="120" w:line="288" w:lineRule="auto"/>
        <w:ind w:left="0"/>
        <w:jc w:val="left"/>
        <w:rPr>
          <w:rFonts w:hint="eastAsia" w:ascii="幼圆" w:hAnsi="幼圆" w:eastAsia="幼圆" w:cs="幼圆"/>
        </w:rPr>
      </w:pPr>
      <w:r>
        <w:rPr>
          <w:color w:val="FF0000"/>
          <w:kern w:val="0"/>
          <w:sz w:val="24"/>
        </w:rPr>
        <w:t>★</w:t>
      </w:r>
      <w:r>
        <w:rPr>
          <w:rFonts w:hint="eastAsia" w:ascii="幼圆" w:hAnsi="幼圆" w:eastAsia="幼圆" w:cs="幼圆"/>
          <w:sz w:val="22"/>
        </w:rPr>
        <w:t>光缆类型：室外单模光缆（GYTA/GYTS）</w:t>
      </w:r>
    </w:p>
    <w:p>
      <w:pPr>
        <w:numPr>
          <w:ilvl w:val="0"/>
          <w:numId w:val="14"/>
        </w:numPr>
        <w:spacing w:before="120" w:after="120" w:line="288" w:lineRule="auto"/>
        <w:ind w:left="0"/>
        <w:jc w:val="left"/>
        <w:rPr>
          <w:rFonts w:hint="eastAsia" w:ascii="幼圆" w:hAnsi="幼圆" w:eastAsia="幼圆" w:cs="幼圆"/>
        </w:rPr>
      </w:pPr>
      <w:r>
        <w:rPr>
          <w:color w:val="FF0000"/>
          <w:kern w:val="0"/>
          <w:sz w:val="24"/>
        </w:rPr>
        <w:t>★</w:t>
      </w:r>
      <w:r>
        <w:rPr>
          <w:rFonts w:hint="eastAsia" w:ascii="幼圆" w:hAnsi="幼圆" w:eastAsia="幼圆" w:cs="幼圆"/>
          <w:sz w:val="22"/>
        </w:rPr>
        <w:t>光纤标准：G.652D，支持千兆、万兆传输及后期扩容</w:t>
      </w:r>
    </w:p>
    <w:p>
      <w:pPr>
        <w:numPr>
          <w:ilvl w:val="0"/>
          <w:numId w:val="15"/>
        </w:numPr>
        <w:spacing w:before="120" w:after="120" w:line="288" w:lineRule="auto"/>
        <w:ind w:left="0"/>
        <w:jc w:val="left"/>
        <w:rPr>
          <w:rFonts w:hint="eastAsia" w:ascii="幼圆" w:hAnsi="幼圆" w:eastAsia="幼圆" w:cs="幼圆"/>
        </w:rPr>
      </w:pPr>
      <w:r>
        <w:rPr>
          <w:color w:val="FF0000"/>
          <w:kern w:val="0"/>
          <w:sz w:val="24"/>
        </w:rPr>
        <w:t>★</w:t>
      </w:r>
      <w:r>
        <w:rPr>
          <w:rFonts w:hint="eastAsia" w:ascii="幼圆" w:hAnsi="幼圆" w:eastAsia="幼圆" w:cs="幼圆"/>
          <w:sz w:val="22"/>
        </w:rPr>
        <w:t>使用场景：适配园区室外管道、架空敷设，具备防水、抗拉、防老化、抗干扰性能</w:t>
      </w:r>
    </w:p>
    <w:p>
      <w:pPr>
        <w:numPr>
          <w:ilvl w:val="0"/>
          <w:numId w:val="16"/>
        </w:numPr>
        <w:spacing w:before="120" w:after="120" w:line="288" w:lineRule="auto"/>
        <w:ind w:left="0"/>
        <w:jc w:val="left"/>
        <w:rPr>
          <w:rFonts w:hint="eastAsia" w:ascii="幼圆" w:hAnsi="幼圆" w:eastAsia="幼圆" w:cs="幼圆"/>
        </w:rPr>
      </w:pPr>
      <w:r>
        <w:rPr>
          <w:color w:val="FF0000"/>
          <w:kern w:val="0"/>
          <w:sz w:val="24"/>
        </w:rPr>
        <w:t>★</w:t>
      </w:r>
      <w:r>
        <w:rPr>
          <w:rFonts w:hint="eastAsia" w:ascii="幼圆" w:hAnsi="幼圆" w:eastAsia="幼圆" w:cs="幼圆"/>
          <w:sz w:val="22"/>
        </w:rPr>
        <w:t>纤芯规划：业务按需使用，剩余纤芯全部作为备用纤芯，用于后期扩容、冗余备份、故障切换</w:t>
      </w:r>
    </w:p>
    <w:p>
      <w:pPr>
        <w:spacing w:before="300" w:after="120" w:line="288" w:lineRule="auto"/>
        <w:ind w:left="0"/>
        <w:jc w:val="left"/>
        <w:outlineLvl w:val="2"/>
        <w:rPr>
          <w:rFonts w:hint="eastAsia" w:ascii="幼圆" w:hAnsi="幼圆" w:eastAsia="幼圆" w:cs="幼圆"/>
        </w:rPr>
      </w:pPr>
      <w:bookmarkStart w:id="6" w:name="heading_6"/>
      <w:r>
        <w:rPr>
          <w:rFonts w:hint="eastAsia" w:ascii="幼圆" w:hAnsi="幼圆" w:eastAsia="幼圆" w:cs="幼圆"/>
          <w:b/>
          <w:sz w:val="30"/>
          <w:lang w:val="en-US" w:eastAsia="zh-CN"/>
        </w:rPr>
        <w:t>2.</w:t>
      </w:r>
      <w:r>
        <w:rPr>
          <w:color w:val="FF0000"/>
          <w:kern w:val="0"/>
          <w:sz w:val="24"/>
        </w:rPr>
        <w:t>★</w:t>
      </w:r>
      <w:r>
        <w:rPr>
          <w:rFonts w:hint="eastAsia" w:ascii="幼圆" w:hAnsi="幼圆" w:eastAsia="幼圆" w:cs="幼圆"/>
          <w:b/>
          <w:sz w:val="30"/>
        </w:rPr>
        <w:t>链路性能要求</w:t>
      </w:r>
      <w:bookmarkEnd w:id="6"/>
    </w:p>
    <w:p>
      <w:pPr>
        <w:numPr>
          <w:ilvl w:val="0"/>
          <w:numId w:val="17"/>
        </w:numPr>
        <w:spacing w:before="120" w:after="120" w:line="288" w:lineRule="auto"/>
        <w:ind w:left="0"/>
        <w:jc w:val="left"/>
        <w:rPr>
          <w:rFonts w:hint="eastAsia" w:ascii="幼圆" w:hAnsi="幼圆" w:eastAsia="幼圆" w:cs="幼圆"/>
        </w:rPr>
      </w:pPr>
      <w:r>
        <w:rPr>
          <w:color w:val="FF0000"/>
          <w:kern w:val="0"/>
          <w:sz w:val="24"/>
        </w:rPr>
        <w:t>★</w:t>
      </w:r>
      <w:r>
        <w:rPr>
          <w:rFonts w:hint="eastAsia" w:ascii="幼圆" w:hAnsi="幼圆" w:eastAsia="幼圆" w:cs="幼圆"/>
          <w:sz w:val="22"/>
        </w:rPr>
        <w:t>链路传输稳定，无丢包、无闪断、无卡顿</w:t>
      </w:r>
    </w:p>
    <w:p>
      <w:pPr>
        <w:numPr>
          <w:ilvl w:val="0"/>
          <w:numId w:val="18"/>
        </w:numPr>
        <w:spacing w:before="120" w:after="120" w:line="288" w:lineRule="auto"/>
        <w:ind w:left="0"/>
        <w:jc w:val="left"/>
        <w:rPr>
          <w:rFonts w:hint="eastAsia" w:ascii="幼圆" w:hAnsi="幼圆" w:eastAsia="幼圆" w:cs="幼圆"/>
        </w:rPr>
      </w:pPr>
      <w:r>
        <w:rPr>
          <w:color w:val="FF0000"/>
          <w:kern w:val="0"/>
          <w:sz w:val="24"/>
        </w:rPr>
        <w:t>★</w:t>
      </w:r>
      <w:r>
        <w:rPr>
          <w:rFonts w:hint="eastAsia" w:ascii="幼圆" w:hAnsi="幼圆" w:eastAsia="幼圆" w:cs="幼圆"/>
          <w:sz w:val="22"/>
        </w:rPr>
        <w:t>光衰损耗符合国家综合布线规范，熔接质量良好</w:t>
      </w:r>
    </w:p>
    <w:p>
      <w:pPr>
        <w:numPr>
          <w:ilvl w:val="0"/>
          <w:numId w:val="19"/>
        </w:numPr>
        <w:spacing w:before="120" w:after="120" w:line="288" w:lineRule="auto"/>
        <w:ind w:left="0"/>
        <w:jc w:val="left"/>
        <w:rPr>
          <w:rFonts w:hint="eastAsia" w:ascii="幼圆" w:hAnsi="幼圆" w:eastAsia="幼圆" w:cs="幼圆"/>
        </w:rPr>
      </w:pPr>
      <w:r>
        <w:rPr>
          <w:color w:val="FF0000"/>
          <w:kern w:val="0"/>
          <w:sz w:val="24"/>
        </w:rPr>
        <w:t>★</w:t>
      </w:r>
      <w:r>
        <w:rPr>
          <w:rFonts w:hint="eastAsia" w:ascii="幼圆" w:hAnsi="幼圆" w:eastAsia="幼圆" w:cs="幼圆"/>
          <w:sz w:val="22"/>
        </w:rPr>
        <w:t>满足视频、语音、办公数据实时同步传输标准</w:t>
      </w:r>
      <w:commentRangeEnd w:id="0"/>
      <w:r>
        <w:commentReference w:id="0"/>
      </w:r>
    </w:p>
    <w:p>
      <w:pPr>
        <w:spacing w:before="320" w:after="120" w:line="288" w:lineRule="auto"/>
        <w:ind w:left="0"/>
        <w:jc w:val="left"/>
        <w:outlineLvl w:val="1"/>
        <w:rPr>
          <w:rFonts w:hint="eastAsia" w:ascii="幼圆" w:hAnsi="幼圆" w:eastAsia="幼圆" w:cs="幼圆"/>
        </w:rPr>
      </w:pPr>
      <w:bookmarkStart w:id="7" w:name="heading_7"/>
      <w:r>
        <w:rPr>
          <w:rFonts w:hint="eastAsia" w:ascii="幼圆" w:hAnsi="幼圆" w:eastAsia="幼圆" w:cs="幼圆"/>
          <w:b/>
          <w:sz w:val="32"/>
          <w:lang w:val="en-US" w:eastAsia="zh-CN"/>
        </w:rPr>
        <w:t>六、</w:t>
      </w:r>
      <w:r>
        <w:rPr>
          <w:rFonts w:hint="eastAsia" w:ascii="幼圆" w:hAnsi="幼圆" w:eastAsia="幼圆" w:cs="幼圆"/>
          <w:b/>
          <w:sz w:val="32"/>
        </w:rPr>
        <w:t xml:space="preserve"> 施工工艺要求</w:t>
      </w:r>
      <w:bookmarkEnd w:id="7"/>
    </w:p>
    <w:p>
      <w:pPr>
        <w:numPr>
          <w:ilvl w:val="0"/>
          <w:numId w:val="20"/>
        </w:numPr>
        <w:spacing w:before="120" w:after="120" w:line="288" w:lineRule="auto"/>
        <w:ind w:left="0"/>
        <w:jc w:val="left"/>
        <w:rPr>
          <w:rFonts w:hint="eastAsia" w:ascii="幼圆" w:hAnsi="幼圆" w:eastAsia="幼圆" w:cs="幼圆"/>
        </w:rPr>
      </w:pPr>
      <w:r>
        <w:rPr>
          <w:rFonts w:hint="eastAsia" w:ascii="幼圆" w:hAnsi="幼圆" w:eastAsia="幼圆" w:cs="幼圆"/>
          <w:sz w:val="22"/>
        </w:rPr>
        <w:t>严格按照综合布线工程规范施工，线路敷设平整、规范、无挤压、无过度弯曲。</w:t>
      </w:r>
    </w:p>
    <w:p>
      <w:pPr>
        <w:numPr>
          <w:ilvl w:val="0"/>
          <w:numId w:val="21"/>
        </w:numPr>
        <w:spacing w:before="120" w:after="120" w:line="288" w:lineRule="auto"/>
        <w:ind w:left="0"/>
        <w:jc w:val="left"/>
        <w:rPr>
          <w:rFonts w:hint="eastAsia" w:ascii="幼圆" w:hAnsi="幼圆" w:eastAsia="幼圆" w:cs="幼圆"/>
        </w:rPr>
      </w:pPr>
      <w:r>
        <w:rPr>
          <w:rFonts w:hint="eastAsia" w:ascii="幼圆" w:hAnsi="幼圆" w:eastAsia="幼圆" w:cs="幼圆"/>
          <w:sz w:val="22"/>
        </w:rPr>
        <w:t>所有光缆两端规范成端、熔接，做好防护处理。</w:t>
      </w:r>
    </w:p>
    <w:p>
      <w:pPr>
        <w:numPr>
          <w:ilvl w:val="0"/>
          <w:numId w:val="22"/>
        </w:numPr>
        <w:spacing w:before="120" w:after="120" w:line="288" w:lineRule="auto"/>
        <w:ind w:left="0"/>
        <w:jc w:val="left"/>
        <w:rPr>
          <w:rFonts w:hint="eastAsia" w:ascii="幼圆" w:hAnsi="幼圆" w:eastAsia="幼圆" w:cs="幼圆"/>
        </w:rPr>
      </w:pPr>
      <w:r>
        <w:rPr>
          <w:rFonts w:hint="eastAsia" w:ascii="幼圆" w:hAnsi="幼圆" w:eastAsia="幼圆" w:cs="幼圆"/>
          <w:sz w:val="22"/>
        </w:rPr>
        <w:t>所有光缆两端必须挂牌标识，注明路由、用途、芯数、编号，便于后期运维管理。</w:t>
      </w:r>
    </w:p>
    <w:p>
      <w:pPr>
        <w:numPr>
          <w:ilvl w:val="0"/>
          <w:numId w:val="23"/>
        </w:numPr>
        <w:spacing w:before="120" w:after="120" w:line="288" w:lineRule="auto"/>
        <w:ind w:left="0"/>
        <w:jc w:val="left"/>
        <w:rPr>
          <w:rFonts w:hint="eastAsia" w:ascii="幼圆" w:hAnsi="幼圆" w:eastAsia="幼圆" w:cs="幼圆"/>
        </w:rPr>
      </w:pPr>
      <w:r>
        <w:rPr>
          <w:rFonts w:hint="eastAsia" w:ascii="幼圆" w:hAnsi="幼圆" w:eastAsia="幼圆" w:cs="幼圆"/>
          <w:sz w:val="22"/>
        </w:rPr>
        <w:t>空余纤芯全部清洁成端、妥善保护，预留扩容条件。</w:t>
      </w:r>
    </w:p>
    <w:p>
      <w:pPr>
        <w:spacing w:before="320" w:after="120" w:line="288" w:lineRule="auto"/>
        <w:ind w:left="0"/>
        <w:jc w:val="left"/>
        <w:outlineLvl w:val="1"/>
        <w:rPr>
          <w:rFonts w:hint="eastAsia" w:ascii="幼圆" w:hAnsi="幼圆" w:eastAsia="幼圆" w:cs="幼圆"/>
        </w:rPr>
      </w:pPr>
      <w:bookmarkStart w:id="8" w:name="heading_8"/>
      <w:r>
        <w:rPr>
          <w:rFonts w:hint="eastAsia" w:ascii="幼圆" w:hAnsi="幼圆" w:eastAsia="幼圆" w:cs="幼圆"/>
          <w:b/>
          <w:sz w:val="32"/>
          <w:lang w:val="en-US" w:eastAsia="zh-CN"/>
        </w:rPr>
        <w:t>七、</w:t>
      </w:r>
      <w:r>
        <w:rPr>
          <w:rFonts w:hint="eastAsia" w:ascii="幼圆" w:hAnsi="幼圆" w:eastAsia="幼圆" w:cs="幼圆"/>
          <w:b/>
          <w:sz w:val="32"/>
        </w:rPr>
        <w:t>调试与验收要求</w:t>
      </w:r>
      <w:bookmarkEnd w:id="8"/>
    </w:p>
    <w:p>
      <w:pPr>
        <w:numPr>
          <w:ilvl w:val="0"/>
          <w:numId w:val="24"/>
        </w:numPr>
        <w:spacing w:before="120" w:after="120" w:line="288" w:lineRule="auto"/>
        <w:ind w:left="0"/>
        <w:jc w:val="left"/>
        <w:rPr>
          <w:rFonts w:hint="eastAsia" w:ascii="幼圆" w:hAnsi="幼圆" w:eastAsia="幼圆" w:cs="幼圆"/>
        </w:rPr>
      </w:pPr>
      <w:r>
        <w:rPr>
          <w:rFonts w:hint="eastAsia" w:ascii="幼圆" w:hAnsi="幼圆" w:eastAsia="幼圆" w:cs="幼圆"/>
          <w:sz w:val="22"/>
        </w:rPr>
        <w:t>对所有光缆逐纤芯完成通断测试、光衰测试，出具完整测试数据。</w:t>
      </w:r>
    </w:p>
    <w:p>
      <w:pPr>
        <w:numPr>
          <w:ilvl w:val="0"/>
          <w:numId w:val="25"/>
        </w:numPr>
        <w:spacing w:before="120" w:after="120" w:line="288" w:lineRule="auto"/>
        <w:ind w:left="0"/>
        <w:jc w:val="left"/>
        <w:rPr>
          <w:rFonts w:hint="eastAsia" w:ascii="幼圆" w:hAnsi="幼圆" w:eastAsia="幼圆" w:cs="幼圆"/>
        </w:rPr>
      </w:pPr>
      <w:r>
        <w:rPr>
          <w:rFonts w:hint="eastAsia" w:ascii="幼圆" w:hAnsi="幼圆" w:eastAsia="幼圆" w:cs="幼圆"/>
          <w:sz w:val="22"/>
        </w:rPr>
        <w:t>完成OA、电话、监控、考勤业务全业务联调，所有系统运行正常。</w:t>
      </w:r>
    </w:p>
    <w:p>
      <w:pPr>
        <w:numPr>
          <w:ilvl w:val="0"/>
          <w:numId w:val="26"/>
        </w:numPr>
        <w:spacing w:before="120" w:after="120" w:line="288" w:lineRule="auto"/>
        <w:ind w:left="0"/>
        <w:jc w:val="left"/>
        <w:rPr>
          <w:rFonts w:hint="eastAsia" w:ascii="幼圆" w:hAnsi="幼圆" w:eastAsia="幼圆" w:cs="幼圆"/>
        </w:rPr>
      </w:pPr>
      <w:r>
        <w:rPr>
          <w:rFonts w:hint="eastAsia" w:ascii="幼圆" w:hAnsi="幼圆" w:eastAsia="幼圆" w:cs="幼圆"/>
          <w:sz w:val="22"/>
        </w:rPr>
        <w:t>B8、B10楼间互联链路通畅，楼间业务互通正常。</w:t>
      </w:r>
    </w:p>
    <w:p>
      <w:pPr>
        <w:numPr>
          <w:ilvl w:val="0"/>
          <w:numId w:val="27"/>
        </w:numPr>
        <w:spacing w:before="120" w:after="120" w:line="288" w:lineRule="auto"/>
        <w:ind w:left="0"/>
        <w:jc w:val="left"/>
        <w:rPr>
          <w:rFonts w:hint="eastAsia" w:ascii="幼圆" w:hAnsi="幼圆" w:eastAsia="幼圆" w:cs="幼圆"/>
        </w:rPr>
      </w:pPr>
      <w:r>
        <w:rPr>
          <w:rFonts w:hint="eastAsia" w:ascii="幼圆" w:hAnsi="幼圆" w:eastAsia="幼圆" w:cs="幼圆"/>
          <w:sz w:val="22"/>
        </w:rPr>
        <w:t>现场施工规范、标识清晰、资料齐全，达到竣工验收标准。</w:t>
      </w:r>
    </w:p>
    <w:p>
      <w:pPr>
        <w:spacing w:before="320" w:after="120" w:line="288" w:lineRule="auto"/>
        <w:ind w:left="0"/>
        <w:jc w:val="left"/>
        <w:outlineLvl w:val="1"/>
        <w:rPr>
          <w:rFonts w:hint="eastAsia" w:ascii="幼圆" w:hAnsi="幼圆" w:eastAsia="幼圆" w:cs="幼圆"/>
        </w:rPr>
      </w:pPr>
      <w:bookmarkStart w:id="9" w:name="heading_9"/>
      <w:r>
        <w:rPr>
          <w:rFonts w:hint="eastAsia" w:ascii="幼圆" w:hAnsi="幼圆" w:eastAsia="幼圆" w:cs="幼圆"/>
          <w:b/>
          <w:sz w:val="32"/>
          <w:lang w:val="en-US" w:eastAsia="zh-CN"/>
        </w:rPr>
        <w:t>八、</w:t>
      </w:r>
      <w:r>
        <w:rPr>
          <w:rFonts w:hint="eastAsia" w:ascii="幼圆" w:hAnsi="幼圆" w:eastAsia="幼圆" w:cs="幼圆"/>
          <w:b/>
          <w:sz w:val="32"/>
        </w:rPr>
        <w:t>交付及运维要求</w:t>
      </w:r>
      <w:bookmarkEnd w:id="9"/>
    </w:p>
    <w:p>
      <w:pPr>
        <w:spacing w:before="120" w:after="120" w:line="288" w:lineRule="auto"/>
        <w:ind w:left="0"/>
        <w:jc w:val="left"/>
        <w:rPr>
          <w:rFonts w:hint="eastAsia" w:ascii="幼圆" w:hAnsi="幼圆" w:eastAsia="幼圆" w:cs="幼圆"/>
        </w:rPr>
      </w:pPr>
      <w:r>
        <w:rPr>
          <w:rFonts w:hint="eastAsia" w:ascii="幼圆" w:hAnsi="幼圆" w:eastAsia="幼圆" w:cs="幼圆"/>
          <w:sz w:val="22"/>
        </w:rPr>
        <w:t>项目完工后需交付完整竣工资料，包含路由图、纤芯分配表、测试报告、竣工台账等。所有链路具备可运维、可扩容、可备份条件，满足院区长期信息化使用需求。</w:t>
      </w:r>
    </w:p>
    <w:p>
      <w:pPr>
        <w:spacing w:before="320" w:after="120" w:line="288" w:lineRule="auto"/>
        <w:ind w:left="0"/>
        <w:jc w:val="left"/>
        <w:outlineLvl w:val="1"/>
        <w:rPr>
          <w:rFonts w:hint="eastAsia" w:ascii="幼圆" w:hAnsi="幼圆" w:eastAsia="幼圆" w:cs="幼圆"/>
        </w:rPr>
      </w:pPr>
      <w:bookmarkStart w:id="10" w:name="heading_10"/>
      <w:r>
        <w:rPr>
          <w:rFonts w:hint="eastAsia" w:ascii="幼圆" w:hAnsi="幼圆" w:eastAsia="幼圆" w:cs="幼圆"/>
          <w:b/>
          <w:sz w:val="32"/>
          <w:lang w:val="en-US" w:eastAsia="zh-CN"/>
        </w:rPr>
        <w:t>九、</w:t>
      </w:r>
      <w:r>
        <w:rPr>
          <w:rFonts w:hint="eastAsia" w:ascii="幼圆" w:hAnsi="幼圆" w:eastAsia="幼圆" w:cs="幼圆"/>
          <w:b/>
          <w:sz w:val="32"/>
        </w:rPr>
        <w:t>建设汇总</w:t>
      </w:r>
      <w:bookmarkEnd w:id="10"/>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sz w:val="22"/>
        </w:rPr>
        <w:t>本项目新建</w:t>
      </w:r>
      <w:r>
        <w:rPr>
          <w:rFonts w:hint="eastAsia" w:ascii="幼圆" w:hAnsi="幼圆" w:eastAsia="幼圆" w:cs="幼圆"/>
          <w:b/>
          <w:sz w:val="22"/>
        </w:rPr>
        <w:t>室外单模光缆总计</w:t>
      </w:r>
      <w:r>
        <w:rPr>
          <w:rFonts w:hint="eastAsia" w:ascii="幼圆" w:hAnsi="幼圆" w:eastAsia="幼圆" w:cs="幼圆"/>
          <w:b/>
          <w:sz w:val="22"/>
          <w:lang w:val="en-US" w:eastAsia="zh-CN"/>
        </w:rPr>
        <w:t>5</w:t>
      </w:r>
      <w:r>
        <w:rPr>
          <w:rFonts w:hint="eastAsia" w:ascii="幼圆" w:hAnsi="幼圆" w:eastAsia="幼圆" w:cs="幼圆"/>
          <w:b/>
          <w:sz w:val="22"/>
        </w:rPr>
        <w:t>根</w:t>
      </w:r>
      <w:r>
        <w:rPr>
          <w:rFonts w:hint="eastAsia" w:ascii="幼圆" w:hAnsi="幼圆" w:eastAsia="幼圆" w:cs="幼圆"/>
          <w:sz w:val="22"/>
        </w:rPr>
        <w:t>，其中G8楼至院区</w:t>
      </w:r>
      <w:r>
        <w:rPr>
          <w:rFonts w:hint="eastAsia" w:ascii="幼圆" w:hAnsi="幼圆" w:eastAsia="幼圆" w:cs="幼圆"/>
          <w:sz w:val="22"/>
          <w:lang w:val="en-US" w:eastAsia="zh-CN"/>
        </w:rPr>
        <w:t>2</w:t>
      </w:r>
      <w:r>
        <w:rPr>
          <w:rFonts w:hint="eastAsia" w:ascii="幼圆" w:hAnsi="幼圆" w:eastAsia="幼圆" w:cs="幼圆"/>
          <w:sz w:val="22"/>
        </w:rPr>
        <w:t>根，B8、B10楼宇外联及楼间互联共</w:t>
      </w:r>
      <w:r>
        <w:rPr>
          <w:rFonts w:hint="eastAsia" w:ascii="幼圆" w:hAnsi="幼圆" w:eastAsia="幼圆" w:cs="幼圆"/>
          <w:sz w:val="22"/>
          <w:lang w:val="en-US" w:eastAsia="zh-CN"/>
        </w:rPr>
        <w:t>3</w:t>
      </w:r>
      <w:r>
        <w:rPr>
          <w:rFonts w:hint="eastAsia" w:ascii="幼圆" w:hAnsi="幼圆" w:eastAsia="幼圆" w:cs="幼圆"/>
          <w:sz w:val="22"/>
        </w:rPr>
        <w:t>根，全面解决院外楼宇办公、通讯、安防、考勤业务传输需求，同时预留充足纤芯资源用于后期升级扩容。</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十、施工标准规范</w:t>
      </w:r>
    </w:p>
    <w:p>
      <w:pPr>
        <w:pStyle w:val="169"/>
        <w:spacing w:line="360" w:lineRule="auto"/>
        <w:ind w:firstLine="0" w:firstLineChars="0"/>
        <w:rPr>
          <w:rFonts w:hint="eastAsia" w:ascii="幼圆" w:hAnsi="幼圆" w:eastAsia="幼圆" w:cs="幼圆"/>
          <w:b/>
          <w:bCs/>
          <w:sz w:val="24"/>
          <w:szCs w:val="24"/>
        </w:rPr>
      </w:pPr>
      <w:r>
        <w:rPr>
          <w:rFonts w:hint="eastAsia" w:ascii="幼圆" w:hAnsi="幼圆" w:eastAsia="幼圆" w:cs="幼圆"/>
          <w:b/>
          <w:bCs/>
          <w:sz w:val="24"/>
          <w:szCs w:val="24"/>
        </w:rPr>
        <w:t>国内目前可以直接引用其索引号的主要施工验收规范（包括但不限于）</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《建筑内部装修设计防火规范》              GB50222-2017</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《建筑设计防火规范》                      GB50016-2014（2018年版）</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《建筑装饰装修工程施工质量验收规范》      GB50210-2018</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《综合医院建筑设计规范》                  GB51039—2014</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《民用建筑电气设计规范》                  JGJ16-2008   </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《建筑电气工程施工质量验收规范》          GB50303-2015</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《低压配电设计规范》                      GB50054—2011</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《医疗建筑电气设计规范》                  JGJ312—2013</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《建筑工程施工质量验收统一标准》GB 50300—2013  </w:t>
      </w:r>
    </w:p>
    <w:p>
      <w:pPr>
        <w:tabs>
          <w:tab w:val="left" w:pos="1462"/>
        </w:tabs>
        <w:bidi w:val="0"/>
        <w:spacing w:line="360" w:lineRule="auto"/>
        <w:jc w:val="left"/>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本工程应执行以上标准规范但并不仅限于此。以上标准所包含的条文，通过在本招标文件中引用而构成技术规范的条文如上述标准过期，各供应商应主动按照相应的最新标准执行。</w:t>
      </w:r>
    </w:p>
    <w:p>
      <w:pPr>
        <w:pStyle w:val="169"/>
        <w:spacing w:line="360" w:lineRule="auto"/>
        <w:ind w:firstLine="0" w:firstLineChars="0"/>
        <w:rPr>
          <w:rFonts w:hint="eastAsia" w:ascii="幼圆" w:hAnsi="幼圆" w:eastAsia="幼圆" w:cs="幼圆"/>
          <w:sz w:val="24"/>
          <w:szCs w:val="24"/>
          <w:lang w:val="en-US" w:eastAsia="zh-CN"/>
        </w:rPr>
      </w:pPr>
    </w:p>
    <w:p>
      <w:pPr>
        <w:rPr>
          <w:rFonts w:hint="eastAsia" w:ascii="幼圆" w:hAnsi="幼圆" w:eastAsia="幼圆" w:cs="幼圆"/>
          <w:b w:val="0"/>
          <w:bCs w:val="0"/>
          <w:sz w:val="24"/>
          <w:szCs w:val="24"/>
        </w:rPr>
      </w:pPr>
      <w:r>
        <w:rPr>
          <w:rFonts w:hint="eastAsia" w:ascii="幼圆" w:hAnsi="幼圆" w:eastAsia="幼圆" w:cs="幼圆"/>
          <w:b w:val="0"/>
          <w:bCs w:val="0"/>
          <w:sz w:val="24"/>
          <w:szCs w:val="24"/>
        </w:rPr>
        <w:br w:type="page"/>
      </w:r>
    </w:p>
    <w:p>
      <w:pPr>
        <w:kinsoku w:val="0"/>
        <w:overflowPunct w:val="0"/>
        <w:autoSpaceDE w:val="0"/>
        <w:autoSpaceDN w:val="0"/>
        <w:adjustRightInd w:val="0"/>
        <w:spacing w:after="0" w:line="360" w:lineRule="auto"/>
        <w:jc w:val="both"/>
        <w:rPr>
          <w:rFonts w:hint="eastAsia" w:ascii="幼圆" w:hAnsi="幼圆" w:eastAsia="幼圆" w:cs="幼圆"/>
          <w:b/>
          <w:bCs/>
          <w:color w:val="FF0000"/>
          <w:sz w:val="28"/>
          <w:szCs w:val="24"/>
          <w:lang w:val="en-US" w:eastAsia="zh-CN"/>
        </w:rPr>
      </w:pPr>
      <w:bookmarkStart w:id="11" w:name="_Toc195775598"/>
      <w:r>
        <w:rPr>
          <w:rFonts w:hint="eastAsia" w:ascii="幼圆" w:hAnsi="幼圆" w:eastAsia="幼圆" w:cs="幼圆"/>
          <w:b/>
          <w:bCs/>
          <w:sz w:val="28"/>
          <w:szCs w:val="24"/>
          <w:lang w:val="en-US" w:eastAsia="zh-CN"/>
        </w:rPr>
        <w:t>十一、评审方法和评审标准</w:t>
      </w:r>
      <w:bookmarkEnd w:id="11"/>
    </w:p>
    <w:p>
      <w:pPr>
        <w:rPr>
          <w:rFonts w:hint="eastAsia" w:ascii="幼圆" w:hAnsi="幼圆" w:eastAsia="幼圆" w:cs="幼圆"/>
          <w:b/>
          <w:bCs/>
          <w:sz w:val="28"/>
          <w:szCs w:val="21"/>
        </w:rPr>
      </w:pPr>
      <w:r>
        <w:rPr>
          <w:rFonts w:hint="eastAsia" w:ascii="幼圆" w:hAnsi="幼圆" w:eastAsia="幼圆" w:cs="幼圆"/>
          <w:b/>
          <w:bCs/>
          <w:sz w:val="28"/>
          <w:szCs w:val="21"/>
          <w:lang w:eastAsia="zh-CN"/>
        </w:rPr>
        <w:t>（</w:t>
      </w:r>
      <w:r>
        <w:rPr>
          <w:rFonts w:hint="eastAsia" w:ascii="幼圆" w:hAnsi="幼圆" w:eastAsia="幼圆" w:cs="幼圆"/>
          <w:b/>
          <w:bCs/>
          <w:sz w:val="28"/>
          <w:szCs w:val="21"/>
        </w:rPr>
        <w:t>一</w:t>
      </w:r>
      <w:r>
        <w:rPr>
          <w:rFonts w:hint="eastAsia" w:ascii="幼圆" w:hAnsi="幼圆" w:eastAsia="幼圆" w:cs="幼圆"/>
          <w:b/>
          <w:bCs/>
          <w:sz w:val="28"/>
          <w:szCs w:val="21"/>
          <w:lang w:eastAsia="zh-CN"/>
        </w:rPr>
        <w:t>）</w:t>
      </w:r>
      <w:r>
        <w:rPr>
          <w:rFonts w:hint="eastAsia" w:ascii="幼圆" w:hAnsi="幼圆" w:eastAsia="幼圆" w:cs="幼圆"/>
          <w:b/>
          <w:bCs/>
          <w:sz w:val="28"/>
          <w:szCs w:val="21"/>
        </w:rPr>
        <w:t>评审程序和方法</w:t>
      </w:r>
    </w:p>
    <w:p>
      <w:pPr>
        <w:rPr>
          <w:rFonts w:hint="eastAsia" w:ascii="幼圆" w:hAnsi="幼圆" w:eastAsia="幼圆" w:cs="幼圆"/>
          <w:b w:val="0"/>
          <w:bCs w:val="0"/>
          <w:sz w:val="24"/>
          <w:szCs w:val="20"/>
        </w:rPr>
      </w:pPr>
      <w:r>
        <w:rPr>
          <w:rFonts w:hint="eastAsia" w:ascii="幼圆" w:hAnsi="幼圆" w:eastAsia="幼圆" w:cs="幼圆"/>
          <w:b w:val="0"/>
          <w:bCs w:val="0"/>
          <w:sz w:val="24"/>
          <w:szCs w:val="20"/>
        </w:rPr>
        <w:t>1响应文件的资格审查和符合性审查</w:t>
      </w:r>
    </w:p>
    <w:p>
      <w:pPr>
        <w:rPr>
          <w:rFonts w:hint="eastAsia" w:ascii="幼圆" w:hAnsi="幼圆" w:eastAsia="幼圆" w:cs="幼圆"/>
          <w:b w:val="0"/>
          <w:bCs w:val="0"/>
          <w:sz w:val="24"/>
          <w:szCs w:val="20"/>
        </w:rPr>
      </w:pPr>
      <w:commentRangeStart w:id="1"/>
      <w:r>
        <w:rPr>
          <w:rFonts w:hint="eastAsia" w:ascii="幼圆" w:hAnsi="幼圆" w:eastAsia="幼圆" w:cs="幼圆"/>
          <w:b w:val="0"/>
          <w:bCs w:val="0"/>
          <w:sz w:val="24"/>
          <w:szCs w:val="20"/>
        </w:rPr>
        <w:t>1.1</w:t>
      </w:r>
      <w:r>
        <w:rPr>
          <w:rFonts w:hint="eastAsia" w:ascii="幼圆" w:hAnsi="幼圆" w:eastAsia="幼圆" w:cs="幼圆"/>
          <w:b w:val="0"/>
          <w:bCs w:val="0"/>
          <w:sz w:val="24"/>
          <w:szCs w:val="20"/>
          <w:lang w:eastAsia="zh-CN"/>
        </w:rPr>
        <w:t>评审</w:t>
      </w:r>
      <w:r>
        <w:rPr>
          <w:rFonts w:hint="eastAsia" w:ascii="幼圆" w:hAnsi="幼圆" w:eastAsia="幼圆" w:cs="幼圆"/>
          <w:b w:val="0"/>
          <w:bCs w:val="0"/>
          <w:sz w:val="24"/>
          <w:szCs w:val="20"/>
        </w:rPr>
        <w:t>小组将根据《资格审查要求》和《符合性审查要求》中规定的内容，对供应商进行检查，并形成检查结果。供应商《响应文件》有任何一项不符合《资格审查要求》和《符合性审查要求》要求的，视为未实质性响应</w:t>
      </w:r>
      <w:r>
        <w:rPr>
          <w:rFonts w:hint="eastAsia" w:ascii="幼圆" w:hAnsi="幼圆" w:eastAsia="幼圆" w:cs="幼圆"/>
          <w:b w:val="0"/>
          <w:bCs w:val="0"/>
          <w:sz w:val="24"/>
          <w:szCs w:val="20"/>
          <w:lang w:eastAsia="zh-CN"/>
        </w:rPr>
        <w:t>评审</w:t>
      </w:r>
      <w:r>
        <w:rPr>
          <w:rFonts w:hint="eastAsia" w:ascii="幼圆" w:hAnsi="幼圆" w:eastAsia="幼圆" w:cs="幼圆"/>
          <w:b w:val="0"/>
          <w:bCs w:val="0"/>
          <w:sz w:val="24"/>
          <w:szCs w:val="20"/>
        </w:rPr>
        <w:t>文件。未实质性响应</w:t>
      </w:r>
      <w:r>
        <w:rPr>
          <w:rFonts w:hint="eastAsia" w:ascii="幼圆" w:hAnsi="幼圆" w:eastAsia="幼圆" w:cs="幼圆"/>
          <w:b w:val="0"/>
          <w:bCs w:val="0"/>
          <w:sz w:val="24"/>
          <w:szCs w:val="20"/>
          <w:lang w:eastAsia="zh-CN"/>
        </w:rPr>
        <w:t>评审</w:t>
      </w:r>
      <w:r>
        <w:rPr>
          <w:rFonts w:hint="eastAsia" w:ascii="幼圆" w:hAnsi="幼圆" w:eastAsia="幼圆" w:cs="幼圆"/>
          <w:b w:val="0"/>
          <w:bCs w:val="0"/>
          <w:sz w:val="24"/>
          <w:szCs w:val="20"/>
        </w:rPr>
        <w:t>文件的响应文件按无效响应处理，</w:t>
      </w:r>
      <w:r>
        <w:rPr>
          <w:rFonts w:hint="eastAsia" w:ascii="幼圆" w:hAnsi="幼圆" w:eastAsia="幼圆" w:cs="幼圆"/>
          <w:b w:val="0"/>
          <w:bCs w:val="0"/>
          <w:sz w:val="24"/>
          <w:szCs w:val="20"/>
          <w:lang w:eastAsia="zh-CN"/>
        </w:rPr>
        <w:t>评审</w:t>
      </w:r>
      <w:r>
        <w:rPr>
          <w:rFonts w:hint="eastAsia" w:ascii="幼圆" w:hAnsi="幼圆" w:eastAsia="幼圆" w:cs="幼圆"/>
          <w:b w:val="0"/>
          <w:bCs w:val="0"/>
          <w:sz w:val="24"/>
          <w:szCs w:val="20"/>
        </w:rPr>
        <w:t>小组应当告知提交响应文件的供应商。</w:t>
      </w:r>
      <w:commentRangeEnd w:id="1"/>
      <w:r>
        <w:rPr>
          <w:rFonts w:hint="eastAsia" w:ascii="幼圆" w:hAnsi="幼圆" w:eastAsia="幼圆" w:cs="幼圆"/>
        </w:rPr>
        <w:commentReference w:id="1"/>
      </w:r>
    </w:p>
    <w:p>
      <w:pPr>
        <w:rPr>
          <w:rFonts w:hint="eastAsia" w:ascii="幼圆" w:hAnsi="幼圆" w:eastAsia="幼圆" w:cs="幼圆"/>
          <w:b w:val="0"/>
          <w:bCs w:val="0"/>
          <w:sz w:val="24"/>
          <w:szCs w:val="20"/>
        </w:rPr>
      </w:pPr>
      <w:r>
        <w:rPr>
          <w:rFonts w:hint="eastAsia" w:ascii="幼圆" w:hAnsi="幼圆" w:eastAsia="幼圆" w:cs="幼圆"/>
          <w:b w:val="0"/>
          <w:bCs w:val="0"/>
          <w:sz w:val="24"/>
          <w:szCs w:val="20"/>
        </w:rPr>
        <w:t>1.2《资格审查要求》中对格式有要求的，除</w:t>
      </w:r>
      <w:r>
        <w:rPr>
          <w:rFonts w:hint="eastAsia" w:ascii="幼圆" w:hAnsi="幼圆" w:eastAsia="幼圆" w:cs="幼圆"/>
          <w:b w:val="0"/>
          <w:bCs w:val="0"/>
          <w:sz w:val="24"/>
          <w:szCs w:val="20"/>
          <w:lang w:eastAsia="zh-CN"/>
        </w:rPr>
        <w:t>评审</w:t>
      </w:r>
      <w:r>
        <w:rPr>
          <w:rFonts w:hint="eastAsia" w:ascii="幼圆" w:hAnsi="幼圆" w:eastAsia="幼圆" w:cs="幼圆"/>
          <w:b w:val="0"/>
          <w:bCs w:val="0"/>
          <w:sz w:val="24"/>
          <w:szCs w:val="20"/>
        </w:rPr>
        <w:t>文件另有规定外，均为“实质性格式”文件。</w:t>
      </w:r>
    </w:p>
    <w:p>
      <w:pPr>
        <w:rPr>
          <w:rFonts w:hint="eastAsia" w:ascii="幼圆" w:hAnsi="幼圆" w:eastAsia="幼圆" w:cs="幼圆"/>
          <w:b/>
          <w:bCs/>
          <w:color w:val="FF0000"/>
          <w:sz w:val="32"/>
          <w:szCs w:val="22"/>
        </w:rPr>
      </w:pPr>
      <w:commentRangeStart w:id="2"/>
      <w:r>
        <w:rPr>
          <w:rFonts w:hint="eastAsia" w:ascii="幼圆" w:hAnsi="幼圆" w:eastAsia="幼圆" w:cs="幼圆"/>
          <w:b/>
          <w:bCs/>
          <w:color w:val="FF0000"/>
          <w:sz w:val="32"/>
          <w:szCs w:val="22"/>
        </w:rPr>
        <w:t>1.3《资格审查要求》见下表：</w:t>
      </w:r>
      <w:commentRangeEnd w:id="2"/>
      <w:r>
        <w:rPr>
          <w:rFonts w:hint="eastAsia" w:ascii="幼圆" w:hAnsi="幼圆" w:eastAsia="幼圆" w:cs="幼圆"/>
        </w:rPr>
        <w:commentReference w:id="2"/>
      </w:r>
    </w:p>
    <w:p>
      <w:pPr>
        <w:rPr>
          <w:rFonts w:hint="eastAsia" w:ascii="幼圆" w:hAnsi="幼圆" w:eastAsia="幼圆" w:cs="幼圆"/>
          <w:b/>
          <w:sz w:val="24"/>
        </w:rPr>
      </w:pPr>
      <w:r>
        <w:rPr>
          <w:rFonts w:hint="eastAsia" w:ascii="幼圆" w:hAnsi="幼圆" w:eastAsia="幼圆" w:cs="幼圆"/>
          <w:b/>
          <w:sz w:val="24"/>
        </w:rPr>
        <w:br w:type="page"/>
      </w:r>
    </w:p>
    <w:p>
      <w:pPr>
        <w:tabs>
          <w:tab w:val="left" w:pos="900"/>
          <w:tab w:val="left" w:pos="1080"/>
        </w:tabs>
        <w:snapToGrid w:val="0"/>
        <w:spacing w:line="360" w:lineRule="auto"/>
        <w:ind w:left="1077" w:firstLine="2650" w:firstLineChars="1100"/>
        <w:rPr>
          <w:rFonts w:hint="eastAsia" w:ascii="幼圆" w:hAnsi="幼圆" w:eastAsia="幼圆" w:cs="幼圆"/>
          <w:b/>
          <w:sz w:val="24"/>
        </w:rPr>
      </w:pPr>
      <w:r>
        <w:rPr>
          <w:rFonts w:hint="eastAsia" w:ascii="幼圆" w:hAnsi="幼圆" w:eastAsia="幼圆" w:cs="幼圆"/>
          <w:b/>
          <w:sz w:val="24"/>
        </w:rPr>
        <w:t>资格审查要求</w:t>
      </w:r>
    </w:p>
    <w:tbl>
      <w:tblPr>
        <w:tblStyle w:val="3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7"/>
        <w:gridCol w:w="1661"/>
        <w:gridCol w:w="4568"/>
        <w:gridCol w:w="18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55" w:type="pct"/>
            <w:vAlign w:val="center"/>
          </w:tcPr>
          <w:p>
            <w:pPr>
              <w:tabs>
                <w:tab w:val="left" w:pos="1080"/>
              </w:tabs>
              <w:snapToGrid w:val="0"/>
              <w:jc w:val="center"/>
              <w:rPr>
                <w:rFonts w:hint="eastAsia" w:ascii="幼圆" w:hAnsi="幼圆" w:eastAsia="幼圆" w:cs="幼圆"/>
                <w:b/>
                <w:sz w:val="24"/>
              </w:rPr>
            </w:pPr>
            <w:bookmarkStart w:id="12" w:name="_Hlt487972895"/>
            <w:bookmarkEnd w:id="12"/>
            <w:r>
              <w:rPr>
                <w:rFonts w:hint="eastAsia" w:ascii="幼圆" w:hAnsi="幼圆" w:eastAsia="幼圆" w:cs="幼圆"/>
                <w:b/>
                <w:sz w:val="24"/>
              </w:rPr>
              <w:t>序号</w:t>
            </w:r>
          </w:p>
        </w:tc>
        <w:tc>
          <w:tcPr>
            <w:tcW w:w="937" w:type="pct"/>
            <w:vAlign w:val="center"/>
          </w:tcPr>
          <w:p>
            <w:pPr>
              <w:tabs>
                <w:tab w:val="left" w:pos="1080"/>
              </w:tabs>
              <w:snapToGrid w:val="0"/>
              <w:jc w:val="center"/>
              <w:rPr>
                <w:rFonts w:hint="eastAsia" w:ascii="幼圆" w:hAnsi="幼圆" w:eastAsia="幼圆" w:cs="幼圆"/>
                <w:b/>
                <w:sz w:val="24"/>
              </w:rPr>
            </w:pPr>
            <w:r>
              <w:rPr>
                <w:rFonts w:hint="eastAsia" w:ascii="幼圆" w:hAnsi="幼圆" w:eastAsia="幼圆" w:cs="幼圆"/>
                <w:b/>
                <w:sz w:val="24"/>
              </w:rPr>
              <w:t>检查因素</w:t>
            </w:r>
          </w:p>
        </w:tc>
        <w:tc>
          <w:tcPr>
            <w:tcW w:w="2579" w:type="pct"/>
            <w:vAlign w:val="center"/>
          </w:tcPr>
          <w:p>
            <w:pPr>
              <w:tabs>
                <w:tab w:val="left" w:pos="1080"/>
              </w:tabs>
              <w:snapToGrid w:val="0"/>
              <w:jc w:val="center"/>
              <w:rPr>
                <w:rFonts w:hint="eastAsia" w:ascii="幼圆" w:hAnsi="幼圆" w:eastAsia="幼圆" w:cs="幼圆"/>
                <w:b/>
                <w:sz w:val="24"/>
              </w:rPr>
            </w:pPr>
            <w:r>
              <w:rPr>
                <w:rFonts w:hint="eastAsia" w:ascii="幼圆" w:hAnsi="幼圆" w:eastAsia="幼圆" w:cs="幼圆"/>
                <w:b/>
                <w:sz w:val="24"/>
              </w:rPr>
              <w:t>检查内容</w:t>
            </w:r>
          </w:p>
        </w:tc>
        <w:tc>
          <w:tcPr>
            <w:tcW w:w="1027" w:type="pct"/>
            <w:vAlign w:val="center"/>
          </w:tcPr>
          <w:p>
            <w:pPr>
              <w:tabs>
                <w:tab w:val="left" w:pos="1080"/>
              </w:tabs>
              <w:snapToGrid w:val="0"/>
              <w:jc w:val="center"/>
              <w:rPr>
                <w:rFonts w:hint="eastAsia" w:ascii="幼圆" w:hAnsi="幼圆" w:eastAsia="幼圆" w:cs="幼圆"/>
                <w:b/>
                <w:sz w:val="24"/>
              </w:rPr>
            </w:pPr>
            <w:r>
              <w:rPr>
                <w:rFonts w:hint="eastAsia" w:ascii="幼圆" w:hAnsi="幼圆" w:eastAsia="幼圆" w:cs="幼圆"/>
                <w:b/>
                <w:sz w:val="24"/>
              </w:rPr>
              <w:t>格式要求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hint="eastAsia" w:ascii="幼圆" w:hAnsi="幼圆" w:eastAsia="幼圆" w:cs="幼圆"/>
                <w:sz w:val="24"/>
              </w:rPr>
            </w:pPr>
            <w:r>
              <w:rPr>
                <w:rFonts w:hint="eastAsia" w:ascii="幼圆" w:hAnsi="幼圆" w:eastAsia="幼圆" w:cs="幼圆"/>
                <w:sz w:val="24"/>
              </w:rPr>
              <w:t>1-1</w:t>
            </w:r>
          </w:p>
        </w:tc>
        <w:tc>
          <w:tcPr>
            <w:tcW w:w="937" w:type="pct"/>
            <w:vAlign w:val="center"/>
          </w:tcPr>
          <w:p>
            <w:pPr>
              <w:tabs>
                <w:tab w:val="left" w:pos="1080"/>
              </w:tabs>
              <w:snapToGrid w:val="0"/>
              <w:jc w:val="left"/>
              <w:rPr>
                <w:rFonts w:hint="eastAsia" w:ascii="幼圆" w:hAnsi="幼圆" w:eastAsia="幼圆" w:cs="幼圆"/>
                <w:sz w:val="24"/>
              </w:rPr>
            </w:pPr>
            <w:r>
              <w:rPr>
                <w:rFonts w:hint="eastAsia" w:ascii="幼圆" w:hAnsi="幼圆" w:eastAsia="幼圆" w:cs="幼圆"/>
                <w:sz w:val="24"/>
              </w:rPr>
              <w:t>营业执照等证明文件</w:t>
            </w:r>
          </w:p>
        </w:tc>
        <w:tc>
          <w:tcPr>
            <w:tcW w:w="2579" w:type="pct"/>
            <w:vAlign w:val="center"/>
          </w:tcPr>
          <w:p>
            <w:pPr>
              <w:tabs>
                <w:tab w:val="left" w:pos="1080"/>
              </w:tabs>
              <w:snapToGrid w:val="0"/>
              <w:jc w:val="left"/>
              <w:rPr>
                <w:rFonts w:hint="eastAsia" w:ascii="幼圆" w:hAnsi="幼圆" w:eastAsia="幼圆" w:cs="幼圆"/>
                <w:sz w:val="24"/>
              </w:rPr>
            </w:pPr>
            <w:r>
              <w:rPr>
                <w:rFonts w:hint="eastAsia" w:ascii="幼圆" w:hAnsi="幼圆" w:eastAsia="幼圆" w:cs="幼圆"/>
                <w:sz w:val="24"/>
              </w:rPr>
              <w:t>供应商为企业（包括合伙企业）的，应提供有效的“营业执照”；</w:t>
            </w:r>
          </w:p>
          <w:p>
            <w:pPr>
              <w:tabs>
                <w:tab w:val="left" w:pos="1080"/>
              </w:tabs>
              <w:snapToGrid w:val="0"/>
              <w:jc w:val="left"/>
              <w:rPr>
                <w:rFonts w:hint="eastAsia" w:ascii="幼圆" w:hAnsi="幼圆" w:eastAsia="幼圆" w:cs="幼圆"/>
                <w:sz w:val="24"/>
              </w:rPr>
            </w:pPr>
            <w:r>
              <w:rPr>
                <w:rFonts w:hint="eastAsia" w:ascii="幼圆" w:hAnsi="幼圆" w:eastAsia="幼圆" w:cs="幼圆"/>
                <w:sz w:val="24"/>
              </w:rPr>
              <w:t>供应商为事业单位的，应提供有效的“事业单位法人证书”；</w:t>
            </w:r>
          </w:p>
          <w:p>
            <w:pPr>
              <w:tabs>
                <w:tab w:val="left" w:pos="1080"/>
              </w:tabs>
              <w:snapToGrid w:val="0"/>
              <w:jc w:val="left"/>
              <w:rPr>
                <w:rFonts w:hint="eastAsia" w:ascii="幼圆" w:hAnsi="幼圆" w:eastAsia="幼圆" w:cs="幼圆"/>
                <w:sz w:val="24"/>
              </w:rPr>
            </w:pPr>
            <w:r>
              <w:rPr>
                <w:rFonts w:hint="eastAsia" w:ascii="幼圆" w:hAnsi="幼圆" w:eastAsia="幼圆" w:cs="幼圆"/>
                <w:sz w:val="24"/>
              </w:rPr>
              <w:t>供应商是非企业机构的，应提供有效的“执业许可证”、“登记证书”等证明文件；</w:t>
            </w:r>
          </w:p>
          <w:p>
            <w:pPr>
              <w:tabs>
                <w:tab w:val="left" w:pos="1080"/>
              </w:tabs>
              <w:snapToGrid w:val="0"/>
              <w:jc w:val="left"/>
              <w:rPr>
                <w:rFonts w:hint="eastAsia" w:ascii="幼圆" w:hAnsi="幼圆" w:eastAsia="幼圆" w:cs="幼圆"/>
                <w:sz w:val="24"/>
              </w:rPr>
            </w:pPr>
            <w:r>
              <w:rPr>
                <w:rFonts w:hint="eastAsia" w:ascii="幼圆" w:hAnsi="幼圆" w:eastAsia="幼圆" w:cs="幼圆"/>
                <w:sz w:val="24"/>
              </w:rPr>
              <w:t>供应商是个体工商户的，应提供有效的“个体工商户营业执照”；</w:t>
            </w:r>
          </w:p>
          <w:p>
            <w:pPr>
              <w:tabs>
                <w:tab w:val="left" w:pos="1080"/>
              </w:tabs>
              <w:snapToGrid w:val="0"/>
              <w:jc w:val="left"/>
              <w:rPr>
                <w:rFonts w:hint="eastAsia" w:ascii="幼圆" w:hAnsi="幼圆" w:eastAsia="幼圆" w:cs="幼圆"/>
                <w:sz w:val="24"/>
              </w:rPr>
            </w:pPr>
            <w:r>
              <w:rPr>
                <w:rFonts w:hint="eastAsia" w:ascii="幼圆" w:hAnsi="幼圆" w:eastAsia="幼圆" w:cs="幼圆"/>
                <w:sz w:val="24"/>
              </w:rPr>
              <w:t>供应商是自然人的，应提供有效的自然人身份证明。</w:t>
            </w:r>
          </w:p>
          <w:p>
            <w:pPr>
              <w:tabs>
                <w:tab w:val="left" w:pos="1080"/>
              </w:tabs>
              <w:snapToGrid w:val="0"/>
              <w:jc w:val="left"/>
              <w:rPr>
                <w:rFonts w:hint="eastAsia" w:ascii="幼圆" w:hAnsi="幼圆" w:eastAsia="幼圆" w:cs="幼圆"/>
                <w:color w:val="000000"/>
                <w:sz w:val="24"/>
              </w:rPr>
            </w:pPr>
            <w:r>
              <w:rPr>
                <w:rFonts w:hint="eastAsia" w:ascii="幼圆" w:hAnsi="幼圆" w:eastAsia="幼圆" w:cs="幼圆"/>
                <w:color w:val="000000"/>
                <w:sz w:val="24"/>
              </w:rPr>
              <w:t>分支机构参加响应的，应提供该分支机构或其所属法人/其他组织的相应证明文件；同时还应提供其所属法人/其他组织出具的授权其参与本项目的授权书（格式自拟，须加</w:t>
            </w:r>
            <w:r>
              <w:rPr>
                <w:rFonts w:hint="eastAsia" w:ascii="幼圆" w:hAnsi="幼圆" w:eastAsia="幼圆" w:cs="幼圆"/>
                <w:sz w:val="24"/>
              </w:rPr>
              <w:t>盖其所属法人/其他组织的公章）；对于</w:t>
            </w:r>
            <w:r>
              <w:rPr>
                <w:rFonts w:hint="eastAsia" w:ascii="幼圆" w:hAnsi="幼圆" w:eastAsia="幼圆" w:cs="幼圆"/>
                <w:iCs/>
                <w:sz w:val="24"/>
              </w:rPr>
              <w:t>银行、保险、石油石化、电力、电信等行业的分支机构，可以提供上述</w:t>
            </w:r>
            <w:r>
              <w:rPr>
                <w:rFonts w:hint="eastAsia" w:ascii="幼圆" w:hAnsi="幼圆" w:eastAsia="幼圆" w:cs="幼圆"/>
                <w:sz w:val="24"/>
              </w:rPr>
              <w:t>授权，也</w:t>
            </w:r>
            <w:r>
              <w:rPr>
                <w:rFonts w:hint="eastAsia" w:ascii="幼圆" w:hAnsi="幼圆" w:eastAsia="幼圆" w:cs="幼圆"/>
                <w:color w:val="000000"/>
                <w:sz w:val="24"/>
              </w:rPr>
              <w:t>可以提供其所属法人/其他组织的有关文件或制度等能够证明授权其独立开展业务的证明材料。</w:t>
            </w:r>
          </w:p>
        </w:tc>
        <w:tc>
          <w:tcPr>
            <w:tcW w:w="1027" w:type="pct"/>
            <w:vAlign w:val="center"/>
          </w:tcPr>
          <w:p>
            <w:pPr>
              <w:tabs>
                <w:tab w:val="left" w:pos="1080"/>
              </w:tabs>
              <w:snapToGrid w:val="0"/>
              <w:jc w:val="left"/>
              <w:rPr>
                <w:rFonts w:hint="eastAsia" w:ascii="幼圆" w:hAnsi="幼圆" w:eastAsia="幼圆" w:cs="幼圆"/>
                <w:sz w:val="24"/>
              </w:rPr>
            </w:pPr>
            <w:r>
              <w:rPr>
                <w:rFonts w:hint="eastAsia" w:ascii="幼圆" w:hAnsi="幼圆" w:eastAsia="幼圆" w:cs="幼圆"/>
                <w:sz w:val="24"/>
              </w:rPr>
              <w:t>提供证明文件的复印件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hint="eastAsia" w:ascii="幼圆" w:hAnsi="幼圆" w:eastAsia="幼圆" w:cs="幼圆"/>
                <w:sz w:val="24"/>
              </w:rPr>
            </w:pPr>
            <w:r>
              <w:rPr>
                <w:rFonts w:hint="eastAsia" w:ascii="幼圆" w:hAnsi="幼圆" w:eastAsia="幼圆" w:cs="幼圆"/>
                <w:sz w:val="24"/>
              </w:rPr>
              <w:t>1-2</w:t>
            </w:r>
          </w:p>
        </w:tc>
        <w:tc>
          <w:tcPr>
            <w:tcW w:w="937" w:type="pct"/>
            <w:vAlign w:val="center"/>
          </w:tcPr>
          <w:p>
            <w:pPr>
              <w:tabs>
                <w:tab w:val="left" w:pos="1080"/>
              </w:tabs>
              <w:snapToGrid w:val="0"/>
              <w:jc w:val="left"/>
              <w:rPr>
                <w:rFonts w:hint="eastAsia" w:ascii="幼圆" w:hAnsi="幼圆" w:eastAsia="幼圆" w:cs="幼圆"/>
                <w:sz w:val="24"/>
              </w:rPr>
            </w:pPr>
            <w:r>
              <w:rPr>
                <w:rFonts w:hint="eastAsia" w:ascii="幼圆" w:hAnsi="幼圆" w:eastAsia="幼圆" w:cs="幼圆"/>
                <w:sz w:val="24"/>
              </w:rPr>
              <w:t>供应商资格声明书</w:t>
            </w:r>
          </w:p>
        </w:tc>
        <w:tc>
          <w:tcPr>
            <w:tcW w:w="2579" w:type="pct"/>
            <w:vAlign w:val="center"/>
          </w:tcPr>
          <w:p>
            <w:pPr>
              <w:tabs>
                <w:tab w:val="left" w:pos="1080"/>
              </w:tabs>
              <w:snapToGrid w:val="0"/>
              <w:jc w:val="left"/>
              <w:rPr>
                <w:rFonts w:hint="eastAsia" w:ascii="幼圆" w:hAnsi="幼圆" w:eastAsia="幼圆" w:cs="幼圆"/>
                <w:sz w:val="24"/>
              </w:rPr>
            </w:pPr>
            <w:r>
              <w:rPr>
                <w:rFonts w:hint="eastAsia" w:ascii="幼圆" w:hAnsi="幼圆" w:eastAsia="幼圆" w:cs="幼圆"/>
                <w:sz w:val="24"/>
              </w:rPr>
              <w:t>提供了符合</w:t>
            </w:r>
            <w:r>
              <w:rPr>
                <w:rFonts w:hint="eastAsia" w:ascii="幼圆" w:hAnsi="幼圆" w:eastAsia="幼圆" w:cs="幼圆"/>
                <w:sz w:val="24"/>
                <w:lang w:val="en-US" w:eastAsia="zh-CN"/>
              </w:rPr>
              <w:t>遴选</w:t>
            </w:r>
            <w:r>
              <w:rPr>
                <w:rFonts w:hint="eastAsia" w:ascii="幼圆" w:hAnsi="幼圆" w:eastAsia="幼圆" w:cs="幼圆"/>
                <w:sz w:val="24"/>
              </w:rPr>
              <w:t>文件要求的《供应商资格声明书》。</w:t>
            </w:r>
          </w:p>
        </w:tc>
        <w:tc>
          <w:tcPr>
            <w:tcW w:w="1027" w:type="pct"/>
            <w:vAlign w:val="center"/>
          </w:tcPr>
          <w:p>
            <w:pPr>
              <w:tabs>
                <w:tab w:val="left" w:pos="1080"/>
              </w:tabs>
              <w:snapToGrid w:val="0"/>
              <w:jc w:val="left"/>
              <w:rPr>
                <w:rFonts w:hint="eastAsia" w:ascii="幼圆" w:hAnsi="幼圆" w:eastAsia="幼圆" w:cs="幼圆"/>
                <w:sz w:val="24"/>
              </w:rPr>
            </w:pPr>
            <w:r>
              <w:rPr>
                <w:rFonts w:hint="eastAsia" w:ascii="幼圆" w:hAnsi="幼圆" w:eastAsia="幼圆" w:cs="幼圆"/>
                <w:sz w:val="24"/>
              </w:rPr>
              <w:t>格式见《响应文件格式》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hint="eastAsia" w:ascii="幼圆" w:hAnsi="幼圆" w:eastAsia="幼圆" w:cs="幼圆"/>
                <w:sz w:val="24"/>
              </w:rPr>
            </w:pPr>
            <w:r>
              <w:rPr>
                <w:rFonts w:hint="eastAsia" w:ascii="幼圆" w:hAnsi="幼圆" w:eastAsia="幼圆" w:cs="幼圆"/>
                <w:sz w:val="24"/>
              </w:rPr>
              <w:t>1-3</w:t>
            </w:r>
          </w:p>
        </w:tc>
        <w:tc>
          <w:tcPr>
            <w:tcW w:w="937" w:type="pct"/>
            <w:vAlign w:val="center"/>
          </w:tcPr>
          <w:p>
            <w:pPr>
              <w:tabs>
                <w:tab w:val="left" w:pos="1080"/>
              </w:tabs>
              <w:snapToGrid w:val="0"/>
              <w:rPr>
                <w:rFonts w:hint="eastAsia" w:ascii="幼圆" w:hAnsi="幼圆" w:eastAsia="幼圆" w:cs="幼圆"/>
                <w:sz w:val="24"/>
              </w:rPr>
            </w:pPr>
            <w:r>
              <w:rPr>
                <w:rFonts w:hint="eastAsia" w:ascii="幼圆" w:hAnsi="幼圆" w:eastAsia="幼圆" w:cs="幼圆"/>
                <w:sz w:val="24"/>
              </w:rPr>
              <w:t>供应商信用记录</w:t>
            </w:r>
          </w:p>
        </w:tc>
        <w:tc>
          <w:tcPr>
            <w:tcW w:w="2579" w:type="pct"/>
            <w:vAlign w:val="center"/>
          </w:tcPr>
          <w:p>
            <w:pPr>
              <w:tabs>
                <w:tab w:val="left" w:pos="1080"/>
              </w:tabs>
              <w:snapToGrid w:val="0"/>
              <w:rPr>
                <w:rFonts w:hint="eastAsia" w:ascii="幼圆" w:hAnsi="幼圆" w:eastAsia="幼圆" w:cs="幼圆"/>
                <w:sz w:val="24"/>
              </w:rPr>
            </w:pPr>
            <w:r>
              <w:rPr>
                <w:rFonts w:hint="eastAsia" w:ascii="幼圆" w:hAnsi="幼圆" w:eastAsia="幼圆" w:cs="幼圆"/>
                <w:sz w:val="24"/>
              </w:rPr>
              <w:t>查询渠道：信用中国网站和中国政府采购网（</w:t>
            </w:r>
            <w:r>
              <w:rPr>
                <w:rFonts w:hint="eastAsia" w:ascii="幼圆" w:hAnsi="幼圆" w:eastAsia="幼圆" w:cs="幼圆"/>
              </w:rPr>
              <w:t>www.creditchina.gov.cn</w:t>
            </w:r>
            <w:r>
              <w:rPr>
                <w:rFonts w:hint="eastAsia" w:ascii="幼圆" w:hAnsi="幼圆" w:eastAsia="幼圆" w:cs="幼圆"/>
                <w:sz w:val="24"/>
              </w:rPr>
              <w:t>、</w:t>
            </w:r>
            <w:r>
              <w:rPr>
                <w:rFonts w:hint="eastAsia" w:ascii="幼圆" w:hAnsi="幼圆" w:eastAsia="幼圆" w:cs="幼圆"/>
              </w:rPr>
              <w:t>www.ccgp.gov.cn</w:t>
            </w:r>
            <w:r>
              <w:rPr>
                <w:rFonts w:hint="eastAsia" w:ascii="幼圆" w:hAnsi="幼圆" w:eastAsia="幼圆" w:cs="幼圆"/>
                <w:sz w:val="24"/>
              </w:rPr>
              <w:t>）；</w:t>
            </w:r>
          </w:p>
          <w:p>
            <w:pPr>
              <w:tabs>
                <w:tab w:val="left" w:pos="900"/>
                <w:tab w:val="left" w:pos="1980"/>
              </w:tabs>
              <w:snapToGrid w:val="0"/>
              <w:rPr>
                <w:rFonts w:hint="eastAsia" w:ascii="幼圆" w:hAnsi="幼圆" w:eastAsia="幼圆" w:cs="幼圆"/>
                <w:sz w:val="24"/>
              </w:rPr>
            </w:pPr>
            <w:r>
              <w:rPr>
                <w:rFonts w:hint="eastAsia" w:ascii="幼圆" w:hAnsi="幼圆" w:eastAsia="幼圆" w:cs="幼圆"/>
                <w:sz w:val="24"/>
              </w:rPr>
              <w:t>截止时点：</w:t>
            </w:r>
            <w:r>
              <w:rPr>
                <w:rFonts w:hint="eastAsia" w:ascii="幼圆" w:hAnsi="幼圆" w:eastAsia="幼圆" w:cs="幼圆"/>
                <w:color w:val="000000"/>
                <w:kern w:val="0"/>
                <w:sz w:val="24"/>
                <w:szCs w:val="20"/>
              </w:rPr>
              <w:t>首次响应文件提交截止时间以后</w:t>
            </w:r>
            <w:r>
              <w:rPr>
                <w:rFonts w:hint="eastAsia" w:ascii="幼圆" w:hAnsi="幼圆" w:eastAsia="幼圆" w:cs="幼圆"/>
                <w:sz w:val="24"/>
              </w:rPr>
              <w:t>、资格审查阶段采购人或采购代理机构的实际查询时间；</w:t>
            </w:r>
          </w:p>
          <w:p>
            <w:pPr>
              <w:tabs>
                <w:tab w:val="left" w:pos="900"/>
                <w:tab w:val="left" w:pos="1980"/>
              </w:tabs>
              <w:snapToGrid w:val="0"/>
              <w:rPr>
                <w:rFonts w:hint="eastAsia" w:ascii="幼圆" w:hAnsi="幼圆" w:eastAsia="幼圆" w:cs="幼圆"/>
                <w:sz w:val="24"/>
              </w:rPr>
            </w:pPr>
            <w:r>
              <w:rPr>
                <w:rFonts w:hint="eastAsia" w:ascii="幼圆" w:hAnsi="幼圆" w:eastAsia="幼圆" w:cs="幼圆"/>
                <w:sz w:val="24"/>
              </w:rPr>
              <w:t>信用信息查询记录和证据留存具体方式：查询结果网页打印页作为查询记录和证据，与其他</w:t>
            </w:r>
            <w:r>
              <w:rPr>
                <w:rFonts w:hint="eastAsia" w:ascii="幼圆" w:hAnsi="幼圆" w:eastAsia="幼圆" w:cs="幼圆"/>
                <w:sz w:val="24"/>
                <w:lang w:val="en-US" w:eastAsia="zh-CN"/>
              </w:rPr>
              <w:t>遴选</w:t>
            </w:r>
            <w:r>
              <w:rPr>
                <w:rFonts w:hint="eastAsia" w:ascii="幼圆" w:hAnsi="幼圆" w:eastAsia="幼圆" w:cs="幼圆"/>
                <w:sz w:val="24"/>
              </w:rPr>
              <w:t>文件一并保存；</w:t>
            </w:r>
          </w:p>
          <w:p>
            <w:pPr>
              <w:tabs>
                <w:tab w:val="left" w:pos="1080"/>
              </w:tabs>
              <w:snapToGrid w:val="0"/>
              <w:rPr>
                <w:rFonts w:hint="eastAsia" w:ascii="幼圆" w:hAnsi="幼圆" w:eastAsia="幼圆" w:cs="幼圆"/>
                <w:sz w:val="24"/>
              </w:rPr>
            </w:pPr>
            <w:r>
              <w:rPr>
                <w:rFonts w:hint="eastAsia" w:ascii="幼圆" w:hAnsi="幼圆" w:eastAsia="幼圆" w:cs="幼圆"/>
                <w:sz w:val="24"/>
              </w:rPr>
              <w:t>信用信息的使用原则：经认定的被列入失信被执行人、重大税收违法案件当事人名单、政府采购严重违法失信行为记录名单的供应商，其</w:t>
            </w:r>
            <w:r>
              <w:rPr>
                <w:rFonts w:hint="eastAsia" w:ascii="幼圆" w:hAnsi="幼圆" w:eastAsia="幼圆" w:cs="幼圆"/>
                <w:b/>
                <w:sz w:val="24"/>
              </w:rPr>
              <w:t>响应无效</w:t>
            </w:r>
            <w:r>
              <w:rPr>
                <w:rFonts w:hint="eastAsia" w:ascii="幼圆" w:hAnsi="幼圆" w:eastAsia="幼圆" w:cs="幼圆"/>
                <w:sz w:val="24"/>
              </w:rPr>
              <w:t>。联合体形式</w:t>
            </w:r>
            <w:r>
              <w:rPr>
                <w:rFonts w:hint="eastAsia" w:ascii="幼圆" w:hAnsi="幼圆" w:eastAsia="幼圆" w:cs="幼圆"/>
                <w:sz w:val="24"/>
                <w:lang w:val="en-US" w:eastAsia="zh-CN"/>
              </w:rPr>
              <w:t>参与遴选</w:t>
            </w:r>
            <w:r>
              <w:rPr>
                <w:rFonts w:hint="eastAsia" w:ascii="幼圆" w:hAnsi="幼圆" w:eastAsia="幼圆" w:cs="幼圆"/>
                <w:sz w:val="24"/>
              </w:rPr>
              <w:t>的，联合体成员存在不良信用记录，视同联合体存在不良信用记录。</w:t>
            </w:r>
          </w:p>
        </w:tc>
        <w:tc>
          <w:tcPr>
            <w:tcW w:w="1027" w:type="pct"/>
            <w:vAlign w:val="center"/>
          </w:tcPr>
          <w:p>
            <w:pPr>
              <w:tabs>
                <w:tab w:val="left" w:pos="1080"/>
              </w:tabs>
              <w:snapToGrid w:val="0"/>
              <w:rPr>
                <w:rFonts w:hint="eastAsia" w:ascii="幼圆" w:hAnsi="幼圆" w:eastAsia="幼圆" w:cs="幼圆"/>
                <w:sz w:val="24"/>
              </w:rPr>
            </w:pPr>
            <w:r>
              <w:rPr>
                <w:rFonts w:hint="eastAsia" w:ascii="幼圆" w:hAnsi="幼圆" w:eastAsia="幼圆" w:cs="幼圆"/>
                <w:sz w:val="24"/>
              </w:rPr>
              <w:t>供应商提供，</w:t>
            </w:r>
            <w:r>
              <w:rPr>
                <w:rFonts w:hint="eastAsia" w:ascii="幼圆" w:hAnsi="幼圆" w:eastAsia="幼圆" w:cs="幼圆"/>
                <w:sz w:val="24"/>
                <w:lang w:val="en-US" w:eastAsia="zh-CN"/>
              </w:rPr>
              <w:t>并</w:t>
            </w:r>
            <w:r>
              <w:rPr>
                <w:rFonts w:hint="eastAsia" w:ascii="幼圆" w:hAnsi="幼圆" w:eastAsia="幼圆" w:cs="幼圆"/>
                <w:sz w:val="24"/>
              </w:rPr>
              <w:t>由采购人构</w:t>
            </w:r>
            <w:r>
              <w:rPr>
                <w:rFonts w:hint="eastAsia" w:ascii="幼圆" w:hAnsi="幼圆" w:eastAsia="幼圆" w:cs="幼圆"/>
                <w:sz w:val="24"/>
                <w:lang w:val="en-US" w:eastAsia="zh-CN"/>
              </w:rPr>
              <w:t>查核</w:t>
            </w:r>
            <w:r>
              <w:rPr>
                <w:rFonts w:hint="eastAsia" w:ascii="幼圆" w:hAnsi="幼圆" w:eastAsia="幼圆" w:cs="幼圆"/>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hint="eastAsia" w:ascii="幼圆" w:hAnsi="幼圆" w:eastAsia="幼圆" w:cs="幼圆"/>
                <w:sz w:val="24"/>
                <w:lang w:val="en-US" w:eastAsia="zh-CN"/>
              </w:rPr>
            </w:pPr>
            <w:r>
              <w:rPr>
                <w:rFonts w:hint="eastAsia" w:ascii="幼圆" w:hAnsi="幼圆" w:eastAsia="幼圆" w:cs="幼圆"/>
                <w:sz w:val="24"/>
                <w:lang w:val="en-US" w:eastAsia="zh-CN"/>
              </w:rPr>
              <w:t>1-4</w:t>
            </w:r>
          </w:p>
        </w:tc>
        <w:tc>
          <w:tcPr>
            <w:tcW w:w="937" w:type="pct"/>
            <w:vAlign w:val="center"/>
          </w:tcPr>
          <w:p>
            <w:pPr>
              <w:jc w:val="center"/>
              <w:rPr>
                <w:rFonts w:hint="eastAsia" w:ascii="幼圆" w:hAnsi="幼圆" w:eastAsia="幼圆" w:cs="幼圆"/>
                <w:sz w:val="24"/>
              </w:rPr>
            </w:pPr>
            <w:r>
              <w:rPr>
                <w:rFonts w:hint="eastAsia" w:ascii="幼圆" w:hAnsi="幼圆" w:eastAsia="幼圆" w:cs="幼圆"/>
                <w:sz w:val="24"/>
              </w:rPr>
              <w:t>企业资质等级</w:t>
            </w:r>
          </w:p>
        </w:tc>
        <w:tc>
          <w:tcPr>
            <w:tcW w:w="2579" w:type="pct"/>
            <w:vAlign w:val="center"/>
          </w:tcPr>
          <w:p>
            <w:pPr>
              <w:jc w:val="left"/>
              <w:rPr>
                <w:rFonts w:hint="eastAsia" w:ascii="幼圆" w:hAnsi="幼圆" w:eastAsia="幼圆" w:cs="幼圆"/>
                <w:sz w:val="24"/>
              </w:rPr>
            </w:pPr>
            <w:r>
              <w:rPr>
                <w:rFonts w:hint="eastAsia" w:ascii="幼圆" w:hAnsi="幼圆" w:eastAsia="幼圆" w:cs="幼圆"/>
                <w:sz w:val="24"/>
              </w:rPr>
              <w:t>具有通信工程施工总承包叁级及以上资质</w:t>
            </w:r>
          </w:p>
        </w:tc>
        <w:tc>
          <w:tcPr>
            <w:tcW w:w="1027" w:type="pct"/>
            <w:vAlign w:val="center"/>
          </w:tcPr>
          <w:p>
            <w:pPr>
              <w:tabs>
                <w:tab w:val="left" w:pos="1080"/>
              </w:tabs>
              <w:snapToGrid w:val="0"/>
              <w:jc w:val="left"/>
              <w:rPr>
                <w:rFonts w:hint="eastAsia" w:ascii="幼圆" w:hAnsi="幼圆" w:eastAsia="幼圆" w:cs="幼圆"/>
                <w:sz w:val="24"/>
              </w:rPr>
            </w:pPr>
            <w:r>
              <w:rPr>
                <w:rFonts w:hint="eastAsia" w:ascii="幼圆" w:hAnsi="幼圆" w:eastAsia="幼圆" w:cs="幼圆"/>
                <w:sz w:val="24"/>
              </w:rPr>
              <w:t>提供证明文件复印件加盖供应商公章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hint="eastAsia" w:ascii="幼圆" w:hAnsi="幼圆" w:eastAsia="幼圆" w:cs="幼圆"/>
                <w:sz w:val="24"/>
                <w:lang w:val="en-US" w:eastAsia="zh-CN"/>
              </w:rPr>
            </w:pPr>
            <w:r>
              <w:rPr>
                <w:rFonts w:hint="eastAsia" w:ascii="幼圆" w:hAnsi="幼圆" w:eastAsia="幼圆" w:cs="幼圆"/>
                <w:sz w:val="24"/>
                <w:lang w:val="en-US" w:eastAsia="zh-CN"/>
              </w:rPr>
              <w:t>1-5</w:t>
            </w:r>
          </w:p>
        </w:tc>
        <w:tc>
          <w:tcPr>
            <w:tcW w:w="937" w:type="pct"/>
            <w:vAlign w:val="center"/>
          </w:tcPr>
          <w:p>
            <w:pPr>
              <w:jc w:val="center"/>
              <w:rPr>
                <w:rFonts w:hint="eastAsia" w:ascii="幼圆" w:hAnsi="幼圆" w:eastAsia="幼圆" w:cs="幼圆"/>
                <w:sz w:val="24"/>
              </w:rPr>
            </w:pPr>
            <w:r>
              <w:rPr>
                <w:rFonts w:hint="eastAsia" w:ascii="幼圆" w:hAnsi="幼圆" w:eastAsia="幼圆" w:cs="幼圆"/>
                <w:sz w:val="24"/>
              </w:rPr>
              <w:t>安全生产许可证</w:t>
            </w:r>
          </w:p>
        </w:tc>
        <w:tc>
          <w:tcPr>
            <w:tcW w:w="2579" w:type="pct"/>
            <w:vAlign w:val="center"/>
          </w:tcPr>
          <w:p>
            <w:pPr>
              <w:rPr>
                <w:rFonts w:hint="eastAsia" w:ascii="幼圆" w:hAnsi="幼圆" w:eastAsia="幼圆" w:cs="幼圆"/>
                <w:sz w:val="24"/>
              </w:rPr>
            </w:pPr>
            <w:r>
              <w:rPr>
                <w:rFonts w:hint="eastAsia" w:ascii="幼圆" w:hAnsi="幼圆" w:eastAsia="幼圆" w:cs="幼圆"/>
                <w:sz w:val="24"/>
              </w:rPr>
              <w:t>有效期内的安全生产许可证</w:t>
            </w:r>
          </w:p>
        </w:tc>
        <w:tc>
          <w:tcPr>
            <w:tcW w:w="1027" w:type="pct"/>
            <w:vAlign w:val="center"/>
          </w:tcPr>
          <w:p>
            <w:pPr>
              <w:tabs>
                <w:tab w:val="left" w:pos="1080"/>
              </w:tabs>
              <w:snapToGrid w:val="0"/>
              <w:jc w:val="left"/>
              <w:rPr>
                <w:rFonts w:hint="eastAsia" w:ascii="幼圆" w:hAnsi="幼圆" w:eastAsia="幼圆" w:cs="幼圆"/>
                <w:sz w:val="24"/>
              </w:rPr>
            </w:pPr>
            <w:r>
              <w:rPr>
                <w:rFonts w:hint="eastAsia" w:ascii="幼圆" w:hAnsi="幼圆" w:eastAsia="幼圆" w:cs="幼圆"/>
                <w:sz w:val="24"/>
              </w:rPr>
              <w:t>提供证明文件复印件加盖公章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hint="eastAsia" w:ascii="幼圆" w:hAnsi="幼圆" w:eastAsia="幼圆" w:cs="幼圆"/>
                <w:sz w:val="24"/>
                <w:lang w:val="en-US" w:eastAsia="zh-CN"/>
              </w:rPr>
            </w:pPr>
            <w:r>
              <w:rPr>
                <w:rFonts w:hint="eastAsia" w:ascii="幼圆" w:hAnsi="幼圆" w:eastAsia="幼圆" w:cs="幼圆"/>
                <w:sz w:val="24"/>
                <w:lang w:val="en-US" w:eastAsia="zh-CN"/>
              </w:rPr>
              <w:t>1-6</w:t>
            </w:r>
          </w:p>
        </w:tc>
        <w:tc>
          <w:tcPr>
            <w:tcW w:w="937" w:type="pct"/>
            <w:vAlign w:val="center"/>
          </w:tcPr>
          <w:p>
            <w:pPr>
              <w:jc w:val="center"/>
              <w:rPr>
                <w:rFonts w:hint="eastAsia" w:ascii="幼圆" w:hAnsi="幼圆" w:eastAsia="幼圆" w:cs="幼圆"/>
                <w:sz w:val="24"/>
              </w:rPr>
            </w:pPr>
            <w:r>
              <w:rPr>
                <w:rFonts w:hint="eastAsia" w:ascii="幼圆" w:hAnsi="幼圆" w:eastAsia="幼圆" w:cs="幼圆"/>
                <w:bCs/>
                <w:sz w:val="24"/>
              </w:rPr>
              <w:t>非北京市建筑企业</w:t>
            </w:r>
            <w:r>
              <w:rPr>
                <w:rFonts w:hint="eastAsia" w:ascii="幼圆" w:hAnsi="幼圆" w:eastAsia="幼圆" w:cs="幼圆"/>
                <w:sz w:val="24"/>
              </w:rPr>
              <w:t>进京备案证明材料（如有）</w:t>
            </w:r>
          </w:p>
        </w:tc>
        <w:tc>
          <w:tcPr>
            <w:tcW w:w="2579" w:type="pct"/>
            <w:vAlign w:val="center"/>
          </w:tcPr>
          <w:p>
            <w:pPr>
              <w:rPr>
                <w:rFonts w:hint="eastAsia" w:ascii="幼圆" w:hAnsi="幼圆" w:eastAsia="幼圆" w:cs="幼圆"/>
                <w:sz w:val="24"/>
              </w:rPr>
            </w:pPr>
            <w:r>
              <w:rPr>
                <w:rFonts w:hint="eastAsia" w:ascii="幼圆" w:hAnsi="幼圆" w:eastAsia="幼圆" w:cs="幼圆"/>
                <w:bCs/>
                <w:sz w:val="24"/>
              </w:rPr>
              <w:t>非北京市建筑企业，应提供进京施工备案的证明文件</w:t>
            </w:r>
          </w:p>
        </w:tc>
        <w:tc>
          <w:tcPr>
            <w:tcW w:w="1027" w:type="pct"/>
            <w:vAlign w:val="center"/>
          </w:tcPr>
          <w:p>
            <w:pPr>
              <w:tabs>
                <w:tab w:val="left" w:pos="1080"/>
              </w:tabs>
              <w:snapToGrid w:val="0"/>
              <w:jc w:val="left"/>
              <w:rPr>
                <w:rFonts w:hint="eastAsia" w:ascii="幼圆" w:hAnsi="幼圆" w:eastAsia="幼圆" w:cs="幼圆"/>
                <w:sz w:val="24"/>
              </w:rPr>
            </w:pPr>
            <w:r>
              <w:rPr>
                <w:rFonts w:hint="eastAsia" w:ascii="幼圆" w:hAnsi="幼圆" w:eastAsia="幼圆" w:cs="幼圆"/>
                <w:sz w:val="24"/>
              </w:rPr>
              <w:t>提供证明文件复印件加盖供应商公章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hint="eastAsia" w:ascii="幼圆" w:hAnsi="幼圆" w:eastAsia="幼圆" w:cs="幼圆"/>
                <w:sz w:val="24"/>
                <w:lang w:val="en-US" w:eastAsia="zh-CN"/>
              </w:rPr>
            </w:pPr>
            <w:r>
              <w:rPr>
                <w:rFonts w:hint="eastAsia" w:ascii="幼圆" w:hAnsi="幼圆" w:eastAsia="幼圆" w:cs="幼圆"/>
                <w:sz w:val="24"/>
                <w:lang w:val="en-US" w:eastAsia="zh-CN"/>
              </w:rPr>
              <w:t>1-7</w:t>
            </w:r>
          </w:p>
        </w:tc>
        <w:tc>
          <w:tcPr>
            <w:tcW w:w="937" w:type="pct"/>
            <w:vAlign w:val="center"/>
          </w:tcPr>
          <w:p>
            <w:pPr>
              <w:jc w:val="center"/>
              <w:rPr>
                <w:rFonts w:hint="eastAsia" w:ascii="幼圆" w:hAnsi="幼圆" w:eastAsia="幼圆" w:cs="幼圆"/>
                <w:sz w:val="24"/>
              </w:rPr>
            </w:pPr>
            <w:r>
              <w:rPr>
                <w:rFonts w:hint="eastAsia" w:ascii="幼圆" w:hAnsi="幼圆" w:eastAsia="幼圆" w:cs="幼圆"/>
                <w:sz w:val="24"/>
              </w:rPr>
              <w:t>项目经理</w:t>
            </w:r>
          </w:p>
        </w:tc>
        <w:tc>
          <w:tcPr>
            <w:tcW w:w="2579" w:type="pct"/>
            <w:vAlign w:val="center"/>
          </w:tcPr>
          <w:p>
            <w:pPr>
              <w:rPr>
                <w:rFonts w:hint="eastAsia" w:ascii="幼圆" w:hAnsi="幼圆" w:eastAsia="幼圆" w:cs="幼圆"/>
                <w:sz w:val="24"/>
              </w:rPr>
            </w:pPr>
            <w:r>
              <w:rPr>
                <w:rFonts w:hint="eastAsia" w:ascii="幼圆" w:hAnsi="幼圆" w:eastAsia="幼圆" w:cs="幼圆"/>
                <w:sz w:val="24"/>
              </w:rPr>
              <w:t>具有</w:t>
            </w:r>
            <w:r>
              <w:rPr>
                <w:rFonts w:hint="eastAsia" w:ascii="幼圆" w:hAnsi="幼圆" w:eastAsia="幼圆" w:cs="幼圆"/>
                <w:sz w:val="24"/>
                <w:lang w:val="en-US" w:eastAsia="zh-CN"/>
              </w:rPr>
              <w:t>通信与广电工程专业一级注册建造师执业资格</w:t>
            </w:r>
            <w:r>
              <w:rPr>
                <w:rFonts w:hint="eastAsia" w:ascii="幼圆" w:hAnsi="幼圆" w:eastAsia="幼圆" w:cs="幼圆"/>
                <w:sz w:val="24"/>
              </w:rPr>
              <w:t>，同时还须提供〈安全生产考核合格证书〉（简称B本）</w:t>
            </w:r>
          </w:p>
        </w:tc>
        <w:tc>
          <w:tcPr>
            <w:tcW w:w="1027" w:type="pct"/>
            <w:vAlign w:val="center"/>
          </w:tcPr>
          <w:p>
            <w:pPr>
              <w:tabs>
                <w:tab w:val="left" w:pos="1080"/>
              </w:tabs>
              <w:snapToGrid w:val="0"/>
              <w:rPr>
                <w:rFonts w:hint="eastAsia" w:ascii="幼圆" w:hAnsi="幼圆" w:eastAsia="幼圆" w:cs="幼圆"/>
                <w:sz w:val="24"/>
              </w:rPr>
            </w:pPr>
            <w:r>
              <w:rPr>
                <w:rFonts w:hint="eastAsia" w:ascii="幼圆" w:hAnsi="幼圆" w:eastAsia="幼圆" w:cs="幼圆"/>
                <w:sz w:val="24"/>
              </w:rPr>
              <w:t>提供证明文件复印件加盖供应商公章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pPr>
              <w:tabs>
                <w:tab w:val="left" w:pos="1080"/>
              </w:tabs>
              <w:snapToGrid w:val="0"/>
              <w:jc w:val="center"/>
              <w:rPr>
                <w:rFonts w:hint="eastAsia" w:ascii="幼圆" w:hAnsi="幼圆" w:eastAsia="幼圆" w:cs="幼圆"/>
                <w:sz w:val="24"/>
                <w:lang w:val="en-US" w:eastAsia="zh-CN"/>
              </w:rPr>
            </w:pPr>
            <w:r>
              <w:rPr>
                <w:rFonts w:hint="eastAsia" w:ascii="幼圆" w:hAnsi="幼圆" w:eastAsia="幼圆" w:cs="幼圆"/>
                <w:sz w:val="24"/>
                <w:lang w:val="en-US" w:eastAsia="zh-CN"/>
              </w:rPr>
              <w:t>1-8</w:t>
            </w:r>
          </w:p>
        </w:tc>
        <w:tc>
          <w:tcPr>
            <w:tcW w:w="937" w:type="pct"/>
            <w:vAlign w:val="center"/>
          </w:tcPr>
          <w:p>
            <w:pPr>
              <w:jc w:val="center"/>
              <w:rPr>
                <w:rFonts w:hint="eastAsia" w:ascii="幼圆" w:hAnsi="幼圆" w:eastAsia="幼圆" w:cs="幼圆"/>
                <w:sz w:val="24"/>
              </w:rPr>
            </w:pPr>
            <w:r>
              <w:rPr>
                <w:rFonts w:hint="eastAsia" w:ascii="幼圆" w:hAnsi="幼圆" w:eastAsia="幼圆" w:cs="幼圆"/>
                <w:sz w:val="24"/>
              </w:rPr>
              <w:t>项目经理承诺</w:t>
            </w:r>
          </w:p>
        </w:tc>
        <w:tc>
          <w:tcPr>
            <w:tcW w:w="2579" w:type="pct"/>
            <w:vAlign w:val="center"/>
          </w:tcPr>
          <w:p>
            <w:pPr>
              <w:rPr>
                <w:rFonts w:hint="eastAsia" w:ascii="幼圆" w:hAnsi="幼圆" w:eastAsia="幼圆" w:cs="幼圆"/>
                <w:sz w:val="24"/>
              </w:rPr>
            </w:pPr>
            <w:r>
              <w:rPr>
                <w:rFonts w:hint="eastAsia" w:ascii="幼圆" w:hAnsi="幼圆" w:eastAsia="幼圆" w:cs="幼圆"/>
                <w:sz w:val="24"/>
              </w:rPr>
              <w:t>不得担任其他在施建设工程项目的项目经理承诺</w:t>
            </w:r>
          </w:p>
        </w:tc>
        <w:tc>
          <w:tcPr>
            <w:tcW w:w="1027" w:type="pct"/>
            <w:vAlign w:val="center"/>
          </w:tcPr>
          <w:p>
            <w:pPr>
              <w:tabs>
                <w:tab w:val="left" w:pos="1080"/>
              </w:tabs>
              <w:snapToGrid w:val="0"/>
              <w:rPr>
                <w:rFonts w:hint="eastAsia" w:ascii="幼圆" w:hAnsi="幼圆" w:eastAsia="幼圆" w:cs="幼圆"/>
                <w:sz w:val="24"/>
              </w:rPr>
            </w:pPr>
            <w:r>
              <w:rPr>
                <w:rFonts w:hint="eastAsia" w:ascii="幼圆" w:hAnsi="幼圆" w:eastAsia="幼圆" w:cs="幼圆"/>
                <w:sz w:val="24"/>
              </w:rPr>
              <w:t>格式自拟，并加盖供应商公章</w:t>
            </w:r>
          </w:p>
        </w:tc>
      </w:tr>
    </w:tbl>
    <w:p>
      <w:pPr>
        <w:numPr>
          <w:ilvl w:val="0"/>
          <w:numId w:val="0"/>
        </w:numPr>
        <w:tabs>
          <w:tab w:val="left" w:pos="1080"/>
        </w:tabs>
        <w:snapToGrid w:val="0"/>
        <w:spacing w:line="360" w:lineRule="auto"/>
        <w:ind w:left="357" w:leftChars="0"/>
        <w:rPr>
          <w:rFonts w:hint="eastAsia" w:ascii="幼圆" w:hAnsi="幼圆" w:eastAsia="幼圆" w:cs="幼圆"/>
          <w:sz w:val="24"/>
        </w:rPr>
      </w:pPr>
    </w:p>
    <w:p>
      <w:pPr>
        <w:numPr>
          <w:ilvl w:val="0"/>
          <w:numId w:val="0"/>
        </w:numPr>
        <w:tabs>
          <w:tab w:val="left" w:pos="1080"/>
        </w:tabs>
        <w:snapToGrid w:val="0"/>
        <w:spacing w:line="360" w:lineRule="auto"/>
        <w:ind w:left="357" w:leftChars="0"/>
        <w:rPr>
          <w:rFonts w:hint="eastAsia" w:ascii="幼圆" w:hAnsi="幼圆" w:eastAsia="幼圆" w:cs="幼圆"/>
          <w:b/>
          <w:bCs/>
          <w:color w:val="FF0000"/>
          <w:sz w:val="32"/>
          <w:szCs w:val="28"/>
        </w:rPr>
      </w:pPr>
      <w:commentRangeStart w:id="3"/>
      <w:r>
        <w:rPr>
          <w:rFonts w:hint="eastAsia" w:ascii="幼圆" w:hAnsi="幼圆" w:eastAsia="幼圆" w:cs="幼圆"/>
          <w:b/>
          <w:bCs/>
          <w:color w:val="FF0000"/>
          <w:sz w:val="32"/>
          <w:szCs w:val="28"/>
          <w:lang w:val="en-US" w:eastAsia="zh-CN"/>
        </w:rPr>
        <w:t>1.4</w:t>
      </w:r>
      <w:r>
        <w:rPr>
          <w:rFonts w:hint="eastAsia" w:ascii="幼圆" w:hAnsi="幼圆" w:eastAsia="幼圆" w:cs="幼圆"/>
          <w:b/>
          <w:bCs/>
          <w:color w:val="FF0000"/>
          <w:sz w:val="32"/>
          <w:szCs w:val="28"/>
        </w:rPr>
        <w:t>《符合性审查要求》见下表：</w:t>
      </w:r>
      <w:commentRangeEnd w:id="3"/>
      <w:r>
        <w:rPr>
          <w:rFonts w:hint="eastAsia" w:ascii="幼圆" w:hAnsi="幼圆" w:eastAsia="幼圆" w:cs="幼圆"/>
        </w:rPr>
        <w:commentReference w:id="3"/>
      </w:r>
    </w:p>
    <w:p>
      <w:pPr>
        <w:widowControl/>
        <w:spacing w:line="360" w:lineRule="auto"/>
        <w:jc w:val="center"/>
        <w:rPr>
          <w:rFonts w:hint="eastAsia" w:ascii="幼圆" w:hAnsi="幼圆" w:eastAsia="幼圆" w:cs="幼圆"/>
          <w:b/>
          <w:color w:val="000000"/>
          <w:kern w:val="0"/>
          <w:sz w:val="24"/>
        </w:rPr>
      </w:pPr>
      <w:r>
        <w:rPr>
          <w:rFonts w:hint="eastAsia" w:ascii="幼圆" w:hAnsi="幼圆" w:eastAsia="幼圆" w:cs="幼圆"/>
          <w:b/>
          <w:color w:val="000000"/>
          <w:kern w:val="0"/>
          <w:sz w:val="24"/>
        </w:rPr>
        <w:t>符合性审查要求</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632"/>
        <w:gridCol w:w="4373"/>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blHeader/>
          <w:jc w:val="center"/>
        </w:trPr>
        <w:tc>
          <w:tcPr>
            <w:tcW w:w="541" w:type="pct"/>
            <w:shd w:val="clear" w:color="000000" w:fill="FFFFFF"/>
            <w:vAlign w:val="center"/>
          </w:tcPr>
          <w:p>
            <w:pPr>
              <w:widowControl/>
              <w:jc w:val="center"/>
              <w:rPr>
                <w:rFonts w:hint="eastAsia" w:ascii="幼圆" w:hAnsi="幼圆" w:eastAsia="幼圆" w:cs="幼圆"/>
                <w:b/>
                <w:color w:val="000000"/>
                <w:kern w:val="0"/>
                <w:sz w:val="24"/>
              </w:rPr>
            </w:pPr>
            <w:r>
              <w:rPr>
                <w:rFonts w:hint="eastAsia" w:ascii="幼圆" w:hAnsi="幼圆" w:eastAsia="幼圆" w:cs="幼圆"/>
                <w:b/>
                <w:color w:val="000000"/>
                <w:kern w:val="0"/>
                <w:sz w:val="24"/>
              </w:rPr>
              <w:t>序号</w:t>
            </w:r>
          </w:p>
        </w:tc>
        <w:tc>
          <w:tcPr>
            <w:tcW w:w="921" w:type="pct"/>
            <w:shd w:val="clear" w:color="000000" w:fill="FFFFFF"/>
            <w:vAlign w:val="center"/>
          </w:tcPr>
          <w:p>
            <w:pPr>
              <w:widowControl/>
              <w:jc w:val="center"/>
              <w:rPr>
                <w:rFonts w:hint="eastAsia" w:ascii="幼圆" w:hAnsi="幼圆" w:eastAsia="幼圆" w:cs="幼圆"/>
                <w:b/>
                <w:color w:val="000000"/>
                <w:kern w:val="0"/>
                <w:sz w:val="24"/>
              </w:rPr>
            </w:pPr>
            <w:r>
              <w:rPr>
                <w:rFonts w:hint="eastAsia" w:ascii="幼圆" w:hAnsi="幼圆" w:eastAsia="幼圆" w:cs="幼圆"/>
                <w:b/>
                <w:sz w:val="24"/>
              </w:rPr>
              <w:t>检查</w:t>
            </w:r>
            <w:r>
              <w:rPr>
                <w:rFonts w:hint="eastAsia" w:ascii="幼圆" w:hAnsi="幼圆" w:eastAsia="幼圆" w:cs="幼圆"/>
                <w:b/>
                <w:color w:val="000000"/>
                <w:kern w:val="0"/>
                <w:sz w:val="24"/>
              </w:rPr>
              <w:t>因素</w:t>
            </w:r>
          </w:p>
        </w:tc>
        <w:tc>
          <w:tcPr>
            <w:tcW w:w="2468" w:type="pct"/>
            <w:shd w:val="clear" w:color="000000" w:fill="FFFFFF"/>
            <w:vAlign w:val="center"/>
          </w:tcPr>
          <w:p>
            <w:pPr>
              <w:widowControl/>
              <w:jc w:val="center"/>
              <w:rPr>
                <w:rFonts w:hint="eastAsia" w:ascii="幼圆" w:hAnsi="幼圆" w:eastAsia="幼圆" w:cs="幼圆"/>
                <w:b/>
                <w:color w:val="000000"/>
                <w:kern w:val="0"/>
                <w:sz w:val="24"/>
              </w:rPr>
            </w:pPr>
            <w:r>
              <w:rPr>
                <w:rFonts w:hint="eastAsia" w:ascii="幼圆" w:hAnsi="幼圆" w:eastAsia="幼圆" w:cs="幼圆"/>
                <w:b/>
                <w:sz w:val="24"/>
              </w:rPr>
              <w:t>检查</w:t>
            </w:r>
            <w:r>
              <w:rPr>
                <w:rFonts w:hint="eastAsia" w:ascii="幼圆" w:hAnsi="幼圆" w:eastAsia="幼圆" w:cs="幼圆"/>
                <w:b/>
                <w:color w:val="000000"/>
                <w:kern w:val="0"/>
                <w:sz w:val="24"/>
              </w:rPr>
              <w:t>内容</w:t>
            </w:r>
          </w:p>
        </w:tc>
        <w:tc>
          <w:tcPr>
            <w:tcW w:w="1068" w:type="pct"/>
            <w:shd w:val="clear" w:color="000000" w:fill="FFFFFF"/>
            <w:vAlign w:val="center"/>
          </w:tcPr>
          <w:p>
            <w:pPr>
              <w:widowControl/>
              <w:jc w:val="center"/>
              <w:rPr>
                <w:rFonts w:hint="eastAsia" w:ascii="幼圆" w:hAnsi="幼圆" w:eastAsia="幼圆" w:cs="幼圆"/>
                <w:b/>
                <w:color w:val="000000"/>
                <w:kern w:val="0"/>
                <w:sz w:val="24"/>
              </w:rPr>
            </w:pPr>
            <w:r>
              <w:rPr>
                <w:rFonts w:hint="eastAsia" w:ascii="幼圆" w:hAnsi="幼圆" w:eastAsia="幼圆" w:cs="幼圆"/>
                <w:b/>
                <w:color w:val="000000"/>
                <w:kern w:val="0"/>
                <w:sz w:val="24"/>
              </w:rPr>
              <w:t>是否允许澄清、说明或者更正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1" w:type="pct"/>
            <w:shd w:val="clear" w:color="000000" w:fill="FFFFFF"/>
            <w:vAlign w:val="center"/>
          </w:tcPr>
          <w:p>
            <w:pPr>
              <w:widowControl/>
              <w:jc w:val="center"/>
              <w:rPr>
                <w:rFonts w:hint="eastAsia" w:ascii="幼圆" w:hAnsi="幼圆" w:eastAsia="幼圆" w:cs="幼圆"/>
                <w:color w:val="000000"/>
                <w:kern w:val="0"/>
                <w:sz w:val="24"/>
                <w:lang w:eastAsia="zh-CN"/>
              </w:rPr>
            </w:pPr>
            <w:r>
              <w:rPr>
                <w:rFonts w:hint="eastAsia" w:ascii="幼圆" w:hAnsi="幼圆" w:eastAsia="幼圆" w:cs="幼圆"/>
                <w:color w:val="000000"/>
                <w:kern w:val="0"/>
                <w:sz w:val="24"/>
                <w:lang w:val="en-US" w:eastAsia="zh-CN"/>
              </w:rPr>
              <w:t>1</w:t>
            </w:r>
          </w:p>
        </w:tc>
        <w:tc>
          <w:tcPr>
            <w:tcW w:w="921"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sz w:val="24"/>
              </w:rPr>
              <w:t>签署、盖章</w:t>
            </w:r>
          </w:p>
        </w:tc>
        <w:tc>
          <w:tcPr>
            <w:tcW w:w="2468" w:type="pct"/>
            <w:shd w:val="clear" w:color="000000" w:fill="FFFFFF"/>
            <w:vAlign w:val="center"/>
          </w:tcPr>
          <w:p>
            <w:pPr>
              <w:widowControl/>
              <w:jc w:val="left"/>
              <w:rPr>
                <w:rFonts w:hint="eastAsia" w:ascii="幼圆" w:hAnsi="幼圆" w:eastAsia="幼圆" w:cs="幼圆"/>
                <w:color w:val="000000"/>
                <w:kern w:val="0"/>
                <w:sz w:val="24"/>
              </w:rPr>
            </w:pPr>
            <w:r>
              <w:rPr>
                <w:rFonts w:hint="eastAsia" w:ascii="幼圆" w:hAnsi="幼圆" w:eastAsia="幼圆" w:cs="幼圆"/>
                <w:sz w:val="24"/>
              </w:rPr>
              <w:t>按照《</w:t>
            </w:r>
            <w:r>
              <w:rPr>
                <w:rFonts w:hint="eastAsia" w:ascii="幼圆" w:hAnsi="幼圆" w:eastAsia="幼圆" w:cs="幼圆"/>
                <w:sz w:val="24"/>
                <w:lang w:val="en-US" w:eastAsia="zh-CN"/>
              </w:rPr>
              <w:t>遴选</w:t>
            </w:r>
            <w:r>
              <w:rPr>
                <w:rFonts w:hint="eastAsia" w:ascii="幼圆" w:hAnsi="幼圆" w:eastAsia="幼圆" w:cs="幼圆"/>
                <w:sz w:val="24"/>
              </w:rPr>
              <w:t>文件》规定进行签署、盖章的</w:t>
            </w:r>
            <w:r>
              <w:rPr>
                <w:rFonts w:hint="eastAsia" w:ascii="幼圆" w:hAnsi="幼圆" w:eastAsia="幼圆" w:cs="幼圆"/>
                <w:color w:val="000000"/>
                <w:kern w:val="0"/>
                <w:sz w:val="24"/>
                <w:lang w:bidi="ar"/>
              </w:rPr>
              <w:t>；</w:t>
            </w:r>
          </w:p>
        </w:tc>
        <w:tc>
          <w:tcPr>
            <w:tcW w:w="1068"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1" w:type="pct"/>
            <w:shd w:val="clear" w:color="000000" w:fill="FFFFFF"/>
            <w:vAlign w:val="center"/>
          </w:tcPr>
          <w:p>
            <w:pPr>
              <w:widowControl/>
              <w:jc w:val="center"/>
              <w:rPr>
                <w:rFonts w:hint="eastAsia" w:ascii="幼圆" w:hAnsi="幼圆" w:eastAsia="幼圆" w:cs="幼圆"/>
                <w:color w:val="000000"/>
                <w:kern w:val="0"/>
                <w:sz w:val="24"/>
                <w:lang w:val="en-US" w:eastAsia="zh-CN"/>
              </w:rPr>
            </w:pPr>
            <w:r>
              <w:rPr>
                <w:rFonts w:hint="eastAsia" w:ascii="幼圆" w:hAnsi="幼圆" w:eastAsia="幼圆" w:cs="幼圆"/>
                <w:color w:val="000000"/>
                <w:kern w:val="0"/>
                <w:sz w:val="24"/>
                <w:lang w:val="en-US" w:eastAsia="zh-CN"/>
              </w:rPr>
              <w:t>2</w:t>
            </w:r>
          </w:p>
        </w:tc>
        <w:tc>
          <w:tcPr>
            <w:tcW w:w="921"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lang w:bidi="ar"/>
              </w:rPr>
              <w:t>实质性格式</w:t>
            </w:r>
          </w:p>
        </w:tc>
        <w:tc>
          <w:tcPr>
            <w:tcW w:w="2468" w:type="pct"/>
            <w:shd w:val="clear" w:color="000000" w:fill="FFFFFF"/>
            <w:vAlign w:val="center"/>
          </w:tcPr>
          <w:p>
            <w:pPr>
              <w:widowControl/>
              <w:jc w:val="left"/>
              <w:rPr>
                <w:rFonts w:hint="eastAsia" w:ascii="幼圆" w:hAnsi="幼圆" w:eastAsia="幼圆" w:cs="幼圆"/>
                <w:color w:val="000000"/>
                <w:kern w:val="0"/>
                <w:sz w:val="24"/>
              </w:rPr>
            </w:pPr>
            <w:r>
              <w:rPr>
                <w:rFonts w:hint="eastAsia" w:ascii="幼圆" w:hAnsi="幼圆" w:eastAsia="幼圆" w:cs="幼圆"/>
                <w:color w:val="000000"/>
                <w:kern w:val="0"/>
                <w:sz w:val="24"/>
                <w:lang w:bidi="ar"/>
              </w:rPr>
              <w:t>标记为“实质性格式”的文件均按</w:t>
            </w:r>
            <w:r>
              <w:rPr>
                <w:rFonts w:hint="eastAsia" w:ascii="幼圆" w:hAnsi="幼圆" w:eastAsia="幼圆" w:cs="幼圆"/>
                <w:color w:val="000000"/>
                <w:kern w:val="0"/>
                <w:sz w:val="24"/>
                <w:lang w:val="en-US" w:eastAsia="zh-CN" w:bidi="ar"/>
              </w:rPr>
              <w:t>遴选</w:t>
            </w:r>
            <w:r>
              <w:rPr>
                <w:rFonts w:hint="eastAsia" w:ascii="幼圆" w:hAnsi="幼圆" w:eastAsia="幼圆" w:cs="幼圆"/>
                <w:color w:val="000000"/>
                <w:kern w:val="0"/>
                <w:sz w:val="24"/>
                <w:lang w:bidi="ar"/>
              </w:rPr>
              <w:t>文件要求提供；</w:t>
            </w:r>
          </w:p>
        </w:tc>
        <w:tc>
          <w:tcPr>
            <w:tcW w:w="1068"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1" w:type="pct"/>
            <w:shd w:val="clear" w:color="000000" w:fill="FFFFFF"/>
            <w:vAlign w:val="center"/>
          </w:tcPr>
          <w:p>
            <w:pPr>
              <w:widowControl/>
              <w:jc w:val="center"/>
              <w:rPr>
                <w:rFonts w:hint="eastAsia" w:ascii="幼圆" w:hAnsi="幼圆" w:eastAsia="幼圆" w:cs="幼圆"/>
                <w:color w:val="000000"/>
                <w:kern w:val="0"/>
                <w:sz w:val="24"/>
                <w:lang w:eastAsia="zh-CN"/>
              </w:rPr>
            </w:pPr>
            <w:r>
              <w:rPr>
                <w:rFonts w:hint="eastAsia" w:ascii="幼圆" w:hAnsi="幼圆" w:eastAsia="幼圆" w:cs="幼圆"/>
                <w:color w:val="000000"/>
                <w:kern w:val="0"/>
                <w:sz w:val="24"/>
                <w:lang w:val="en-US" w:eastAsia="zh-CN"/>
              </w:rPr>
              <w:t>3</w:t>
            </w:r>
          </w:p>
        </w:tc>
        <w:tc>
          <w:tcPr>
            <w:tcW w:w="921"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rPr>
              <w:t>报价</w:t>
            </w:r>
          </w:p>
        </w:tc>
        <w:tc>
          <w:tcPr>
            <w:tcW w:w="2468" w:type="pct"/>
            <w:shd w:val="clear" w:color="000000" w:fill="FFFFFF"/>
            <w:vAlign w:val="center"/>
          </w:tcPr>
          <w:p>
            <w:pPr>
              <w:widowControl/>
              <w:jc w:val="left"/>
              <w:rPr>
                <w:rFonts w:hint="eastAsia" w:ascii="幼圆" w:hAnsi="幼圆" w:eastAsia="幼圆" w:cs="幼圆"/>
                <w:color w:val="000000"/>
                <w:kern w:val="0"/>
                <w:sz w:val="24"/>
              </w:rPr>
            </w:pPr>
            <w:r>
              <w:rPr>
                <w:rFonts w:hint="eastAsia" w:ascii="幼圆" w:hAnsi="幼圆" w:eastAsia="幼圆" w:cs="幼圆"/>
                <w:sz w:val="24"/>
              </w:rPr>
              <w:t>《响应文件》的首次报价超出控制价的</w:t>
            </w:r>
            <w:r>
              <w:rPr>
                <w:rFonts w:hint="eastAsia" w:ascii="幼圆" w:hAnsi="幼圆" w:eastAsia="幼圆" w:cs="幼圆"/>
                <w:color w:val="000000"/>
                <w:kern w:val="0"/>
                <w:sz w:val="24"/>
                <w:lang w:bidi="ar"/>
              </w:rPr>
              <w:t>；</w:t>
            </w:r>
          </w:p>
        </w:tc>
        <w:tc>
          <w:tcPr>
            <w:tcW w:w="1068"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1" w:type="pct"/>
            <w:shd w:val="clear" w:color="000000" w:fill="FFFFFF"/>
            <w:vAlign w:val="center"/>
          </w:tcPr>
          <w:p>
            <w:pPr>
              <w:widowControl/>
              <w:jc w:val="center"/>
              <w:rPr>
                <w:rFonts w:hint="eastAsia" w:ascii="幼圆" w:hAnsi="幼圆" w:eastAsia="幼圆" w:cs="幼圆"/>
                <w:color w:val="000000"/>
                <w:kern w:val="0"/>
                <w:sz w:val="24"/>
                <w:lang w:eastAsia="zh-CN"/>
              </w:rPr>
            </w:pPr>
            <w:r>
              <w:rPr>
                <w:rFonts w:hint="eastAsia" w:ascii="幼圆" w:hAnsi="幼圆" w:eastAsia="幼圆" w:cs="幼圆"/>
                <w:color w:val="000000"/>
                <w:kern w:val="0"/>
                <w:sz w:val="24"/>
                <w:lang w:val="en-US" w:eastAsia="zh-CN"/>
              </w:rPr>
              <w:t>4</w:t>
            </w:r>
          </w:p>
        </w:tc>
        <w:tc>
          <w:tcPr>
            <w:tcW w:w="921"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lang w:bidi="ar"/>
              </w:rPr>
              <w:t>公平竞争</w:t>
            </w:r>
          </w:p>
        </w:tc>
        <w:tc>
          <w:tcPr>
            <w:tcW w:w="2468" w:type="pct"/>
            <w:shd w:val="clear" w:color="000000" w:fill="FFFFFF"/>
            <w:vAlign w:val="center"/>
          </w:tcPr>
          <w:p>
            <w:pPr>
              <w:widowControl/>
              <w:jc w:val="left"/>
              <w:rPr>
                <w:rFonts w:hint="eastAsia" w:ascii="幼圆" w:hAnsi="幼圆" w:eastAsia="幼圆" w:cs="幼圆"/>
                <w:color w:val="000000"/>
                <w:kern w:val="0"/>
                <w:sz w:val="24"/>
              </w:rPr>
            </w:pPr>
            <w:r>
              <w:rPr>
                <w:rFonts w:hint="eastAsia" w:ascii="幼圆" w:hAnsi="幼圆" w:eastAsia="幼圆" w:cs="幼圆"/>
                <w:color w:val="000000"/>
                <w:kern w:val="0"/>
                <w:sz w:val="24"/>
                <w:lang w:bidi="ar"/>
              </w:rPr>
              <w:t>供应商遵循公平竞争的原则，不存在恶意串通，妨碍其他供应商的竞争行为，不存在损害采购人或者其他供应商的合法权益情形的；</w:t>
            </w:r>
          </w:p>
        </w:tc>
        <w:tc>
          <w:tcPr>
            <w:tcW w:w="1068"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1" w:type="pct"/>
            <w:shd w:val="clear" w:color="000000" w:fill="FFFFFF"/>
            <w:vAlign w:val="center"/>
          </w:tcPr>
          <w:p>
            <w:pPr>
              <w:widowControl/>
              <w:jc w:val="center"/>
              <w:rPr>
                <w:rFonts w:hint="eastAsia" w:ascii="幼圆" w:hAnsi="幼圆" w:eastAsia="幼圆" w:cs="幼圆"/>
                <w:color w:val="000000"/>
                <w:kern w:val="0"/>
                <w:sz w:val="24"/>
                <w:lang w:eastAsia="zh-CN"/>
              </w:rPr>
            </w:pPr>
            <w:r>
              <w:rPr>
                <w:rFonts w:hint="eastAsia" w:ascii="幼圆" w:hAnsi="幼圆" w:eastAsia="幼圆" w:cs="幼圆"/>
                <w:color w:val="000000"/>
                <w:kern w:val="0"/>
                <w:sz w:val="24"/>
                <w:lang w:val="en-US" w:eastAsia="zh-CN"/>
              </w:rPr>
              <w:t>5</w:t>
            </w:r>
          </w:p>
        </w:tc>
        <w:tc>
          <w:tcPr>
            <w:tcW w:w="921"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lang w:bidi="ar"/>
              </w:rPr>
              <w:t>串通</w:t>
            </w:r>
          </w:p>
        </w:tc>
        <w:tc>
          <w:tcPr>
            <w:tcW w:w="2468" w:type="pct"/>
            <w:shd w:val="clear" w:color="000000" w:fill="FFFFFF"/>
            <w:vAlign w:val="center"/>
          </w:tcPr>
          <w:p>
            <w:pPr>
              <w:widowControl/>
              <w:jc w:val="left"/>
              <w:rPr>
                <w:rFonts w:hint="eastAsia" w:ascii="幼圆" w:hAnsi="幼圆" w:eastAsia="幼圆" w:cs="幼圆"/>
                <w:color w:val="000000"/>
                <w:kern w:val="0"/>
                <w:sz w:val="24"/>
                <w:lang w:eastAsia="zh-CN"/>
              </w:rPr>
            </w:pPr>
            <w:r>
              <w:rPr>
                <w:rFonts w:hint="eastAsia" w:ascii="幼圆" w:hAnsi="幼圆" w:eastAsia="幼圆" w:cs="幼圆"/>
                <w:color w:val="000000"/>
                <w:kern w:val="0"/>
                <w:sz w:val="24"/>
                <w:lang w:bidi="ar"/>
              </w:rPr>
              <w:t>不存在视为供应商串通的情形：（一）不同供应商的响应文件由同一单位或者个人编制；（二）不同供应商委托同一单位或者个人办理</w:t>
            </w:r>
            <w:r>
              <w:rPr>
                <w:rFonts w:hint="eastAsia" w:ascii="幼圆" w:hAnsi="幼圆" w:eastAsia="幼圆" w:cs="幼圆"/>
                <w:color w:val="000000"/>
                <w:kern w:val="0"/>
                <w:sz w:val="24"/>
                <w:lang w:val="en-US" w:eastAsia="zh-CN" w:bidi="ar"/>
              </w:rPr>
              <w:t>遴选</w:t>
            </w:r>
            <w:r>
              <w:rPr>
                <w:rFonts w:hint="eastAsia" w:ascii="幼圆" w:hAnsi="幼圆" w:eastAsia="幼圆" w:cs="幼圆"/>
                <w:color w:val="000000"/>
                <w:kern w:val="0"/>
                <w:sz w:val="24"/>
                <w:lang w:bidi="ar"/>
              </w:rPr>
              <w:t>事宜；（三）不同供应商的响应文件载明的项目管理成员或者联系人员为同一人；（四）不同供应商的响应文件异常一致或者响应报价呈规律性差异；（五）不同供应商的响应文件相互混装</w:t>
            </w:r>
            <w:r>
              <w:rPr>
                <w:rFonts w:hint="eastAsia" w:ascii="幼圆" w:hAnsi="幼圆" w:eastAsia="幼圆" w:cs="幼圆"/>
                <w:color w:val="000000"/>
                <w:kern w:val="0"/>
                <w:sz w:val="24"/>
                <w:lang w:eastAsia="zh-CN" w:bidi="ar"/>
              </w:rPr>
              <w:t>。</w:t>
            </w:r>
          </w:p>
        </w:tc>
        <w:tc>
          <w:tcPr>
            <w:tcW w:w="1068"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1" w:type="pct"/>
            <w:shd w:val="clear" w:color="000000" w:fill="FFFFFF"/>
            <w:vAlign w:val="center"/>
          </w:tcPr>
          <w:p>
            <w:pPr>
              <w:widowControl/>
              <w:jc w:val="center"/>
              <w:rPr>
                <w:rFonts w:hint="eastAsia" w:ascii="幼圆" w:hAnsi="幼圆" w:eastAsia="幼圆" w:cs="幼圆"/>
                <w:color w:val="000000"/>
                <w:kern w:val="0"/>
                <w:sz w:val="24"/>
                <w:lang w:eastAsia="zh-CN"/>
              </w:rPr>
            </w:pPr>
            <w:r>
              <w:rPr>
                <w:rFonts w:hint="eastAsia" w:ascii="幼圆" w:hAnsi="幼圆" w:eastAsia="幼圆" w:cs="幼圆"/>
                <w:color w:val="000000"/>
                <w:kern w:val="0"/>
                <w:sz w:val="24"/>
                <w:lang w:val="en-US" w:eastAsia="zh-CN"/>
              </w:rPr>
              <w:t>6</w:t>
            </w:r>
          </w:p>
        </w:tc>
        <w:tc>
          <w:tcPr>
            <w:tcW w:w="921"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lang w:bidi="ar"/>
              </w:rPr>
              <w:t>附加条件</w:t>
            </w:r>
          </w:p>
        </w:tc>
        <w:tc>
          <w:tcPr>
            <w:tcW w:w="2468" w:type="pct"/>
            <w:shd w:val="clear" w:color="000000" w:fill="FFFFFF"/>
            <w:vAlign w:val="center"/>
          </w:tcPr>
          <w:p>
            <w:pPr>
              <w:widowControl/>
              <w:jc w:val="left"/>
              <w:rPr>
                <w:rFonts w:hint="eastAsia" w:ascii="幼圆" w:hAnsi="幼圆" w:eastAsia="幼圆" w:cs="幼圆"/>
                <w:color w:val="000000"/>
                <w:kern w:val="0"/>
                <w:sz w:val="24"/>
              </w:rPr>
            </w:pPr>
            <w:r>
              <w:rPr>
                <w:rFonts w:hint="eastAsia" w:ascii="幼圆" w:hAnsi="幼圆" w:eastAsia="幼圆" w:cs="幼圆"/>
                <w:color w:val="000000"/>
                <w:kern w:val="0"/>
                <w:sz w:val="24"/>
                <w:lang w:bidi="ar"/>
              </w:rPr>
              <w:t>响应文件未含有采购人不能接受的附加条件的；</w:t>
            </w:r>
          </w:p>
        </w:tc>
        <w:tc>
          <w:tcPr>
            <w:tcW w:w="1068"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1" w:type="pct"/>
            <w:shd w:val="clear" w:color="000000" w:fill="FFFFFF"/>
            <w:vAlign w:val="center"/>
          </w:tcPr>
          <w:p>
            <w:pPr>
              <w:widowControl/>
              <w:jc w:val="center"/>
              <w:rPr>
                <w:rFonts w:hint="eastAsia" w:ascii="幼圆" w:hAnsi="幼圆" w:eastAsia="幼圆" w:cs="幼圆"/>
                <w:color w:val="000000"/>
                <w:kern w:val="0"/>
                <w:sz w:val="24"/>
                <w:lang w:eastAsia="zh-CN"/>
              </w:rPr>
            </w:pPr>
            <w:r>
              <w:rPr>
                <w:rFonts w:hint="eastAsia" w:ascii="幼圆" w:hAnsi="幼圆" w:eastAsia="幼圆" w:cs="幼圆"/>
                <w:color w:val="000000"/>
                <w:kern w:val="0"/>
                <w:sz w:val="24"/>
                <w:lang w:val="en-US" w:eastAsia="zh-CN"/>
              </w:rPr>
              <w:t>7</w:t>
            </w:r>
          </w:p>
        </w:tc>
        <w:tc>
          <w:tcPr>
            <w:tcW w:w="921" w:type="pct"/>
            <w:shd w:val="clear" w:color="000000" w:fill="FFFFFF"/>
            <w:vAlign w:val="center"/>
          </w:tcPr>
          <w:p>
            <w:pPr>
              <w:spacing w:line="440" w:lineRule="exact"/>
              <w:jc w:val="center"/>
              <w:rPr>
                <w:rFonts w:hint="eastAsia" w:ascii="幼圆" w:hAnsi="幼圆" w:eastAsia="幼圆" w:cs="幼圆"/>
                <w:color w:val="000000"/>
                <w:kern w:val="0"/>
                <w:sz w:val="24"/>
              </w:rPr>
            </w:pPr>
            <w:r>
              <w:rPr>
                <w:rFonts w:hint="eastAsia" w:ascii="幼圆" w:hAnsi="幼圆" w:eastAsia="幼圆" w:cs="幼圆"/>
                <w:sz w:val="24"/>
              </w:rPr>
              <w:t>已标价工程量清单</w:t>
            </w:r>
          </w:p>
        </w:tc>
        <w:tc>
          <w:tcPr>
            <w:tcW w:w="2468" w:type="pct"/>
            <w:shd w:val="clear" w:color="000000" w:fill="FFFFFF"/>
            <w:vAlign w:val="center"/>
          </w:tcPr>
          <w:p>
            <w:pPr>
              <w:spacing w:before="78" w:beforeLines="25" w:after="78" w:afterLines="25"/>
              <w:rPr>
                <w:rFonts w:hint="eastAsia" w:ascii="幼圆" w:hAnsi="幼圆" w:eastAsia="幼圆" w:cs="幼圆"/>
                <w:color w:val="000000"/>
                <w:kern w:val="0"/>
                <w:sz w:val="24"/>
              </w:rPr>
            </w:pPr>
            <w:r>
              <w:rPr>
                <w:rFonts w:hint="eastAsia" w:ascii="幼圆" w:hAnsi="幼圆" w:eastAsia="幼圆" w:cs="幼圆"/>
                <w:sz w:val="24"/>
              </w:rPr>
              <w:t>符合“工程量清单”给出的子目编码、子目名称、子目特征、计量单位和工程量。（已标价工程量清单封面未签字盖章不作为无效响应的依据；已标价工程量清单中项目名称与招标文件不一致不作为无效响应的依据）</w:t>
            </w:r>
          </w:p>
        </w:tc>
        <w:tc>
          <w:tcPr>
            <w:tcW w:w="1068"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1" w:type="pct"/>
            <w:shd w:val="clear" w:color="000000" w:fill="FFFFFF"/>
            <w:vAlign w:val="center"/>
          </w:tcPr>
          <w:p>
            <w:pPr>
              <w:widowControl/>
              <w:jc w:val="center"/>
              <w:rPr>
                <w:rFonts w:hint="eastAsia" w:ascii="幼圆" w:hAnsi="幼圆" w:eastAsia="幼圆" w:cs="幼圆"/>
                <w:color w:val="000000"/>
                <w:kern w:val="0"/>
                <w:sz w:val="24"/>
                <w:lang w:eastAsia="zh-CN"/>
              </w:rPr>
            </w:pPr>
            <w:r>
              <w:rPr>
                <w:rFonts w:hint="eastAsia" w:ascii="幼圆" w:hAnsi="幼圆" w:eastAsia="幼圆" w:cs="幼圆"/>
                <w:color w:val="000000"/>
                <w:kern w:val="0"/>
                <w:sz w:val="24"/>
                <w:lang w:val="en-US" w:eastAsia="zh-CN"/>
              </w:rPr>
              <w:t>8</w:t>
            </w:r>
          </w:p>
        </w:tc>
        <w:tc>
          <w:tcPr>
            <w:tcW w:w="921"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rPr>
              <w:t>其它</w:t>
            </w:r>
          </w:p>
        </w:tc>
        <w:tc>
          <w:tcPr>
            <w:tcW w:w="2468" w:type="pct"/>
            <w:shd w:val="clear" w:color="000000" w:fill="FFFFFF"/>
            <w:vAlign w:val="center"/>
          </w:tcPr>
          <w:p>
            <w:pPr>
              <w:widowControl/>
              <w:jc w:val="left"/>
              <w:rPr>
                <w:rFonts w:hint="eastAsia" w:ascii="幼圆" w:hAnsi="幼圆" w:eastAsia="幼圆" w:cs="幼圆"/>
                <w:color w:val="000000"/>
                <w:kern w:val="0"/>
                <w:sz w:val="24"/>
              </w:rPr>
            </w:pPr>
            <w:r>
              <w:rPr>
                <w:rFonts w:hint="eastAsia" w:ascii="幼圆" w:hAnsi="幼圆" w:eastAsia="幼圆" w:cs="幼圆"/>
                <w:color w:val="000000" w:themeColor="text1"/>
                <w:sz w:val="24"/>
                <w14:textFill>
                  <w14:solidFill>
                    <w14:schemeClr w14:val="tx1"/>
                  </w14:solidFill>
                </w14:textFill>
              </w:rPr>
              <w:t>供应商、响应文件不存在不符合法律、法规和</w:t>
            </w:r>
            <w:r>
              <w:rPr>
                <w:rFonts w:hint="eastAsia" w:ascii="幼圆" w:hAnsi="幼圆" w:eastAsia="幼圆" w:cs="幼圆"/>
                <w:color w:val="000000" w:themeColor="text1"/>
                <w:sz w:val="24"/>
                <w:lang w:val="en-US" w:eastAsia="zh-CN"/>
                <w14:textFill>
                  <w14:solidFill>
                    <w14:schemeClr w14:val="tx1"/>
                  </w14:solidFill>
                </w14:textFill>
              </w:rPr>
              <w:t>遴选</w:t>
            </w:r>
            <w:r>
              <w:rPr>
                <w:rFonts w:hint="eastAsia" w:ascii="幼圆" w:hAnsi="幼圆" w:eastAsia="幼圆" w:cs="幼圆"/>
                <w:color w:val="000000" w:themeColor="text1"/>
                <w:sz w:val="24"/>
                <w14:textFill>
                  <w14:solidFill>
                    <w14:schemeClr w14:val="tx1"/>
                  </w14:solidFill>
                </w14:textFill>
              </w:rPr>
              <w:t>文件规定的其他无效情形。</w:t>
            </w:r>
          </w:p>
        </w:tc>
        <w:tc>
          <w:tcPr>
            <w:tcW w:w="1068" w:type="pct"/>
            <w:shd w:val="clear" w:color="000000" w:fill="FFFFFF"/>
            <w:vAlign w:val="center"/>
          </w:tcPr>
          <w:p>
            <w:pPr>
              <w:widowControl/>
              <w:jc w:val="center"/>
              <w:rPr>
                <w:rFonts w:hint="eastAsia" w:ascii="幼圆" w:hAnsi="幼圆" w:eastAsia="幼圆" w:cs="幼圆"/>
                <w:color w:val="000000"/>
                <w:kern w:val="0"/>
                <w:sz w:val="24"/>
              </w:rPr>
            </w:pPr>
            <w:r>
              <w:rPr>
                <w:rFonts w:hint="eastAsia" w:ascii="幼圆" w:hAnsi="幼圆" w:eastAsia="幼圆" w:cs="幼圆"/>
                <w:color w:val="000000"/>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59" w:type="dxa"/>
            <w:shd w:val="clear" w:color="000000" w:fill="FFFFFF"/>
            <w:vAlign w:val="center"/>
          </w:tcPr>
          <w:p>
            <w:pPr>
              <w:widowControl/>
              <w:jc w:val="center"/>
              <w:rPr>
                <w:rFonts w:hint="eastAsia" w:ascii="幼圆" w:hAnsi="幼圆" w:eastAsia="幼圆" w:cs="幼圆"/>
                <w:color w:val="FF0000"/>
                <w:kern w:val="0"/>
                <w:sz w:val="24"/>
                <w:lang w:val="en-US" w:eastAsia="zh-CN"/>
              </w:rPr>
            </w:pPr>
            <w:commentRangeStart w:id="4"/>
            <w:r>
              <w:rPr>
                <w:rFonts w:hint="eastAsia" w:eastAsia="幼圆"/>
                <w:color w:val="FF0000"/>
                <w:kern w:val="0"/>
                <w:sz w:val="24"/>
                <w:lang w:val="en-US" w:eastAsia="zh-CN"/>
              </w:rPr>
              <w:t>9</w:t>
            </w:r>
          </w:p>
        </w:tc>
        <w:tc>
          <w:tcPr>
            <w:tcW w:w="1632" w:type="dxa"/>
            <w:shd w:val="clear" w:color="000000" w:fill="FFFFFF"/>
            <w:vAlign w:val="center"/>
          </w:tcPr>
          <w:p>
            <w:pPr>
              <w:widowControl/>
              <w:jc w:val="center"/>
              <w:rPr>
                <w:rFonts w:hint="eastAsia" w:ascii="幼圆" w:hAnsi="幼圆" w:eastAsia="幼圆" w:cs="幼圆"/>
                <w:color w:val="FF0000"/>
                <w:kern w:val="0"/>
                <w:sz w:val="24"/>
              </w:rPr>
            </w:pPr>
            <w:r>
              <w:rPr>
                <w:color w:val="FF0000"/>
                <w:kern w:val="0"/>
                <w:sz w:val="24"/>
              </w:rPr>
              <w:t>★号条款响应</w:t>
            </w:r>
          </w:p>
        </w:tc>
        <w:tc>
          <w:tcPr>
            <w:tcW w:w="4373" w:type="dxa"/>
            <w:shd w:val="clear" w:color="000000" w:fill="FFFFFF"/>
            <w:vAlign w:val="center"/>
          </w:tcPr>
          <w:p>
            <w:pPr>
              <w:widowControl/>
              <w:jc w:val="left"/>
              <w:rPr>
                <w:rFonts w:hint="eastAsia" w:ascii="幼圆" w:hAnsi="幼圆" w:eastAsia="幼圆" w:cs="幼圆"/>
                <w:color w:val="FF0000"/>
                <w:sz w:val="24"/>
              </w:rPr>
            </w:pPr>
            <w:r>
              <w:rPr>
                <w:color w:val="FF0000"/>
                <w:sz w:val="24"/>
              </w:rPr>
              <w:t>响应文件满足</w:t>
            </w:r>
            <w:r>
              <w:rPr>
                <w:rFonts w:hint="eastAsia"/>
                <w:color w:val="FF0000"/>
                <w:sz w:val="24"/>
                <w:lang w:val="en-US" w:eastAsia="zh-CN"/>
              </w:rPr>
              <w:t>遴选</w:t>
            </w:r>
            <w:r>
              <w:rPr>
                <w:color w:val="FF0000"/>
                <w:sz w:val="24"/>
              </w:rPr>
              <w:t>文件</w:t>
            </w:r>
            <w:r>
              <w:rPr>
                <w:rFonts w:hint="eastAsia"/>
                <w:color w:val="FF0000"/>
                <w:sz w:val="24"/>
              </w:rPr>
              <w:t>【技术要求及评审办法】</w:t>
            </w:r>
            <w:r>
              <w:rPr>
                <w:color w:val="FF0000"/>
                <w:sz w:val="24"/>
              </w:rPr>
              <w:t>《</w:t>
            </w:r>
            <w:r>
              <w:rPr>
                <w:rFonts w:hint="eastAsia"/>
                <w:color w:val="FF0000"/>
                <w:sz w:val="24"/>
              </w:rPr>
              <w:t>五、 主要技术参数要求</w:t>
            </w:r>
            <w:r>
              <w:rPr>
                <w:color w:val="FF0000"/>
                <w:sz w:val="24"/>
              </w:rPr>
              <w:t>》中</w:t>
            </w:r>
            <w:r>
              <w:rPr>
                <w:color w:val="FF0000"/>
                <w:kern w:val="0"/>
                <w:sz w:val="24"/>
              </w:rPr>
              <w:t>★号条款要求的；</w:t>
            </w:r>
          </w:p>
        </w:tc>
        <w:tc>
          <w:tcPr>
            <w:tcW w:w="1892" w:type="dxa"/>
            <w:shd w:val="clear" w:color="000000" w:fill="FFFFFF"/>
            <w:vAlign w:val="center"/>
          </w:tcPr>
          <w:p>
            <w:pPr>
              <w:widowControl/>
              <w:jc w:val="center"/>
              <w:rPr>
                <w:rFonts w:hint="eastAsia" w:ascii="幼圆" w:hAnsi="幼圆" w:eastAsia="幼圆" w:cs="幼圆"/>
                <w:color w:val="FF0000"/>
                <w:kern w:val="0"/>
                <w:sz w:val="24"/>
              </w:rPr>
            </w:pPr>
            <w:r>
              <w:rPr>
                <w:color w:val="FF0000"/>
                <w:kern w:val="0"/>
                <w:sz w:val="24"/>
              </w:rPr>
              <w:t>否</w:t>
            </w:r>
            <w:commentRangeEnd w:id="4"/>
            <w:r>
              <w:commentReference w:id="4"/>
            </w:r>
          </w:p>
        </w:tc>
      </w:tr>
    </w:tbl>
    <w:p>
      <w:pPr>
        <w:numPr>
          <w:ilvl w:val="0"/>
          <w:numId w:val="0"/>
        </w:numPr>
        <w:tabs>
          <w:tab w:val="left" w:pos="1080"/>
        </w:tabs>
        <w:snapToGrid w:val="0"/>
        <w:spacing w:line="360" w:lineRule="auto"/>
        <w:ind w:left="357" w:leftChars="0"/>
        <w:rPr>
          <w:rFonts w:hint="eastAsia" w:ascii="幼圆" w:hAnsi="幼圆" w:eastAsia="幼圆" w:cs="幼圆"/>
          <w:b/>
          <w:bCs/>
          <w:color w:val="FF0000"/>
          <w:sz w:val="32"/>
          <w:szCs w:val="28"/>
          <w:lang w:val="en-US" w:eastAsia="zh-CN"/>
        </w:rPr>
      </w:pPr>
    </w:p>
    <w:p>
      <w:pPr>
        <w:numPr>
          <w:ilvl w:val="0"/>
          <w:numId w:val="0"/>
        </w:numPr>
        <w:tabs>
          <w:tab w:val="left" w:pos="1080"/>
        </w:tabs>
        <w:snapToGrid w:val="0"/>
        <w:spacing w:line="360" w:lineRule="auto"/>
        <w:ind w:left="357" w:leftChars="0"/>
        <w:rPr>
          <w:rFonts w:hint="eastAsia" w:ascii="幼圆" w:hAnsi="幼圆" w:eastAsia="幼圆" w:cs="幼圆"/>
          <w:b/>
          <w:bCs/>
          <w:color w:val="FF0000"/>
          <w:sz w:val="32"/>
          <w:szCs w:val="28"/>
          <w:lang w:val="en-US" w:eastAsia="zh-CN"/>
        </w:rPr>
      </w:pPr>
      <w:r>
        <w:rPr>
          <w:rFonts w:hint="eastAsia" w:ascii="幼圆" w:hAnsi="幼圆" w:eastAsia="幼圆" w:cs="幼圆"/>
          <w:b/>
          <w:bCs/>
          <w:color w:val="FF0000"/>
          <w:sz w:val="32"/>
          <w:szCs w:val="28"/>
          <w:lang w:val="en-US" w:eastAsia="zh-CN"/>
        </w:rPr>
        <w:t>1.5现场遴选和最后报价</w:t>
      </w:r>
      <w:bookmarkStart w:id="13" w:name="_GoBack"/>
      <w:bookmarkEnd w:id="13"/>
    </w:p>
    <w:p>
      <w:pPr>
        <w:numPr>
          <w:ilvl w:val="0"/>
          <w:numId w:val="0"/>
        </w:numPr>
        <w:tabs>
          <w:tab w:val="left" w:pos="1080"/>
        </w:tabs>
        <w:snapToGrid w:val="0"/>
        <w:spacing w:line="360" w:lineRule="auto"/>
        <w:rPr>
          <w:rFonts w:hint="eastAsia" w:ascii="幼圆" w:hAnsi="幼圆" w:eastAsia="幼圆" w:cs="幼圆"/>
          <w:b/>
          <w:bCs/>
          <w:color w:val="FF0000"/>
          <w:sz w:val="28"/>
          <w:szCs w:val="28"/>
          <w:lang w:eastAsia="zh-CN"/>
        </w:rPr>
      </w:pPr>
      <w:r>
        <w:rPr>
          <w:rFonts w:hint="eastAsia" w:ascii="幼圆" w:hAnsi="幼圆" w:eastAsia="幼圆" w:cs="幼圆"/>
          <w:sz w:val="24"/>
          <w:lang w:val="en-US" w:eastAsia="zh-CN"/>
        </w:rPr>
        <w:t>评审</w:t>
      </w:r>
      <w:r>
        <w:rPr>
          <w:rFonts w:hint="eastAsia" w:ascii="幼圆" w:hAnsi="幼圆" w:eastAsia="幼圆" w:cs="幼圆"/>
          <w:sz w:val="24"/>
        </w:rPr>
        <w:t>小组所有成员将集中与单一供应商分别进行</w:t>
      </w:r>
      <w:r>
        <w:rPr>
          <w:rFonts w:hint="eastAsia" w:ascii="幼圆" w:hAnsi="幼圆" w:eastAsia="幼圆" w:cs="幼圆"/>
          <w:sz w:val="24"/>
          <w:lang w:val="en-US" w:eastAsia="zh-CN"/>
        </w:rPr>
        <w:t>遴选遴选谈判</w:t>
      </w:r>
      <w:r>
        <w:rPr>
          <w:rFonts w:hint="eastAsia" w:ascii="幼圆" w:hAnsi="幼圆" w:eastAsia="幼圆" w:cs="幼圆"/>
          <w:sz w:val="24"/>
        </w:rPr>
        <w:t>，并给予所有参加</w:t>
      </w:r>
      <w:r>
        <w:rPr>
          <w:rFonts w:hint="eastAsia" w:ascii="幼圆" w:hAnsi="幼圆" w:eastAsia="幼圆" w:cs="幼圆"/>
          <w:sz w:val="24"/>
          <w:lang w:val="en-US" w:eastAsia="zh-CN"/>
        </w:rPr>
        <w:t>遴选</w:t>
      </w:r>
      <w:r>
        <w:rPr>
          <w:rFonts w:hint="eastAsia" w:ascii="幼圆" w:hAnsi="幼圆" w:eastAsia="幼圆" w:cs="幼圆"/>
          <w:sz w:val="24"/>
        </w:rPr>
        <w:t>的供应商平等的</w:t>
      </w:r>
      <w:r>
        <w:rPr>
          <w:rFonts w:hint="eastAsia" w:ascii="幼圆" w:hAnsi="幼圆" w:eastAsia="幼圆" w:cs="幼圆"/>
          <w:sz w:val="24"/>
          <w:lang w:val="en-US" w:eastAsia="zh-CN"/>
        </w:rPr>
        <w:t>遴选谈判</w:t>
      </w:r>
      <w:r>
        <w:rPr>
          <w:rFonts w:hint="eastAsia" w:ascii="幼圆" w:hAnsi="幼圆" w:eastAsia="幼圆" w:cs="幼圆"/>
          <w:sz w:val="24"/>
        </w:rPr>
        <w:t>机会。</w:t>
      </w:r>
      <w:r>
        <w:rPr>
          <w:rFonts w:hint="eastAsia" w:ascii="幼圆" w:hAnsi="幼圆" w:eastAsia="幼圆" w:cs="幼圆"/>
          <w:sz w:val="24"/>
          <w:lang w:val="en-US" w:eastAsia="zh-CN"/>
        </w:rPr>
        <w:t>遴选谈判结束后，评审小组应当要求所有实质性响应的供应商在规定时间内提交最后报价，提交最后报价的供应商不得少于3家。</w:t>
      </w:r>
      <w:r>
        <w:rPr>
          <w:rFonts w:hint="eastAsia" w:ascii="幼圆" w:hAnsi="幼圆" w:eastAsia="幼圆" w:cs="幼圆"/>
          <w:b w:val="0"/>
          <w:bCs w:val="0"/>
          <w:color w:val="auto"/>
          <w:sz w:val="24"/>
          <w:szCs w:val="22"/>
          <w:lang w:val="en-US" w:eastAsia="zh-CN" w:bidi="ar-SA"/>
        </w:rPr>
        <w:t>最后报价是供应商响应文件的有效组成部分。</w:t>
      </w:r>
      <w:r>
        <w:rPr>
          <w:rFonts w:hint="eastAsia" w:ascii="幼圆" w:hAnsi="幼圆" w:eastAsia="幼圆" w:cs="幼圆"/>
          <w:b/>
          <w:bCs/>
          <w:sz w:val="24"/>
          <w:szCs w:val="20"/>
        </w:rPr>
        <w:br w:type="page"/>
      </w:r>
      <w:r>
        <w:rPr>
          <w:rFonts w:hint="eastAsia" w:ascii="幼圆" w:hAnsi="幼圆" w:eastAsia="幼圆" w:cs="幼圆"/>
          <w:b/>
          <w:bCs/>
          <w:sz w:val="28"/>
          <w:szCs w:val="21"/>
          <w:lang w:eastAsia="zh-CN"/>
        </w:rPr>
        <w:t>（</w:t>
      </w:r>
      <w:r>
        <w:rPr>
          <w:rFonts w:hint="eastAsia" w:ascii="幼圆" w:hAnsi="幼圆" w:eastAsia="幼圆" w:cs="幼圆"/>
          <w:b/>
          <w:bCs/>
          <w:sz w:val="28"/>
          <w:szCs w:val="21"/>
          <w:lang w:val="en-US" w:eastAsia="zh-CN"/>
        </w:rPr>
        <w:t>二</w:t>
      </w:r>
      <w:r>
        <w:rPr>
          <w:rFonts w:hint="eastAsia" w:ascii="幼圆" w:hAnsi="幼圆" w:eastAsia="幼圆" w:cs="幼圆"/>
          <w:b/>
          <w:bCs/>
          <w:sz w:val="28"/>
          <w:szCs w:val="21"/>
          <w:lang w:eastAsia="zh-CN"/>
        </w:rPr>
        <w:t>）</w:t>
      </w:r>
      <w:r>
        <w:rPr>
          <w:rFonts w:hint="eastAsia" w:ascii="幼圆" w:hAnsi="幼圆" w:eastAsia="幼圆" w:cs="幼圆"/>
          <w:b/>
          <w:bCs/>
          <w:sz w:val="28"/>
          <w:szCs w:val="28"/>
        </w:rPr>
        <w:t>评审标准</w:t>
      </w:r>
    </w:p>
    <w:p>
      <w:pPr>
        <w:numPr>
          <w:ilvl w:val="0"/>
          <w:numId w:val="0"/>
        </w:numPr>
        <w:tabs>
          <w:tab w:val="left" w:pos="1080"/>
        </w:tabs>
        <w:snapToGrid w:val="0"/>
        <w:spacing w:line="360" w:lineRule="auto"/>
        <w:rPr>
          <w:rFonts w:hint="eastAsia" w:ascii="幼圆" w:hAnsi="幼圆" w:eastAsia="幼圆" w:cs="幼圆"/>
          <w:b/>
          <w:bCs/>
          <w:color w:val="FF0000"/>
          <w:sz w:val="28"/>
          <w:szCs w:val="28"/>
          <w:lang w:val="en-US" w:eastAsia="zh-CN"/>
        </w:rPr>
      </w:pPr>
      <w:r>
        <w:rPr>
          <w:rFonts w:hint="eastAsia" w:ascii="幼圆" w:hAnsi="幼圆" w:eastAsia="幼圆" w:cs="幼圆"/>
          <w:b/>
          <w:bCs/>
          <w:color w:val="FF0000"/>
          <w:sz w:val="28"/>
          <w:szCs w:val="28"/>
          <w:lang w:val="en-US" w:eastAsia="zh-CN"/>
        </w:rPr>
        <w:t>本项目采用的评审方法为：综合评分法。</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4"/>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33"/>
        <w:gridCol w:w="2355"/>
        <w:gridCol w:w="1005"/>
        <w:gridCol w:w="43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napToGrid w:val="0"/>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序号</w:t>
            </w:r>
          </w:p>
        </w:tc>
        <w:tc>
          <w:tcPr>
            <w:tcW w:w="1354" w:type="pct"/>
            <w:noWrap w:val="0"/>
            <w:vAlign w:val="center"/>
          </w:tcPr>
          <w:p>
            <w:pPr>
              <w:snapToGrid w:val="0"/>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c>
          <w:tcPr>
            <w:tcW w:w="578"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30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8" w:type="pct"/>
            <w:noWrap w:val="0"/>
            <w:vAlign w:val="center"/>
          </w:tcPr>
          <w:p>
            <w:pPr>
              <w:spacing w:after="0" w:line="360" w:lineRule="auto"/>
              <w:ind w:left="113"/>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15</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8" w:type="pct"/>
            <w:noWrap w:val="0"/>
            <w:vAlign w:val="center"/>
          </w:tcPr>
          <w:p>
            <w:pPr>
              <w:spacing w:after="0" w:line="360" w:lineRule="auto"/>
              <w:ind w:left="113"/>
              <w:jc w:val="center"/>
              <w:rPr>
                <w:rFonts w:hint="eastAsia" w:ascii="幼圆" w:hAnsi="幼圆" w:eastAsia="幼圆" w:cs="幼圆"/>
                <w:sz w:val="24"/>
                <w:szCs w:val="20"/>
                <w:lang w:val="en-US" w:eastAsia="zh-CN"/>
              </w:rPr>
            </w:pPr>
            <w:r>
              <w:rPr>
                <w:rFonts w:hint="eastAsia" w:ascii="幼圆" w:hAnsi="幼圆" w:eastAsia="幼圆" w:cs="幼圆"/>
                <w:sz w:val="24"/>
                <w:szCs w:val="20"/>
                <w:lang w:val="en-US" w:eastAsia="zh-CN"/>
              </w:rPr>
              <w:t>55</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2.评分标准</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185"/>
        <w:gridCol w:w="797"/>
        <w:gridCol w:w="5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72" w:type="dxa"/>
            <w:vAlign w:val="center"/>
          </w:tcPr>
          <w:p>
            <w:pPr>
              <w:pStyle w:val="15"/>
              <w:ind w:firstLine="0"/>
              <w:jc w:val="center"/>
              <w:rPr>
                <w:rFonts w:hint="eastAsia" w:ascii="幼圆" w:hAnsi="幼圆" w:eastAsia="幼圆" w:cs="幼圆"/>
              </w:rPr>
            </w:pPr>
            <w:r>
              <w:rPr>
                <w:rFonts w:hint="eastAsia" w:ascii="幼圆" w:hAnsi="幼圆" w:eastAsia="幼圆" w:cs="幼圆"/>
                <w:b/>
              </w:rPr>
              <w:t>项目</w:t>
            </w:r>
          </w:p>
        </w:tc>
        <w:tc>
          <w:tcPr>
            <w:tcW w:w="1185" w:type="dxa"/>
            <w:vAlign w:val="center"/>
          </w:tcPr>
          <w:p>
            <w:pPr>
              <w:pStyle w:val="15"/>
              <w:ind w:firstLine="0"/>
              <w:jc w:val="center"/>
              <w:rPr>
                <w:rFonts w:hint="eastAsia" w:ascii="幼圆" w:hAnsi="幼圆" w:eastAsia="幼圆" w:cs="幼圆"/>
              </w:rPr>
            </w:pPr>
            <w:r>
              <w:rPr>
                <w:rFonts w:hint="eastAsia" w:ascii="幼圆" w:hAnsi="幼圆" w:eastAsia="幼圆" w:cs="幼圆"/>
                <w:b/>
              </w:rPr>
              <w:t>评分因素</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b/>
              </w:rPr>
              <w:t>分值</w:t>
            </w:r>
          </w:p>
        </w:tc>
        <w:tc>
          <w:tcPr>
            <w:tcW w:w="5702" w:type="dxa"/>
            <w:vAlign w:val="center"/>
          </w:tcPr>
          <w:p>
            <w:pPr>
              <w:pStyle w:val="15"/>
              <w:ind w:firstLine="0"/>
              <w:jc w:val="center"/>
              <w:rPr>
                <w:rFonts w:hint="eastAsia" w:ascii="幼圆" w:hAnsi="幼圆" w:eastAsia="幼圆" w:cs="幼圆"/>
              </w:rPr>
            </w:pPr>
            <w:r>
              <w:rPr>
                <w:rFonts w:hint="eastAsia" w:ascii="幼圆" w:hAnsi="幼圆" w:eastAsia="幼圆" w:cs="幼圆"/>
                <w:b/>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2" w:type="dxa"/>
            <w:vAlign w:val="center"/>
          </w:tcPr>
          <w:p>
            <w:pPr>
              <w:pStyle w:val="15"/>
              <w:ind w:firstLine="0"/>
              <w:jc w:val="center"/>
              <w:rPr>
                <w:rFonts w:hint="eastAsia" w:ascii="幼圆" w:hAnsi="幼圆" w:eastAsia="幼圆" w:cs="幼圆"/>
                <w:bCs/>
              </w:rPr>
            </w:pPr>
            <w:r>
              <w:rPr>
                <w:rFonts w:hint="eastAsia" w:ascii="幼圆" w:hAnsi="幼圆" w:eastAsia="幼圆" w:cs="幼圆"/>
                <w:bCs/>
              </w:rPr>
              <w:t>价格部分</w:t>
            </w:r>
          </w:p>
          <w:p>
            <w:pPr>
              <w:pStyle w:val="15"/>
              <w:ind w:firstLine="0"/>
              <w:jc w:val="center"/>
              <w:rPr>
                <w:rFonts w:hint="eastAsia" w:ascii="幼圆" w:hAnsi="幼圆" w:eastAsia="幼圆" w:cs="幼圆"/>
              </w:rPr>
            </w:pPr>
            <w:r>
              <w:rPr>
                <w:rFonts w:hint="eastAsia" w:ascii="幼圆" w:hAnsi="幼圆" w:eastAsia="幼圆" w:cs="幼圆"/>
                <w:bCs/>
              </w:rPr>
              <w:t>（30分）</w:t>
            </w:r>
          </w:p>
        </w:tc>
        <w:tc>
          <w:tcPr>
            <w:tcW w:w="1185" w:type="dxa"/>
            <w:vAlign w:val="center"/>
          </w:tcPr>
          <w:p>
            <w:pPr>
              <w:pStyle w:val="15"/>
              <w:ind w:firstLine="0"/>
              <w:jc w:val="center"/>
              <w:rPr>
                <w:rFonts w:hint="eastAsia" w:ascii="幼圆" w:hAnsi="幼圆" w:eastAsia="幼圆" w:cs="幼圆"/>
              </w:rPr>
            </w:pPr>
            <w:r>
              <w:rPr>
                <w:rFonts w:hint="eastAsia" w:ascii="幼圆" w:hAnsi="幼圆" w:eastAsia="幼圆" w:cs="幼圆"/>
              </w:rPr>
              <w:t>报价</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30分</w:t>
            </w:r>
          </w:p>
        </w:tc>
        <w:tc>
          <w:tcPr>
            <w:tcW w:w="5702" w:type="dxa"/>
            <w:vAlign w:val="center"/>
          </w:tcPr>
          <w:p>
            <w:pPr>
              <w:pStyle w:val="15"/>
              <w:ind w:firstLine="0"/>
              <w:rPr>
                <w:rFonts w:hint="eastAsia" w:ascii="幼圆" w:hAnsi="幼圆" w:eastAsia="幼圆" w:cs="幼圆"/>
                <w:sz w:val="24"/>
              </w:rPr>
            </w:pPr>
            <w:r>
              <w:rPr>
                <w:rFonts w:hint="eastAsia" w:ascii="幼圆" w:hAnsi="幼圆" w:eastAsia="幼圆" w:cs="幼圆"/>
                <w:sz w:val="24"/>
              </w:rPr>
              <w:t>价格分数=（评审基准价/响应报价）×价格权重（30%）×100 （注：实质性响应招标文件要求且响应报价最低的投标报价为评审基准价）</w:t>
            </w:r>
          </w:p>
          <w:p>
            <w:pPr>
              <w:pStyle w:val="15"/>
              <w:ind w:firstLine="0"/>
              <w:rPr>
                <w:rFonts w:hint="eastAsia" w:ascii="幼圆" w:hAnsi="幼圆" w:eastAsia="幼圆" w:cs="幼圆"/>
              </w:rPr>
            </w:pPr>
            <w:r>
              <w:rPr>
                <w:rFonts w:hint="eastAsia" w:ascii="幼圆" w:hAnsi="幼圆" w:eastAsia="幼圆" w:cs="幼圆"/>
                <w:sz w:val="24"/>
              </w:rPr>
              <w:t>价格分数保留两位小数。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72" w:type="dxa"/>
            <w:vMerge w:val="restart"/>
            <w:vAlign w:val="center"/>
          </w:tcPr>
          <w:p>
            <w:pPr>
              <w:pStyle w:val="15"/>
              <w:ind w:firstLine="0"/>
              <w:jc w:val="center"/>
              <w:rPr>
                <w:rFonts w:hint="eastAsia" w:ascii="幼圆" w:hAnsi="幼圆" w:eastAsia="幼圆" w:cs="幼圆"/>
              </w:rPr>
            </w:pPr>
            <w:r>
              <w:rPr>
                <w:rFonts w:hint="eastAsia" w:ascii="幼圆" w:hAnsi="幼圆" w:eastAsia="幼圆" w:cs="幼圆"/>
                <w:bCs/>
              </w:rPr>
              <w:t>商务部分（15分）</w:t>
            </w:r>
          </w:p>
        </w:tc>
        <w:tc>
          <w:tcPr>
            <w:tcW w:w="1185" w:type="dxa"/>
            <w:vAlign w:val="center"/>
          </w:tcPr>
          <w:p>
            <w:pPr>
              <w:pStyle w:val="15"/>
              <w:ind w:firstLine="0"/>
              <w:jc w:val="center"/>
              <w:rPr>
                <w:rFonts w:hint="eastAsia" w:ascii="幼圆" w:hAnsi="幼圆" w:eastAsia="幼圆" w:cs="幼圆"/>
              </w:rPr>
            </w:pPr>
            <w:r>
              <w:rPr>
                <w:rFonts w:hint="eastAsia" w:ascii="幼圆" w:hAnsi="幼圆" w:eastAsia="幼圆" w:cs="幼圆"/>
                <w:bCs/>
              </w:rPr>
              <w:t>企业近三年业绩</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9分</w:t>
            </w:r>
          </w:p>
        </w:tc>
        <w:tc>
          <w:tcPr>
            <w:tcW w:w="5702" w:type="dxa"/>
            <w:vAlign w:val="center"/>
          </w:tcPr>
          <w:p>
            <w:pPr>
              <w:pStyle w:val="15"/>
              <w:ind w:firstLine="0"/>
              <w:rPr>
                <w:rFonts w:hint="eastAsia" w:ascii="幼圆" w:hAnsi="幼圆" w:eastAsia="幼圆" w:cs="幼圆"/>
              </w:rPr>
            </w:pPr>
            <w:r>
              <w:rPr>
                <w:rFonts w:hint="eastAsia" w:ascii="幼圆" w:hAnsi="幼圆" w:eastAsia="幼圆" w:cs="幼圆"/>
              </w:rPr>
              <w:t>需提供近三年（响应文件递交截止时间前3年，以合同签订时间为准）已完成的类似工程业绩，每提供一份得3分，最高得9分。需提供合同复印件（包含合同首页、合同主要内容页及签字盖章页）及工程竣工验收证明材料（即工程竣工验收备案登记表或单位工程质量竣工验收记录等）复印件并加盖供应商公章。未按要求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72" w:type="dxa"/>
            <w:vMerge w:val="continue"/>
            <w:vAlign w:val="center"/>
          </w:tcPr>
          <w:p>
            <w:pPr>
              <w:pStyle w:val="15"/>
              <w:ind w:firstLine="0"/>
              <w:jc w:val="center"/>
              <w:rPr>
                <w:rFonts w:hint="eastAsia" w:ascii="幼圆" w:hAnsi="幼圆" w:eastAsia="幼圆" w:cs="幼圆"/>
              </w:rPr>
            </w:pPr>
          </w:p>
        </w:tc>
        <w:tc>
          <w:tcPr>
            <w:tcW w:w="1185" w:type="dxa"/>
            <w:vMerge w:val="restart"/>
            <w:vAlign w:val="center"/>
          </w:tcPr>
          <w:p>
            <w:pPr>
              <w:pStyle w:val="15"/>
              <w:ind w:firstLine="0"/>
              <w:jc w:val="center"/>
              <w:rPr>
                <w:rFonts w:hint="eastAsia" w:ascii="幼圆" w:hAnsi="幼圆" w:eastAsia="幼圆" w:cs="幼圆"/>
                <w:bCs/>
              </w:rPr>
            </w:pPr>
            <w:r>
              <w:rPr>
                <w:rFonts w:hint="eastAsia" w:ascii="幼圆" w:hAnsi="幼圆" w:eastAsia="幼圆" w:cs="幼圆"/>
                <w:bCs/>
              </w:rPr>
              <w:t>项目经理</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2分</w:t>
            </w:r>
          </w:p>
        </w:tc>
        <w:tc>
          <w:tcPr>
            <w:tcW w:w="5702" w:type="dxa"/>
            <w:vAlign w:val="center"/>
          </w:tcPr>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bCs/>
                <w:sz w:val="24"/>
              </w:rPr>
              <w:t>项目经理职称：</w:t>
            </w:r>
          </w:p>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具备高级专业技术职称，得2分；</w:t>
            </w:r>
          </w:p>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具备中级专业技术职称，得1分；</w:t>
            </w:r>
          </w:p>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无专业技术职称，得0分。</w:t>
            </w:r>
          </w:p>
          <w:p>
            <w:pPr>
              <w:pStyle w:val="15"/>
              <w:ind w:firstLine="0"/>
              <w:rPr>
                <w:rFonts w:hint="eastAsia" w:ascii="幼圆" w:hAnsi="幼圆" w:eastAsia="幼圆" w:cs="幼圆"/>
              </w:rPr>
            </w:pPr>
            <w:r>
              <w:rPr>
                <w:rFonts w:hint="eastAsia" w:ascii="幼圆" w:hAnsi="幼圆" w:eastAsia="幼圆" w:cs="幼圆"/>
              </w:rPr>
              <w:t>需提供职称证书复印件并加盖供应商公章。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72" w:type="dxa"/>
            <w:vMerge w:val="continue"/>
            <w:vAlign w:val="center"/>
          </w:tcPr>
          <w:p>
            <w:pPr>
              <w:pStyle w:val="15"/>
              <w:ind w:firstLine="0"/>
              <w:jc w:val="center"/>
              <w:rPr>
                <w:rFonts w:hint="eastAsia" w:ascii="幼圆" w:hAnsi="幼圆" w:eastAsia="幼圆" w:cs="幼圆"/>
              </w:rPr>
            </w:pPr>
          </w:p>
        </w:tc>
        <w:tc>
          <w:tcPr>
            <w:tcW w:w="1185" w:type="dxa"/>
            <w:vMerge w:val="continue"/>
            <w:vAlign w:val="center"/>
          </w:tcPr>
          <w:p>
            <w:pPr>
              <w:pStyle w:val="15"/>
              <w:ind w:firstLine="0"/>
              <w:jc w:val="center"/>
              <w:rPr>
                <w:rFonts w:hint="eastAsia" w:ascii="幼圆" w:hAnsi="幼圆" w:eastAsia="幼圆" w:cs="幼圆"/>
              </w:rPr>
            </w:pP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4分</w:t>
            </w:r>
          </w:p>
        </w:tc>
        <w:tc>
          <w:tcPr>
            <w:tcW w:w="5702" w:type="dxa"/>
            <w:vAlign w:val="center"/>
          </w:tcPr>
          <w:p>
            <w:pPr>
              <w:pStyle w:val="15"/>
              <w:ind w:firstLine="0"/>
              <w:rPr>
                <w:rFonts w:hint="eastAsia" w:ascii="幼圆" w:hAnsi="幼圆" w:eastAsia="幼圆" w:cs="幼圆"/>
              </w:rPr>
            </w:pPr>
            <w:r>
              <w:rPr>
                <w:rFonts w:hint="eastAsia" w:ascii="幼圆" w:hAnsi="幼圆" w:eastAsia="幼圆" w:cs="幼圆"/>
                <w:bCs/>
              </w:rPr>
              <w:t>项目经理业绩：</w:t>
            </w:r>
          </w:p>
          <w:p>
            <w:pPr>
              <w:pStyle w:val="15"/>
              <w:ind w:firstLine="0"/>
              <w:rPr>
                <w:rFonts w:hint="eastAsia" w:ascii="幼圆" w:hAnsi="幼圆" w:eastAsia="幼圆" w:cs="幼圆"/>
              </w:rPr>
            </w:pPr>
            <w:r>
              <w:rPr>
                <w:rFonts w:hint="eastAsia" w:ascii="幼圆" w:hAnsi="幼圆" w:eastAsia="幼圆" w:cs="幼圆"/>
              </w:rPr>
              <w:t>需提供项目经理身份主持的已完成的类似工程业绩，每提供一份得2分，最高得4分。需提供合同复印件（包含合同首页、合同主要内容页及签字盖章页）及工程竣工验收证明材料（即工程竣工验收备案登记表或单位工程质量竣工验收记录等）复印件并加盖供应商公章。未按要求提供，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72" w:type="dxa"/>
            <w:vMerge w:val="restart"/>
            <w:vAlign w:val="center"/>
          </w:tcPr>
          <w:p>
            <w:pPr>
              <w:pStyle w:val="15"/>
              <w:ind w:firstLine="0"/>
              <w:jc w:val="center"/>
              <w:rPr>
                <w:rFonts w:hint="eastAsia" w:ascii="幼圆" w:hAnsi="幼圆" w:eastAsia="幼圆" w:cs="幼圆"/>
              </w:rPr>
            </w:pPr>
            <w:r>
              <w:rPr>
                <w:rFonts w:hint="eastAsia" w:ascii="幼圆" w:hAnsi="幼圆" w:eastAsia="幼圆" w:cs="幼圆"/>
                <w:bCs/>
              </w:rPr>
              <w:t>技术部分（55分）</w:t>
            </w:r>
          </w:p>
        </w:tc>
        <w:tc>
          <w:tcPr>
            <w:tcW w:w="1185" w:type="dxa"/>
            <w:vAlign w:val="center"/>
          </w:tcPr>
          <w:p>
            <w:pPr>
              <w:pStyle w:val="15"/>
              <w:ind w:firstLine="0"/>
              <w:jc w:val="center"/>
              <w:rPr>
                <w:rFonts w:hint="eastAsia" w:ascii="幼圆" w:hAnsi="幼圆" w:eastAsia="幼圆" w:cs="幼圆"/>
                <w:bCs/>
              </w:rPr>
            </w:pPr>
            <w:r>
              <w:rPr>
                <w:rFonts w:hint="eastAsia" w:ascii="幼圆" w:hAnsi="幼圆" w:eastAsia="幼圆" w:cs="幼圆"/>
              </w:rPr>
              <w:t>施工方案与技术措施</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10分</w:t>
            </w:r>
          </w:p>
        </w:tc>
        <w:tc>
          <w:tcPr>
            <w:tcW w:w="5702" w:type="dxa"/>
            <w:vAlign w:val="center"/>
          </w:tcPr>
          <w:p>
            <w:pPr>
              <w:spacing w:line="276" w:lineRule="auto"/>
              <w:ind w:right="150" w:rightChars="68"/>
              <w:rPr>
                <w:rFonts w:hint="eastAsia" w:ascii="幼圆" w:hAnsi="幼圆" w:eastAsia="幼圆" w:cs="幼圆"/>
                <w:sz w:val="24"/>
              </w:rPr>
            </w:pPr>
            <w:r>
              <w:rPr>
                <w:rFonts w:hint="eastAsia" w:ascii="幼圆" w:hAnsi="幼圆" w:eastAsia="幼圆" w:cs="幼圆"/>
                <w:sz w:val="24"/>
              </w:rPr>
              <w:t>施工方案与技术措施内容全面、科学、可行、针对性强，有完善的建设规划，得10分；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施工方案与技术措施内容较全面、较合理、较可行、细节待完善，得7分；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施工方案与技术措施内容不够全面、不够合理、不够可行、细节不够完善，得4分；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施工方案与技术措施内容不全面、不合理、不可行、细节不完善，得1分；</w:t>
            </w:r>
          </w:p>
          <w:p>
            <w:pPr>
              <w:pStyle w:val="15"/>
              <w:ind w:firstLine="0"/>
              <w:rPr>
                <w:rFonts w:hint="eastAsia" w:ascii="幼圆" w:hAnsi="幼圆" w:eastAsia="幼圆" w:cs="幼圆"/>
              </w:rPr>
            </w:pPr>
            <w:r>
              <w:rPr>
                <w:rFonts w:hint="eastAsia" w:ascii="幼圆" w:hAnsi="幼圆" w:eastAsia="幼圆" w:cs="幼圆"/>
              </w:rPr>
              <w:t>未提供施工方案与技术措施，得0分。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72" w:type="dxa"/>
            <w:vMerge w:val="continue"/>
            <w:vAlign w:val="center"/>
          </w:tcPr>
          <w:p>
            <w:pPr>
              <w:pStyle w:val="15"/>
              <w:ind w:firstLine="0"/>
              <w:jc w:val="center"/>
              <w:rPr>
                <w:rFonts w:hint="eastAsia" w:ascii="幼圆" w:hAnsi="幼圆" w:eastAsia="幼圆" w:cs="幼圆"/>
              </w:rPr>
            </w:pPr>
          </w:p>
        </w:tc>
        <w:tc>
          <w:tcPr>
            <w:tcW w:w="1185" w:type="dxa"/>
            <w:vAlign w:val="center"/>
          </w:tcPr>
          <w:p>
            <w:pPr>
              <w:pStyle w:val="15"/>
              <w:ind w:firstLine="0"/>
              <w:jc w:val="center"/>
              <w:rPr>
                <w:rFonts w:hint="eastAsia" w:ascii="幼圆" w:hAnsi="幼圆" w:eastAsia="幼圆" w:cs="幼圆"/>
                <w:bCs/>
              </w:rPr>
            </w:pPr>
            <w:r>
              <w:rPr>
                <w:rFonts w:hint="eastAsia" w:ascii="幼圆" w:hAnsi="幼圆" w:eastAsia="幼圆" w:cs="幼圆"/>
              </w:rPr>
              <w:t>质量管理体系与保证措施</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10分</w:t>
            </w:r>
          </w:p>
        </w:tc>
        <w:tc>
          <w:tcPr>
            <w:tcW w:w="5702" w:type="dxa"/>
            <w:vAlign w:val="center"/>
          </w:tcPr>
          <w:p>
            <w:pPr>
              <w:spacing w:line="276" w:lineRule="auto"/>
              <w:ind w:right="150" w:rightChars="68"/>
              <w:rPr>
                <w:rFonts w:hint="eastAsia" w:ascii="幼圆" w:hAnsi="幼圆" w:eastAsia="幼圆" w:cs="幼圆"/>
                <w:sz w:val="24"/>
              </w:rPr>
            </w:pPr>
            <w:r>
              <w:rPr>
                <w:rFonts w:hint="eastAsia" w:ascii="幼圆" w:hAnsi="幼圆" w:eastAsia="幼圆" w:cs="幼圆"/>
                <w:sz w:val="24"/>
              </w:rPr>
              <w:t>质量管理体系与保证措施科学、可行、针对性强，得10分；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质量管理体系与保证措施较合理、较可行、细节待完善，得7分；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质量管理体系与保证措施欠合理，可行性较差，基本满足工程需要，得4分；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质量管理体系与保证措施基本不满足工程需要，得1分；</w:t>
            </w:r>
          </w:p>
          <w:p>
            <w:pPr>
              <w:pStyle w:val="15"/>
              <w:ind w:firstLine="0"/>
              <w:rPr>
                <w:rFonts w:hint="eastAsia" w:ascii="幼圆" w:hAnsi="幼圆" w:eastAsia="幼圆" w:cs="幼圆"/>
              </w:rPr>
            </w:pPr>
            <w:r>
              <w:rPr>
                <w:rFonts w:hint="eastAsia" w:ascii="幼圆" w:hAnsi="幼圆" w:eastAsia="幼圆" w:cs="幼圆"/>
              </w:rPr>
              <w:t>未提供质量管理体系与保证措施，得0分。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72" w:type="dxa"/>
            <w:vMerge w:val="continue"/>
            <w:vAlign w:val="center"/>
          </w:tcPr>
          <w:p>
            <w:pPr>
              <w:pStyle w:val="15"/>
              <w:ind w:firstLine="0"/>
              <w:jc w:val="center"/>
              <w:rPr>
                <w:rFonts w:hint="eastAsia" w:ascii="幼圆" w:hAnsi="幼圆" w:eastAsia="幼圆" w:cs="幼圆"/>
              </w:rPr>
            </w:pPr>
          </w:p>
        </w:tc>
        <w:tc>
          <w:tcPr>
            <w:tcW w:w="1185" w:type="dxa"/>
            <w:vAlign w:val="center"/>
          </w:tcPr>
          <w:p>
            <w:pPr>
              <w:pStyle w:val="15"/>
              <w:ind w:firstLine="0"/>
              <w:jc w:val="center"/>
              <w:rPr>
                <w:rFonts w:hint="eastAsia" w:ascii="幼圆" w:hAnsi="幼圆" w:eastAsia="幼圆" w:cs="幼圆"/>
                <w:bCs/>
              </w:rPr>
            </w:pPr>
            <w:r>
              <w:rPr>
                <w:rFonts w:hint="eastAsia" w:ascii="幼圆" w:hAnsi="幼圆" w:eastAsia="幼圆" w:cs="幼圆"/>
              </w:rPr>
              <w:t>安全</w:t>
            </w:r>
            <w:r>
              <w:rPr>
                <w:rFonts w:hint="eastAsia" w:ascii="幼圆" w:hAnsi="幼圆" w:eastAsia="幼圆" w:cs="幼圆"/>
                <w:iCs/>
              </w:rPr>
              <w:t>和绿色施工保障</w:t>
            </w:r>
            <w:r>
              <w:rPr>
                <w:rFonts w:hint="eastAsia" w:ascii="幼圆" w:hAnsi="幼圆" w:eastAsia="幼圆" w:cs="幼圆"/>
              </w:rPr>
              <w:t>措施</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10分</w:t>
            </w:r>
          </w:p>
        </w:tc>
        <w:tc>
          <w:tcPr>
            <w:tcW w:w="5702" w:type="dxa"/>
            <w:vAlign w:val="center"/>
          </w:tcPr>
          <w:p>
            <w:pPr>
              <w:spacing w:line="276" w:lineRule="auto"/>
              <w:ind w:right="150" w:rightChars="68"/>
              <w:rPr>
                <w:rFonts w:hint="eastAsia" w:ascii="幼圆" w:hAnsi="幼圆" w:eastAsia="幼圆" w:cs="幼圆"/>
                <w:sz w:val="24"/>
              </w:rPr>
            </w:pPr>
            <w:r>
              <w:rPr>
                <w:rFonts w:hint="eastAsia" w:ascii="幼圆" w:hAnsi="幼圆" w:eastAsia="幼圆" w:cs="幼圆"/>
                <w:sz w:val="24"/>
              </w:rPr>
              <w:t>安全</w:t>
            </w:r>
            <w:r>
              <w:rPr>
                <w:rFonts w:hint="eastAsia" w:ascii="幼圆" w:hAnsi="幼圆" w:eastAsia="幼圆" w:cs="幼圆"/>
                <w:iCs/>
                <w:sz w:val="24"/>
              </w:rPr>
              <w:t>和绿色施工保障</w:t>
            </w:r>
            <w:r>
              <w:rPr>
                <w:rFonts w:hint="eastAsia" w:ascii="幼圆" w:hAnsi="幼圆" w:eastAsia="幼圆" w:cs="幼圆"/>
                <w:sz w:val="24"/>
              </w:rPr>
              <w:t>措施科学、可行、针对性强，得10分；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安全</w:t>
            </w:r>
            <w:r>
              <w:rPr>
                <w:rFonts w:hint="eastAsia" w:ascii="幼圆" w:hAnsi="幼圆" w:eastAsia="幼圆" w:cs="幼圆"/>
                <w:iCs/>
                <w:sz w:val="24"/>
              </w:rPr>
              <w:t>和绿色施工保障</w:t>
            </w:r>
            <w:r>
              <w:rPr>
                <w:rFonts w:hint="eastAsia" w:ascii="幼圆" w:hAnsi="幼圆" w:eastAsia="幼圆" w:cs="幼圆"/>
                <w:sz w:val="24"/>
              </w:rPr>
              <w:t>措施较合理、较可行、细节待完善，得7分；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安全</w:t>
            </w:r>
            <w:r>
              <w:rPr>
                <w:rFonts w:hint="eastAsia" w:ascii="幼圆" w:hAnsi="幼圆" w:eastAsia="幼圆" w:cs="幼圆"/>
                <w:iCs/>
                <w:sz w:val="24"/>
              </w:rPr>
              <w:t>和绿色施工保障</w:t>
            </w:r>
            <w:r>
              <w:rPr>
                <w:rFonts w:hint="eastAsia" w:ascii="幼圆" w:hAnsi="幼圆" w:eastAsia="幼圆" w:cs="幼圆"/>
                <w:sz w:val="24"/>
              </w:rPr>
              <w:t>措施欠合理，可行性较差，基本满足工程需要，得4分；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安全</w:t>
            </w:r>
            <w:r>
              <w:rPr>
                <w:rFonts w:hint="eastAsia" w:ascii="幼圆" w:hAnsi="幼圆" w:eastAsia="幼圆" w:cs="幼圆"/>
                <w:iCs/>
                <w:sz w:val="24"/>
              </w:rPr>
              <w:t>和绿色施工保障</w:t>
            </w:r>
            <w:r>
              <w:rPr>
                <w:rFonts w:hint="eastAsia" w:ascii="幼圆" w:hAnsi="幼圆" w:eastAsia="幼圆" w:cs="幼圆"/>
                <w:sz w:val="24"/>
              </w:rPr>
              <w:t>措施基本不满足工程需要，得1分；</w:t>
            </w:r>
          </w:p>
          <w:p>
            <w:pPr>
              <w:pStyle w:val="15"/>
              <w:ind w:firstLine="0"/>
              <w:rPr>
                <w:rFonts w:hint="eastAsia" w:ascii="幼圆" w:hAnsi="幼圆" w:eastAsia="幼圆" w:cs="幼圆"/>
              </w:rPr>
            </w:pPr>
            <w:r>
              <w:rPr>
                <w:rFonts w:hint="eastAsia" w:ascii="幼圆" w:hAnsi="幼圆" w:eastAsia="幼圆" w:cs="幼圆"/>
              </w:rPr>
              <w:t>未提供安全</w:t>
            </w:r>
            <w:r>
              <w:rPr>
                <w:rFonts w:hint="eastAsia" w:ascii="幼圆" w:hAnsi="幼圆" w:eastAsia="幼圆" w:cs="幼圆"/>
                <w:iCs/>
              </w:rPr>
              <w:t>和绿色施工保障</w:t>
            </w:r>
            <w:r>
              <w:rPr>
                <w:rFonts w:hint="eastAsia" w:ascii="幼圆" w:hAnsi="幼圆" w:eastAsia="幼圆" w:cs="幼圆"/>
              </w:rPr>
              <w:t>措施，得0分。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72" w:type="dxa"/>
            <w:vMerge w:val="continue"/>
            <w:vAlign w:val="center"/>
          </w:tcPr>
          <w:p>
            <w:pPr>
              <w:pStyle w:val="15"/>
              <w:ind w:firstLine="0"/>
              <w:jc w:val="center"/>
              <w:rPr>
                <w:rFonts w:hint="eastAsia" w:ascii="幼圆" w:hAnsi="幼圆" w:eastAsia="幼圆" w:cs="幼圆"/>
              </w:rPr>
            </w:pPr>
          </w:p>
        </w:tc>
        <w:tc>
          <w:tcPr>
            <w:tcW w:w="1185" w:type="dxa"/>
            <w:vAlign w:val="center"/>
          </w:tcPr>
          <w:p>
            <w:pPr>
              <w:pStyle w:val="15"/>
              <w:ind w:firstLine="0"/>
              <w:jc w:val="center"/>
              <w:rPr>
                <w:rFonts w:hint="eastAsia" w:ascii="幼圆" w:hAnsi="幼圆" w:eastAsia="幼圆" w:cs="幼圆"/>
                <w:bCs/>
              </w:rPr>
            </w:pPr>
            <w:r>
              <w:rPr>
                <w:rFonts w:hint="eastAsia" w:ascii="幼圆" w:hAnsi="幼圆" w:eastAsia="幼圆" w:cs="幼圆"/>
              </w:rPr>
              <w:t>工程进度计划与保证措施</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10分</w:t>
            </w:r>
          </w:p>
        </w:tc>
        <w:tc>
          <w:tcPr>
            <w:tcW w:w="5702" w:type="dxa"/>
            <w:vAlign w:val="center"/>
          </w:tcPr>
          <w:p>
            <w:pPr>
              <w:spacing w:line="276" w:lineRule="auto"/>
              <w:ind w:right="150" w:rightChars="68"/>
              <w:rPr>
                <w:rFonts w:hint="eastAsia" w:ascii="幼圆" w:hAnsi="幼圆" w:eastAsia="幼圆" w:cs="幼圆"/>
                <w:sz w:val="24"/>
              </w:rPr>
            </w:pPr>
            <w:r>
              <w:rPr>
                <w:rFonts w:hint="eastAsia" w:ascii="幼圆" w:hAnsi="幼圆" w:eastAsia="幼圆" w:cs="幼圆"/>
                <w:sz w:val="24"/>
              </w:rPr>
              <w:t>工程进度计划与保证措施科学、可行、针对性强，得10分；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工程进度计划与保证措施较合理、较可行、细节待完善，得7分；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工程进度计划与保证措施不够合理、不够可行、细节不够完善，得4分；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工程进度计划与保证措施不合理、不可行、细节不完善，得1分；</w:t>
            </w:r>
          </w:p>
          <w:p>
            <w:pPr>
              <w:pStyle w:val="15"/>
              <w:ind w:firstLine="0"/>
              <w:rPr>
                <w:rFonts w:hint="eastAsia" w:ascii="幼圆" w:hAnsi="幼圆" w:eastAsia="幼圆" w:cs="幼圆"/>
              </w:rPr>
            </w:pPr>
            <w:r>
              <w:rPr>
                <w:rFonts w:hint="eastAsia" w:ascii="幼圆" w:hAnsi="幼圆" w:eastAsia="幼圆" w:cs="幼圆"/>
              </w:rPr>
              <w:t>未提供工程进度计划与保证措施，得0分。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72" w:type="dxa"/>
            <w:vMerge w:val="continue"/>
            <w:vAlign w:val="center"/>
          </w:tcPr>
          <w:p>
            <w:pPr>
              <w:pStyle w:val="15"/>
              <w:ind w:firstLine="0"/>
              <w:jc w:val="center"/>
              <w:rPr>
                <w:rFonts w:hint="eastAsia" w:ascii="幼圆" w:hAnsi="幼圆" w:eastAsia="幼圆" w:cs="幼圆"/>
              </w:rPr>
            </w:pPr>
          </w:p>
        </w:tc>
        <w:tc>
          <w:tcPr>
            <w:tcW w:w="1185" w:type="dxa"/>
            <w:vAlign w:val="center"/>
          </w:tcPr>
          <w:p>
            <w:pPr>
              <w:pStyle w:val="15"/>
              <w:ind w:firstLine="0"/>
              <w:jc w:val="center"/>
              <w:rPr>
                <w:rFonts w:hint="eastAsia" w:ascii="幼圆" w:hAnsi="幼圆" w:eastAsia="幼圆" w:cs="幼圆"/>
                <w:bCs/>
              </w:rPr>
            </w:pPr>
            <w:r>
              <w:rPr>
                <w:rFonts w:hint="eastAsia" w:ascii="幼圆" w:hAnsi="幼圆" w:eastAsia="幼圆" w:cs="幼圆"/>
              </w:rPr>
              <w:t>紧急情况的处理措施、预案以及抵抗风险的措施</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5分</w:t>
            </w:r>
          </w:p>
        </w:tc>
        <w:tc>
          <w:tcPr>
            <w:tcW w:w="5702" w:type="dxa"/>
            <w:vAlign w:val="center"/>
          </w:tcPr>
          <w:p>
            <w:pPr>
              <w:spacing w:line="276" w:lineRule="auto"/>
              <w:ind w:right="150" w:rightChars="68"/>
              <w:rPr>
                <w:rFonts w:hint="eastAsia" w:ascii="幼圆" w:hAnsi="幼圆" w:eastAsia="幼圆" w:cs="幼圆"/>
                <w:sz w:val="24"/>
              </w:rPr>
            </w:pPr>
            <w:r>
              <w:rPr>
                <w:rFonts w:hint="eastAsia" w:ascii="幼圆" w:hAnsi="幼圆" w:eastAsia="幼圆" w:cs="幼圆"/>
                <w:sz w:val="24"/>
              </w:rPr>
              <w:t>紧急情况的处理措施、预案以及抵抗风险的措施科学、可行、针对性强，得5分；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紧急情况的处理措施、预案以及抵抗风险的措施较科学、较可行、针对性较强，得4分；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紧急情况的处理措施、预案以及抵抗风险的措施欠合理，可行性较差，基本满足工程需要，得3分；</w:t>
            </w:r>
          </w:p>
          <w:p>
            <w:pPr>
              <w:spacing w:line="276" w:lineRule="auto"/>
              <w:ind w:right="150" w:rightChars="68"/>
              <w:rPr>
                <w:rFonts w:hint="eastAsia" w:ascii="幼圆" w:hAnsi="幼圆" w:eastAsia="幼圆" w:cs="幼圆"/>
                <w:sz w:val="24"/>
              </w:rPr>
            </w:pPr>
            <w:r>
              <w:rPr>
                <w:rFonts w:hint="eastAsia" w:ascii="幼圆" w:hAnsi="幼圆" w:eastAsia="幼圆" w:cs="幼圆"/>
                <w:sz w:val="24"/>
              </w:rPr>
              <w:t>紧急情况的处理措施、预案以及抵抗风险的措施基本不满足工程需要，得1分；</w:t>
            </w:r>
          </w:p>
          <w:p>
            <w:pPr>
              <w:pStyle w:val="15"/>
              <w:ind w:firstLine="0"/>
              <w:rPr>
                <w:rFonts w:hint="eastAsia" w:ascii="幼圆" w:hAnsi="幼圆" w:eastAsia="幼圆" w:cs="幼圆"/>
              </w:rPr>
            </w:pPr>
            <w:r>
              <w:rPr>
                <w:rFonts w:hint="eastAsia" w:ascii="幼圆" w:hAnsi="幼圆" w:eastAsia="幼圆" w:cs="幼圆"/>
              </w:rPr>
              <w:t>未提供紧急情况的处理措施、预案以及抵抗风险的措施，得0分。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72" w:type="dxa"/>
            <w:vMerge w:val="continue"/>
            <w:vAlign w:val="center"/>
          </w:tcPr>
          <w:p>
            <w:pPr>
              <w:pStyle w:val="15"/>
              <w:ind w:firstLine="0"/>
              <w:jc w:val="center"/>
              <w:rPr>
                <w:rFonts w:hint="eastAsia" w:ascii="幼圆" w:hAnsi="幼圆" w:eastAsia="幼圆" w:cs="幼圆"/>
              </w:rPr>
            </w:pPr>
          </w:p>
        </w:tc>
        <w:tc>
          <w:tcPr>
            <w:tcW w:w="1185" w:type="dxa"/>
            <w:vAlign w:val="center"/>
          </w:tcPr>
          <w:p>
            <w:pPr>
              <w:pStyle w:val="15"/>
              <w:ind w:firstLine="0"/>
              <w:jc w:val="center"/>
              <w:rPr>
                <w:rFonts w:hint="eastAsia" w:ascii="幼圆" w:hAnsi="幼圆" w:eastAsia="幼圆" w:cs="幼圆"/>
                <w:bCs/>
              </w:rPr>
            </w:pPr>
            <w:r>
              <w:rPr>
                <w:rFonts w:hint="eastAsia" w:ascii="幼圆" w:hAnsi="幼圆" w:eastAsia="幼圆" w:cs="幼圆"/>
              </w:rPr>
              <w:t>项目组织机构及人员配置</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5分</w:t>
            </w:r>
          </w:p>
        </w:tc>
        <w:tc>
          <w:tcPr>
            <w:tcW w:w="5702" w:type="dxa"/>
            <w:vAlign w:val="center"/>
          </w:tcPr>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组织机构健全，人员配置充足，专业结构合理，得5分；</w:t>
            </w:r>
          </w:p>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组织机构较健全，人员配置较充足，专业结构较合理，得4分；</w:t>
            </w:r>
          </w:p>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组织机构基本健全，人员配置基本充足，专业结构基本合理，得3分；</w:t>
            </w:r>
          </w:p>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组织机构不够健全，人员配置不够充足，专业结构不够合理，得1分；</w:t>
            </w:r>
          </w:p>
          <w:p>
            <w:pPr>
              <w:pStyle w:val="15"/>
              <w:ind w:firstLine="0"/>
              <w:rPr>
                <w:rFonts w:hint="eastAsia" w:ascii="幼圆" w:hAnsi="幼圆" w:eastAsia="幼圆" w:cs="幼圆"/>
              </w:rPr>
            </w:pPr>
            <w:r>
              <w:rPr>
                <w:rFonts w:hint="eastAsia" w:ascii="幼圆" w:hAnsi="幼圆" w:eastAsia="幼圆" w:cs="幼圆"/>
              </w:rPr>
              <w:t>未提供项目组织机构及人员配置，得0分。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172" w:type="dxa"/>
            <w:vMerge w:val="continue"/>
            <w:vAlign w:val="center"/>
          </w:tcPr>
          <w:p>
            <w:pPr>
              <w:pStyle w:val="15"/>
              <w:ind w:firstLine="0"/>
              <w:jc w:val="center"/>
              <w:rPr>
                <w:rFonts w:hint="eastAsia" w:ascii="幼圆" w:hAnsi="幼圆" w:eastAsia="幼圆" w:cs="幼圆"/>
              </w:rPr>
            </w:pPr>
          </w:p>
        </w:tc>
        <w:tc>
          <w:tcPr>
            <w:tcW w:w="1185" w:type="dxa"/>
            <w:vAlign w:val="center"/>
          </w:tcPr>
          <w:p>
            <w:pPr>
              <w:pStyle w:val="15"/>
              <w:ind w:firstLine="0"/>
              <w:jc w:val="center"/>
              <w:rPr>
                <w:rFonts w:hint="eastAsia" w:ascii="幼圆" w:hAnsi="幼圆" w:eastAsia="幼圆" w:cs="幼圆"/>
                <w:bCs/>
              </w:rPr>
            </w:pPr>
            <w:r>
              <w:rPr>
                <w:rFonts w:hint="eastAsia" w:ascii="幼圆" w:hAnsi="幼圆" w:eastAsia="幼圆" w:cs="幼圆"/>
              </w:rPr>
              <w:t>成品保护及现场管理</w:t>
            </w:r>
          </w:p>
        </w:tc>
        <w:tc>
          <w:tcPr>
            <w:tcW w:w="797" w:type="dxa"/>
            <w:vAlign w:val="center"/>
          </w:tcPr>
          <w:p>
            <w:pPr>
              <w:pStyle w:val="15"/>
              <w:ind w:firstLine="0"/>
              <w:jc w:val="center"/>
              <w:rPr>
                <w:rFonts w:hint="eastAsia" w:ascii="幼圆" w:hAnsi="幼圆" w:eastAsia="幼圆" w:cs="幼圆"/>
              </w:rPr>
            </w:pPr>
            <w:r>
              <w:rPr>
                <w:rFonts w:hint="eastAsia" w:ascii="幼圆" w:hAnsi="幼圆" w:eastAsia="幼圆" w:cs="幼圆"/>
              </w:rPr>
              <w:t>5分</w:t>
            </w:r>
          </w:p>
        </w:tc>
        <w:tc>
          <w:tcPr>
            <w:tcW w:w="5702" w:type="dxa"/>
            <w:vAlign w:val="center"/>
          </w:tcPr>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成品保护及现场管理科学、可行、针对性强，得5分；</w:t>
            </w:r>
          </w:p>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成品保护及现场管理较科学、较可行、针对性较强，得4分；</w:t>
            </w:r>
          </w:p>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成品保护及现场管理基本科学、基本可行、细节待完善，得3分；</w:t>
            </w:r>
          </w:p>
          <w:p>
            <w:pPr>
              <w:adjustRightInd w:val="0"/>
              <w:snapToGrid w:val="0"/>
              <w:spacing w:line="300" w:lineRule="exact"/>
              <w:ind w:right="150" w:rightChars="68"/>
              <w:rPr>
                <w:rFonts w:hint="eastAsia" w:ascii="幼圆" w:hAnsi="幼圆" w:eastAsia="幼圆" w:cs="幼圆"/>
                <w:sz w:val="24"/>
              </w:rPr>
            </w:pPr>
            <w:r>
              <w:rPr>
                <w:rFonts w:hint="eastAsia" w:ascii="幼圆" w:hAnsi="幼圆" w:eastAsia="幼圆" w:cs="幼圆"/>
                <w:sz w:val="24"/>
              </w:rPr>
              <w:t>成品保护及现场管理不够科学、可行性较差、无针对性，得1分；</w:t>
            </w:r>
          </w:p>
          <w:p>
            <w:pPr>
              <w:pStyle w:val="15"/>
              <w:ind w:firstLine="0"/>
              <w:rPr>
                <w:rFonts w:hint="eastAsia" w:ascii="幼圆" w:hAnsi="幼圆" w:eastAsia="幼圆" w:cs="幼圆"/>
              </w:rPr>
            </w:pPr>
            <w:r>
              <w:rPr>
                <w:rFonts w:hint="eastAsia" w:ascii="幼圆" w:hAnsi="幼圆" w:eastAsia="幼圆" w:cs="幼圆"/>
              </w:rPr>
              <w:t>未提供成品保护及现场管理，得0分。</w:t>
            </w:r>
          </w:p>
        </w:tc>
      </w:tr>
    </w:tbl>
    <w:p>
      <w:pPr>
        <w:pStyle w:val="169"/>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user" w:date="2026-07-10T14:20:51Z" w:initials="u">
    <w:p w14:paraId="06CC15D0">
      <w:pPr>
        <w:pStyle w:val="18"/>
      </w:pPr>
      <w:r>
        <w:annotationRef/>
      </w:r>
    </w:p>
  </w:comment>
  <w:comment w:id="1" w:author="user" w:date="2026-07-09T09:20:09Z" w:initials="u">
    <w:p w14:paraId="62061C6C">
      <w:pPr>
        <w:pStyle w:val="18"/>
        <w:rPr>
          <w:rFonts w:hint="default" w:eastAsia="宋体"/>
          <w:lang w:val="en-US" w:eastAsia="zh-CN"/>
        </w:rPr>
      </w:pPr>
      <w:r>
        <w:rPr>
          <w:rFonts w:hint="eastAsia"/>
          <w:lang w:val="en-US" w:eastAsia="zh-CN"/>
        </w:rPr>
        <w:t>重点关注</w:t>
      </w:r>
    </w:p>
  </w:comment>
  <w:comment w:id="2" w:author="user" w:date="2026-07-09T09:20:34Z" w:initials="u">
    <w:p w14:paraId="293A7D3C">
      <w:pPr>
        <w:pStyle w:val="18"/>
        <w:rPr>
          <w:rFonts w:hint="default" w:eastAsia="宋体"/>
          <w:lang w:val="en-US" w:eastAsia="zh-CN"/>
        </w:rPr>
      </w:pPr>
      <w:r>
        <w:rPr>
          <w:rFonts w:hint="eastAsia"/>
          <w:lang w:val="en-US" w:eastAsia="zh-CN"/>
        </w:rPr>
        <w:t>资格审核（废标项）</w:t>
      </w:r>
    </w:p>
  </w:comment>
  <w:comment w:id="3" w:author="user" w:date="2026-07-09T09:20:44Z" w:initials="u">
    <w:p w14:paraId="762C274A">
      <w:pPr>
        <w:pStyle w:val="18"/>
        <w:rPr>
          <w:rFonts w:hint="default" w:eastAsia="宋体"/>
          <w:lang w:val="en-US" w:eastAsia="zh-CN"/>
        </w:rPr>
      </w:pPr>
      <w:r>
        <w:rPr>
          <w:rFonts w:hint="eastAsia"/>
          <w:lang w:val="en-US" w:eastAsia="zh-CN"/>
        </w:rPr>
        <w:t>符合性审查（废标项）</w:t>
      </w:r>
    </w:p>
  </w:comment>
  <w:comment w:id="4" w:author="user" w:date="2026-07-10T14:19:38Z" w:initials="u">
    <w:p w14:paraId="440300C1">
      <w:pPr>
        <w:pStyle w:val="18"/>
      </w:pPr>
      <w:r>
        <w:rPr>
          <w:color w:val="FF0000"/>
          <w:kern w:val="0"/>
          <w:sz w:val="24"/>
        </w:rPr>
        <w:t>★号条款响应</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CC15D0" w15:done="0"/>
  <w15:commentEx w15:paraId="62061C6C" w15:done="0"/>
  <w15:commentEx w15:paraId="293A7D3C" w15:done="0"/>
  <w15:commentEx w15:paraId="762C274A" w15:done="0"/>
  <w15:commentEx w15:paraId="440300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0"/>
      <w:numFmt w:val="bullet"/>
      <w:lvlText w:val="•"/>
      <w:lvlJc w:val="left"/>
      <w:rPr>
        <w:color w:val="3370FF"/>
      </w:rPr>
    </w:lvl>
  </w:abstractNum>
  <w:abstractNum w:abstractNumId="1">
    <w:nsid w:val="9C8AC8EF"/>
    <w:multiLevelType w:val="singleLevel"/>
    <w:tmpl w:val="9C8AC8EF"/>
    <w:lvl w:ilvl="0" w:tentative="0">
      <w:start w:val="0"/>
      <w:numFmt w:val="bullet"/>
      <w:lvlText w:val="•"/>
      <w:lvlJc w:val="left"/>
      <w:rPr>
        <w:color w:val="3370FF"/>
      </w:rPr>
    </w:lvl>
  </w:abstractNum>
  <w:abstractNum w:abstractNumId="2">
    <w:nsid w:val="B5E306ED"/>
    <w:multiLevelType w:val="singleLevel"/>
    <w:tmpl w:val="B5E306ED"/>
    <w:lvl w:ilvl="0" w:tentative="0">
      <w:start w:val="0"/>
      <w:numFmt w:val="bullet"/>
      <w:lvlText w:val="•"/>
      <w:lvlJc w:val="left"/>
      <w:rPr>
        <w:color w:val="3370FF"/>
      </w:rPr>
    </w:lvl>
  </w:abstractNum>
  <w:abstractNum w:abstractNumId="3">
    <w:nsid w:val="BF205925"/>
    <w:multiLevelType w:val="singleLevel"/>
    <w:tmpl w:val="BF205925"/>
    <w:lvl w:ilvl="0" w:tentative="0">
      <w:start w:val="0"/>
      <w:numFmt w:val="bullet"/>
      <w:lvlText w:val="•"/>
      <w:lvlJc w:val="left"/>
      <w:rPr>
        <w:color w:val="3370FF"/>
      </w:rPr>
    </w:lvl>
  </w:abstractNum>
  <w:abstractNum w:abstractNumId="4">
    <w:nsid w:val="C8879AEF"/>
    <w:multiLevelType w:val="singleLevel"/>
    <w:tmpl w:val="C8879AEF"/>
    <w:lvl w:ilvl="0" w:tentative="0">
      <w:start w:val="0"/>
      <w:numFmt w:val="bullet"/>
      <w:lvlText w:val="•"/>
      <w:lvlJc w:val="left"/>
      <w:rPr>
        <w:color w:val="3370FF"/>
      </w:rPr>
    </w:lvl>
  </w:abstractNum>
  <w:abstractNum w:abstractNumId="5">
    <w:nsid w:val="CF092B84"/>
    <w:multiLevelType w:val="singleLevel"/>
    <w:tmpl w:val="CF092B84"/>
    <w:lvl w:ilvl="0" w:tentative="0">
      <w:start w:val="0"/>
      <w:numFmt w:val="bullet"/>
      <w:lvlText w:val="•"/>
      <w:lvlJc w:val="left"/>
      <w:rPr>
        <w:color w:val="3370FF"/>
      </w:rPr>
    </w:lvl>
  </w:abstractNum>
  <w:abstractNum w:abstractNumId="6">
    <w:nsid w:val="D7F9FE59"/>
    <w:multiLevelType w:val="singleLevel"/>
    <w:tmpl w:val="D7F9FE59"/>
    <w:lvl w:ilvl="0" w:tentative="0">
      <w:start w:val="0"/>
      <w:numFmt w:val="bullet"/>
      <w:lvlText w:val="•"/>
      <w:lvlJc w:val="left"/>
      <w:rPr>
        <w:color w:val="3370FF"/>
      </w:rPr>
    </w:lvl>
  </w:abstractNum>
  <w:abstractNum w:abstractNumId="7">
    <w:nsid w:val="DCBA6B53"/>
    <w:multiLevelType w:val="singleLevel"/>
    <w:tmpl w:val="DCBA6B53"/>
    <w:lvl w:ilvl="0" w:tentative="0">
      <w:start w:val="0"/>
      <w:numFmt w:val="bullet"/>
      <w:lvlText w:val="•"/>
      <w:lvlJc w:val="left"/>
      <w:rPr>
        <w:color w:val="3370FF"/>
      </w:rPr>
    </w:lvl>
  </w:abstractNum>
  <w:abstractNum w:abstractNumId="8">
    <w:nsid w:val="F4B5D9F5"/>
    <w:multiLevelType w:val="singleLevel"/>
    <w:tmpl w:val="F4B5D9F5"/>
    <w:lvl w:ilvl="0" w:tentative="0">
      <w:start w:val="0"/>
      <w:numFmt w:val="bullet"/>
      <w:lvlText w:val="•"/>
      <w:lvlJc w:val="left"/>
      <w:rPr>
        <w:color w:val="3370FF"/>
      </w:rPr>
    </w:lvl>
  </w:abstractNum>
  <w:abstractNum w:abstractNumId="9">
    <w:nsid w:val="FFFFFF7E"/>
    <w:multiLevelType w:val="singleLevel"/>
    <w:tmpl w:val="FFFFFF7E"/>
    <w:lvl w:ilvl="0" w:tentative="0">
      <w:start w:val="1"/>
      <w:numFmt w:val="decimal"/>
      <w:pStyle w:val="22"/>
      <w:lvlText w:val="%1."/>
      <w:lvlJc w:val="left"/>
      <w:pPr>
        <w:tabs>
          <w:tab w:val="left" w:pos="1080"/>
        </w:tabs>
        <w:ind w:left="1080" w:hanging="360"/>
      </w:pPr>
    </w:lvl>
  </w:abstractNum>
  <w:abstractNum w:abstractNumId="10">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11">
    <w:nsid w:val="FFFFFF82"/>
    <w:multiLevelType w:val="singleLevel"/>
    <w:tmpl w:val="FFFFFF82"/>
    <w:lvl w:ilvl="0" w:tentative="0">
      <w:start w:val="1"/>
      <w:numFmt w:val="bullet"/>
      <w:pStyle w:val="20"/>
      <w:lvlText w:val=""/>
      <w:lvlJc w:val="left"/>
      <w:pPr>
        <w:tabs>
          <w:tab w:val="left" w:pos="1080"/>
        </w:tabs>
        <w:ind w:left="1080" w:hanging="360"/>
      </w:pPr>
      <w:rPr>
        <w:rFonts w:hint="default" w:ascii="Symbol" w:hAnsi="Symbol"/>
      </w:rPr>
    </w:lvl>
  </w:abstractNum>
  <w:abstractNum w:abstractNumId="12">
    <w:nsid w:val="FFFFFF83"/>
    <w:multiLevelType w:val="singleLevel"/>
    <w:tmpl w:val="FFFFFF83"/>
    <w:lvl w:ilvl="0" w:tentative="0">
      <w:start w:val="1"/>
      <w:numFmt w:val="bullet"/>
      <w:pStyle w:val="25"/>
      <w:lvlText w:val=""/>
      <w:lvlJc w:val="left"/>
      <w:pPr>
        <w:tabs>
          <w:tab w:val="left" w:pos="720"/>
        </w:tabs>
        <w:ind w:left="720" w:hanging="360"/>
      </w:pPr>
      <w:rPr>
        <w:rFonts w:hint="default" w:ascii="Symbol" w:hAnsi="Symbol"/>
      </w:rPr>
    </w:lvl>
  </w:abstractNum>
  <w:abstractNum w:abstractNumId="13">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14">
    <w:nsid w:val="FFFFFF89"/>
    <w:multiLevelType w:val="singleLevel"/>
    <w:tmpl w:val="FFFFFF89"/>
    <w:lvl w:ilvl="0" w:tentative="0">
      <w:start w:val="1"/>
      <w:numFmt w:val="bullet"/>
      <w:pStyle w:val="17"/>
      <w:lvlText w:val=""/>
      <w:lvlJc w:val="left"/>
      <w:pPr>
        <w:tabs>
          <w:tab w:val="left" w:pos="360"/>
        </w:tabs>
        <w:ind w:left="360" w:hanging="360"/>
      </w:pPr>
      <w:rPr>
        <w:rFonts w:hint="default" w:ascii="Symbol" w:hAnsi="Symbol"/>
      </w:rPr>
    </w:lvl>
  </w:abstractNum>
  <w:abstractNum w:abstractNumId="15">
    <w:nsid w:val="0053208E"/>
    <w:multiLevelType w:val="singleLevel"/>
    <w:tmpl w:val="0053208E"/>
    <w:lvl w:ilvl="0" w:tentative="0">
      <w:start w:val="0"/>
      <w:numFmt w:val="bullet"/>
      <w:lvlText w:val="•"/>
      <w:lvlJc w:val="left"/>
      <w:rPr>
        <w:color w:val="3370FF"/>
      </w:rPr>
    </w:lvl>
  </w:abstractNum>
  <w:abstractNum w:abstractNumId="16">
    <w:nsid w:val="0248C179"/>
    <w:multiLevelType w:val="singleLevel"/>
    <w:tmpl w:val="0248C179"/>
    <w:lvl w:ilvl="0" w:tentative="0">
      <w:start w:val="0"/>
      <w:numFmt w:val="bullet"/>
      <w:lvlText w:val="•"/>
      <w:lvlJc w:val="left"/>
      <w:rPr>
        <w:color w:val="3370FF"/>
      </w:rPr>
    </w:lvl>
  </w:abstractNum>
  <w:abstractNum w:abstractNumId="17">
    <w:nsid w:val="03D62ECE"/>
    <w:multiLevelType w:val="singleLevel"/>
    <w:tmpl w:val="03D62ECE"/>
    <w:lvl w:ilvl="0" w:tentative="0">
      <w:start w:val="0"/>
      <w:numFmt w:val="bullet"/>
      <w:lvlText w:val="•"/>
      <w:lvlJc w:val="left"/>
      <w:rPr>
        <w:color w:val="3370FF"/>
      </w:rPr>
    </w:lvl>
  </w:abstractNum>
  <w:abstractNum w:abstractNumId="18">
    <w:nsid w:val="2470EC97"/>
    <w:multiLevelType w:val="singleLevel"/>
    <w:tmpl w:val="2470EC97"/>
    <w:lvl w:ilvl="0" w:tentative="0">
      <w:start w:val="0"/>
      <w:numFmt w:val="bullet"/>
      <w:lvlText w:val="•"/>
      <w:lvlJc w:val="left"/>
      <w:rPr>
        <w:color w:val="3370FF"/>
      </w:rPr>
    </w:lvl>
  </w:abstractNum>
  <w:abstractNum w:abstractNumId="19">
    <w:nsid w:val="25B654F3"/>
    <w:multiLevelType w:val="singleLevel"/>
    <w:tmpl w:val="25B654F3"/>
    <w:lvl w:ilvl="0" w:tentative="0">
      <w:start w:val="0"/>
      <w:numFmt w:val="bullet"/>
      <w:lvlText w:val="•"/>
      <w:lvlJc w:val="left"/>
      <w:rPr>
        <w:color w:val="3370FF"/>
      </w:rPr>
    </w:lvl>
  </w:abstractNum>
  <w:abstractNum w:abstractNumId="20">
    <w:nsid w:val="2A8F537B"/>
    <w:multiLevelType w:val="singleLevel"/>
    <w:tmpl w:val="2A8F537B"/>
    <w:lvl w:ilvl="0" w:tentative="0">
      <w:start w:val="0"/>
      <w:numFmt w:val="bullet"/>
      <w:lvlText w:val="•"/>
      <w:lvlJc w:val="left"/>
      <w:rPr>
        <w:color w:val="3370FF"/>
      </w:rPr>
    </w:lvl>
  </w:abstractNum>
  <w:abstractNum w:abstractNumId="21">
    <w:nsid w:val="4C1BAE26"/>
    <w:multiLevelType w:val="singleLevel"/>
    <w:tmpl w:val="4C1BAE26"/>
    <w:lvl w:ilvl="0" w:tentative="0">
      <w:start w:val="0"/>
      <w:numFmt w:val="bullet"/>
      <w:lvlText w:val="•"/>
      <w:lvlJc w:val="left"/>
      <w:rPr>
        <w:color w:val="3370FF"/>
      </w:rPr>
    </w:lvl>
  </w:abstractNum>
  <w:abstractNum w:abstractNumId="22">
    <w:nsid w:val="4D4DC07F"/>
    <w:multiLevelType w:val="singleLevel"/>
    <w:tmpl w:val="4D4DC07F"/>
    <w:lvl w:ilvl="0" w:tentative="0">
      <w:start w:val="0"/>
      <w:numFmt w:val="bullet"/>
      <w:lvlText w:val="•"/>
      <w:lvlJc w:val="left"/>
      <w:rPr>
        <w:color w:val="3370FF"/>
      </w:rPr>
    </w:lvl>
  </w:abstractNum>
  <w:abstractNum w:abstractNumId="23">
    <w:nsid w:val="59ADCABA"/>
    <w:multiLevelType w:val="singleLevel"/>
    <w:tmpl w:val="59ADCABA"/>
    <w:lvl w:ilvl="0" w:tentative="0">
      <w:start w:val="0"/>
      <w:numFmt w:val="bullet"/>
      <w:lvlText w:val="•"/>
      <w:lvlJc w:val="left"/>
      <w:rPr>
        <w:color w:val="3370FF"/>
      </w:rPr>
    </w:lvl>
  </w:abstractNum>
  <w:abstractNum w:abstractNumId="24">
    <w:nsid w:val="5A241D34"/>
    <w:multiLevelType w:val="singleLevel"/>
    <w:tmpl w:val="5A241D34"/>
    <w:lvl w:ilvl="0" w:tentative="0">
      <w:start w:val="0"/>
      <w:numFmt w:val="bullet"/>
      <w:lvlText w:val="•"/>
      <w:lvlJc w:val="left"/>
      <w:rPr>
        <w:color w:val="3370FF"/>
      </w:rPr>
    </w:lvl>
  </w:abstractNum>
  <w:abstractNum w:abstractNumId="25">
    <w:nsid w:val="60382F6E"/>
    <w:multiLevelType w:val="singleLevel"/>
    <w:tmpl w:val="60382F6E"/>
    <w:lvl w:ilvl="0" w:tentative="0">
      <w:start w:val="0"/>
      <w:numFmt w:val="bullet"/>
      <w:lvlText w:val="•"/>
      <w:lvlJc w:val="left"/>
      <w:rPr>
        <w:color w:val="3370FF"/>
      </w:rPr>
    </w:lvl>
  </w:abstractNum>
  <w:abstractNum w:abstractNumId="26">
    <w:nsid w:val="72183CF9"/>
    <w:multiLevelType w:val="singleLevel"/>
    <w:tmpl w:val="72183CF9"/>
    <w:lvl w:ilvl="0" w:tentative="0">
      <w:start w:val="0"/>
      <w:numFmt w:val="bullet"/>
      <w:lvlText w:val="•"/>
      <w:lvlJc w:val="left"/>
      <w:rPr>
        <w:color w:val="3370FF"/>
      </w:rPr>
    </w:lvl>
  </w:abstractNum>
  <w:num w:numId="1">
    <w:abstractNumId w:val="10"/>
  </w:num>
  <w:num w:numId="2">
    <w:abstractNumId w:val="13"/>
  </w:num>
  <w:num w:numId="3">
    <w:abstractNumId w:val="14"/>
  </w:num>
  <w:num w:numId="4">
    <w:abstractNumId w:val="11"/>
  </w:num>
  <w:num w:numId="5">
    <w:abstractNumId w:val="9"/>
  </w:num>
  <w:num w:numId="6">
    <w:abstractNumId w:val="12"/>
  </w:num>
  <w:num w:numId="7">
    <w:abstractNumId w:val="15"/>
  </w:num>
  <w:num w:numId="8">
    <w:abstractNumId w:val="5"/>
  </w:num>
  <w:num w:numId="9">
    <w:abstractNumId w:val="23"/>
  </w:num>
  <w:num w:numId="10">
    <w:abstractNumId w:val="3"/>
  </w:num>
  <w:num w:numId="11">
    <w:abstractNumId w:val="2"/>
  </w:num>
  <w:num w:numId="12">
    <w:abstractNumId w:val="17"/>
  </w:num>
  <w:num w:numId="13">
    <w:abstractNumId w:val="19"/>
  </w:num>
  <w:num w:numId="14">
    <w:abstractNumId w:val="26"/>
  </w:num>
  <w:num w:numId="15">
    <w:abstractNumId w:val="16"/>
  </w:num>
  <w:num w:numId="16">
    <w:abstractNumId w:val="0"/>
  </w:num>
  <w:num w:numId="17">
    <w:abstractNumId w:val="20"/>
  </w:num>
  <w:num w:numId="18">
    <w:abstractNumId w:val="24"/>
  </w:num>
  <w:num w:numId="19">
    <w:abstractNumId w:val="4"/>
  </w:num>
  <w:num w:numId="20">
    <w:abstractNumId w:val="22"/>
  </w:num>
  <w:num w:numId="21">
    <w:abstractNumId w:val="8"/>
  </w:num>
  <w:num w:numId="22">
    <w:abstractNumId w:val="18"/>
  </w:num>
  <w:num w:numId="23">
    <w:abstractNumId w:val="7"/>
  </w:num>
  <w:num w:numId="24">
    <w:abstractNumId w:val="6"/>
  </w:num>
  <w:num w:numId="25">
    <w:abstractNumId w:val="1"/>
  </w:num>
  <w:num w:numId="26">
    <w:abstractNumId w:val="21"/>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2F05DC4"/>
    <w:rsid w:val="03DC6164"/>
    <w:rsid w:val="05B922DB"/>
    <w:rsid w:val="079C588B"/>
    <w:rsid w:val="07F84B45"/>
    <w:rsid w:val="08CA0C86"/>
    <w:rsid w:val="0A883CD4"/>
    <w:rsid w:val="0ACE3BFD"/>
    <w:rsid w:val="0ADE0A96"/>
    <w:rsid w:val="0B5A4560"/>
    <w:rsid w:val="0B65205C"/>
    <w:rsid w:val="0B9760F9"/>
    <w:rsid w:val="0D05783A"/>
    <w:rsid w:val="0D0C0CD0"/>
    <w:rsid w:val="0E04245C"/>
    <w:rsid w:val="0FAA5DF1"/>
    <w:rsid w:val="11147A7E"/>
    <w:rsid w:val="113329E6"/>
    <w:rsid w:val="115C159E"/>
    <w:rsid w:val="117F262B"/>
    <w:rsid w:val="12A90D4E"/>
    <w:rsid w:val="12C56763"/>
    <w:rsid w:val="15F90244"/>
    <w:rsid w:val="163E7485"/>
    <w:rsid w:val="17040AF7"/>
    <w:rsid w:val="184A1EF8"/>
    <w:rsid w:val="18641A8B"/>
    <w:rsid w:val="1990077F"/>
    <w:rsid w:val="19DC6ECE"/>
    <w:rsid w:val="1BE71C78"/>
    <w:rsid w:val="1D7E3EA8"/>
    <w:rsid w:val="1F3C1C4F"/>
    <w:rsid w:val="2006445A"/>
    <w:rsid w:val="205F522A"/>
    <w:rsid w:val="22E24F49"/>
    <w:rsid w:val="23E13DA6"/>
    <w:rsid w:val="24392B0D"/>
    <w:rsid w:val="25D77D3F"/>
    <w:rsid w:val="26B26BA7"/>
    <w:rsid w:val="27372964"/>
    <w:rsid w:val="27BD3A55"/>
    <w:rsid w:val="2AA22C5F"/>
    <w:rsid w:val="2BAE2134"/>
    <w:rsid w:val="2C5F3B91"/>
    <w:rsid w:val="2D056703"/>
    <w:rsid w:val="2EBF56C0"/>
    <w:rsid w:val="307E5EFA"/>
    <w:rsid w:val="31321010"/>
    <w:rsid w:val="31600097"/>
    <w:rsid w:val="328423C6"/>
    <w:rsid w:val="339D23EE"/>
    <w:rsid w:val="347B53E1"/>
    <w:rsid w:val="34813790"/>
    <w:rsid w:val="34A26001"/>
    <w:rsid w:val="35A3178F"/>
    <w:rsid w:val="35BA5B31"/>
    <w:rsid w:val="36E561D9"/>
    <w:rsid w:val="3719768F"/>
    <w:rsid w:val="377C3B60"/>
    <w:rsid w:val="38170520"/>
    <w:rsid w:val="38E42B66"/>
    <w:rsid w:val="3AAC6B47"/>
    <w:rsid w:val="3BAB6C58"/>
    <w:rsid w:val="3C6B7097"/>
    <w:rsid w:val="3D3FEA48"/>
    <w:rsid w:val="3DAB702F"/>
    <w:rsid w:val="3DBFD295"/>
    <w:rsid w:val="3E90770F"/>
    <w:rsid w:val="3EBA3A53"/>
    <w:rsid w:val="40E40ADC"/>
    <w:rsid w:val="411538B7"/>
    <w:rsid w:val="41536D26"/>
    <w:rsid w:val="41BC57E8"/>
    <w:rsid w:val="41BE02EE"/>
    <w:rsid w:val="43F96C1A"/>
    <w:rsid w:val="4497643B"/>
    <w:rsid w:val="44DB5B25"/>
    <w:rsid w:val="455507B5"/>
    <w:rsid w:val="45A73923"/>
    <w:rsid w:val="476A1CC8"/>
    <w:rsid w:val="4775307B"/>
    <w:rsid w:val="48BB3715"/>
    <w:rsid w:val="496C156E"/>
    <w:rsid w:val="4972026D"/>
    <w:rsid w:val="49AC38D7"/>
    <w:rsid w:val="49F927E9"/>
    <w:rsid w:val="4A5D2DD2"/>
    <w:rsid w:val="4AEF402B"/>
    <w:rsid w:val="4B2F1206"/>
    <w:rsid w:val="4EED49EA"/>
    <w:rsid w:val="4FC375E6"/>
    <w:rsid w:val="4FC562F1"/>
    <w:rsid w:val="50C80BF1"/>
    <w:rsid w:val="510B7F1B"/>
    <w:rsid w:val="5257047F"/>
    <w:rsid w:val="527C7C62"/>
    <w:rsid w:val="537D6985"/>
    <w:rsid w:val="53ED7FA3"/>
    <w:rsid w:val="563755D5"/>
    <w:rsid w:val="56A9ACE5"/>
    <w:rsid w:val="56B06322"/>
    <w:rsid w:val="574D52F6"/>
    <w:rsid w:val="581519CB"/>
    <w:rsid w:val="5AA0313D"/>
    <w:rsid w:val="5FEFBD42"/>
    <w:rsid w:val="60EF4973"/>
    <w:rsid w:val="618B5EA0"/>
    <w:rsid w:val="63A6046B"/>
    <w:rsid w:val="641E6734"/>
    <w:rsid w:val="64690EAB"/>
    <w:rsid w:val="65DE6922"/>
    <w:rsid w:val="66321E01"/>
    <w:rsid w:val="67C72DF9"/>
    <w:rsid w:val="68EA72AC"/>
    <w:rsid w:val="6A5C38C9"/>
    <w:rsid w:val="6A68311E"/>
    <w:rsid w:val="6BBC5FCE"/>
    <w:rsid w:val="6D512C83"/>
    <w:rsid w:val="6D8A74C3"/>
    <w:rsid w:val="6DAA75AD"/>
    <w:rsid w:val="6EF04D2C"/>
    <w:rsid w:val="6FBD2579"/>
    <w:rsid w:val="6FED3F9B"/>
    <w:rsid w:val="701A68B4"/>
    <w:rsid w:val="703B2526"/>
    <w:rsid w:val="705D6067"/>
    <w:rsid w:val="720472B3"/>
    <w:rsid w:val="73FB3E24"/>
    <w:rsid w:val="74C1629C"/>
    <w:rsid w:val="75C51121"/>
    <w:rsid w:val="75DF8964"/>
    <w:rsid w:val="75F106A5"/>
    <w:rsid w:val="761942CF"/>
    <w:rsid w:val="769D37E2"/>
    <w:rsid w:val="78074650"/>
    <w:rsid w:val="787B4E47"/>
    <w:rsid w:val="78EF290F"/>
    <w:rsid w:val="79EFCB93"/>
    <w:rsid w:val="7A6C3DE2"/>
    <w:rsid w:val="7AA52CAE"/>
    <w:rsid w:val="7B3633BB"/>
    <w:rsid w:val="7BE17E14"/>
    <w:rsid w:val="7CE1176F"/>
    <w:rsid w:val="7DFB6C40"/>
    <w:rsid w:val="7E8A62A7"/>
    <w:rsid w:val="7EDEDA8C"/>
    <w:rsid w:val="7EE782B8"/>
    <w:rsid w:val="7F1BE675"/>
    <w:rsid w:val="7F4053CB"/>
    <w:rsid w:val="7F7794D2"/>
    <w:rsid w:val="7F791B22"/>
    <w:rsid w:val="7F830290"/>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4">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Normal Indent"/>
    <w:basedOn w:val="1"/>
    <w:qFormat/>
    <w:uiPriority w:val="0"/>
    <w:pPr>
      <w:autoSpaceDE w:val="0"/>
      <w:autoSpaceDN w:val="0"/>
      <w:adjustRightInd w:val="0"/>
      <w:ind w:firstLine="420"/>
      <w:jc w:val="left"/>
    </w:pPr>
    <w:rPr>
      <w:rFonts w:ascii="宋体"/>
      <w:sz w:val="24"/>
    </w:r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7">
    <w:name w:val="List Bullet"/>
    <w:basedOn w:val="1"/>
    <w:unhideWhenUsed/>
    <w:qFormat/>
    <w:uiPriority w:val="99"/>
    <w:pPr>
      <w:numPr>
        <w:ilvl w:val="0"/>
        <w:numId w:val="3"/>
      </w:numPr>
      <w:contextualSpacing/>
    </w:pPr>
  </w:style>
  <w:style w:type="paragraph" w:styleId="18">
    <w:name w:val="annotation text"/>
    <w:basedOn w:val="1"/>
    <w:qFormat/>
    <w:uiPriority w:val="99"/>
    <w:pPr>
      <w:jc w:val="left"/>
    </w:pPr>
  </w:style>
  <w:style w:type="paragraph" w:styleId="19">
    <w:name w:val="Body Text 3"/>
    <w:basedOn w:val="1"/>
    <w:link w:val="148"/>
    <w:unhideWhenUsed/>
    <w:qFormat/>
    <w:uiPriority w:val="99"/>
    <w:pPr>
      <w:spacing w:after="120"/>
    </w:pPr>
    <w:rPr>
      <w:sz w:val="16"/>
      <w:szCs w:val="16"/>
    </w:rPr>
  </w:style>
  <w:style w:type="paragraph" w:styleId="20">
    <w:name w:val="List Bullet 3"/>
    <w:basedOn w:val="1"/>
    <w:unhideWhenUsed/>
    <w:qFormat/>
    <w:uiPriority w:val="99"/>
    <w:pPr>
      <w:numPr>
        <w:ilvl w:val="0"/>
        <w:numId w:val="4"/>
      </w:numPr>
      <w:contextualSpacing/>
    </w:pPr>
  </w:style>
  <w:style w:type="paragraph" w:styleId="21">
    <w:name w:val="Body Text"/>
    <w:basedOn w:val="1"/>
    <w:link w:val="146"/>
    <w:unhideWhenUsed/>
    <w:qFormat/>
    <w:uiPriority w:val="99"/>
    <w:pPr>
      <w:spacing w:after="120"/>
    </w:pPr>
  </w:style>
  <w:style w:type="paragraph" w:styleId="22">
    <w:name w:val="List Number 3"/>
    <w:basedOn w:val="1"/>
    <w:unhideWhenUsed/>
    <w:qFormat/>
    <w:uiPriority w:val="99"/>
    <w:pPr>
      <w:numPr>
        <w:ilvl w:val="0"/>
        <w:numId w:val="5"/>
      </w:numPr>
      <w:contextualSpacing/>
    </w:pPr>
  </w:style>
  <w:style w:type="paragraph" w:styleId="23">
    <w:name w:val="List 2"/>
    <w:basedOn w:val="1"/>
    <w:unhideWhenUsed/>
    <w:qFormat/>
    <w:uiPriority w:val="99"/>
    <w:pPr>
      <w:ind w:left="720" w:hanging="360"/>
      <w:contextualSpacing/>
    </w:pPr>
  </w:style>
  <w:style w:type="paragraph" w:styleId="24">
    <w:name w:val="List Continue"/>
    <w:basedOn w:val="1"/>
    <w:unhideWhenUsed/>
    <w:qFormat/>
    <w:uiPriority w:val="99"/>
    <w:pPr>
      <w:spacing w:after="120"/>
      <w:ind w:left="360"/>
      <w:contextualSpacing/>
    </w:pPr>
  </w:style>
  <w:style w:type="paragraph" w:styleId="25">
    <w:name w:val="List Bullet 2"/>
    <w:basedOn w:val="1"/>
    <w:unhideWhenUsed/>
    <w:qFormat/>
    <w:uiPriority w:val="99"/>
    <w:pPr>
      <w:numPr>
        <w:ilvl w:val="0"/>
        <w:numId w:val="6"/>
      </w:numPr>
      <w:contextualSpacing/>
    </w:pPr>
  </w:style>
  <w:style w:type="paragraph" w:styleId="26">
    <w:name w:val="footer"/>
    <w:basedOn w:val="1"/>
    <w:link w:val="138"/>
    <w:unhideWhenUsed/>
    <w:qFormat/>
    <w:uiPriority w:val="99"/>
    <w:pPr>
      <w:tabs>
        <w:tab w:val="center" w:pos="4680"/>
        <w:tab w:val="right" w:pos="9360"/>
      </w:tabs>
      <w:spacing w:after="0" w:line="240" w:lineRule="auto"/>
    </w:pPr>
  </w:style>
  <w:style w:type="paragraph" w:styleId="27">
    <w:name w:val="header"/>
    <w:basedOn w:val="1"/>
    <w:link w:val="137"/>
    <w:unhideWhenUsed/>
    <w:qFormat/>
    <w:uiPriority w:val="99"/>
    <w:pPr>
      <w:tabs>
        <w:tab w:val="center" w:pos="4680"/>
        <w:tab w:val="right" w:pos="9360"/>
      </w:tabs>
      <w:spacing w:after="0" w:line="240" w:lineRule="auto"/>
    </w:pPr>
  </w:style>
  <w:style w:type="paragraph" w:styleId="28">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9">
    <w:name w:val="List"/>
    <w:basedOn w:val="1"/>
    <w:unhideWhenUsed/>
    <w:qFormat/>
    <w:uiPriority w:val="99"/>
    <w:pPr>
      <w:ind w:left="360" w:hanging="360"/>
      <w:contextualSpacing/>
    </w:pPr>
  </w:style>
  <w:style w:type="paragraph" w:styleId="30">
    <w:name w:val="Body Text 2"/>
    <w:basedOn w:val="1"/>
    <w:link w:val="147"/>
    <w:unhideWhenUsed/>
    <w:qFormat/>
    <w:uiPriority w:val="99"/>
    <w:pPr>
      <w:spacing w:after="120" w:line="480" w:lineRule="auto"/>
    </w:pPr>
  </w:style>
  <w:style w:type="paragraph" w:styleId="31">
    <w:name w:val="List Continue 2"/>
    <w:basedOn w:val="1"/>
    <w:unhideWhenUsed/>
    <w:qFormat/>
    <w:uiPriority w:val="99"/>
    <w:pPr>
      <w:spacing w:after="120"/>
      <w:ind w:left="720"/>
      <w:contextualSpacing/>
    </w:pPr>
  </w:style>
  <w:style w:type="paragraph" w:styleId="32">
    <w:name w:val="List Continue 3"/>
    <w:basedOn w:val="1"/>
    <w:unhideWhenUsed/>
    <w:qFormat/>
    <w:uiPriority w:val="99"/>
    <w:pPr>
      <w:spacing w:after="120"/>
      <w:ind w:left="1080"/>
      <w:contextualSpacing/>
    </w:pPr>
  </w:style>
  <w:style w:type="paragraph" w:styleId="33">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5">
    <w:name w:val="Table Grid"/>
    <w:basedOn w:val="3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6">
    <w:name w:val="Light Shading"/>
    <w:basedOn w:val="34"/>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7">
    <w:name w:val="Light Shading Accent 1"/>
    <w:basedOn w:val="34"/>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8">
    <w:name w:val="Light Shading Accent 2"/>
    <w:basedOn w:val="34"/>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9">
    <w:name w:val="Light Shading Accent 3"/>
    <w:basedOn w:val="34"/>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0">
    <w:name w:val="Light Shading Accent 4"/>
    <w:basedOn w:val="34"/>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1">
    <w:name w:val="Light Shading Accent 5"/>
    <w:basedOn w:val="34"/>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2">
    <w:name w:val="Light Shading Accent 6"/>
    <w:basedOn w:val="34"/>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3">
    <w:name w:val="Light List"/>
    <w:basedOn w:val="34"/>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4">
    <w:name w:val="Light List Accent 1"/>
    <w:basedOn w:val="34"/>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5">
    <w:name w:val="Light List Accent 2"/>
    <w:basedOn w:val="34"/>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6">
    <w:name w:val="Light List Accent 3"/>
    <w:basedOn w:val="34"/>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7">
    <w:name w:val="Light List Accent 4"/>
    <w:basedOn w:val="34"/>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8">
    <w:name w:val="Light List Accent 5"/>
    <w:basedOn w:val="34"/>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9">
    <w:name w:val="Light List Accent 6"/>
    <w:basedOn w:val="34"/>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0">
    <w:name w:val="Light Grid"/>
    <w:basedOn w:val="34"/>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1">
    <w:name w:val="Light Grid Accent 1"/>
    <w:basedOn w:val="34"/>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2">
    <w:name w:val="Light Grid Accent 2"/>
    <w:basedOn w:val="34"/>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3">
    <w:name w:val="Light Grid Accent 3"/>
    <w:basedOn w:val="34"/>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4">
    <w:name w:val="Light Grid Accent 4"/>
    <w:basedOn w:val="34"/>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5">
    <w:name w:val="Light Grid Accent 5"/>
    <w:basedOn w:val="34"/>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6">
    <w:name w:val="Light Grid Accent 6"/>
    <w:basedOn w:val="34"/>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7">
    <w:name w:val="Medium Shading 1"/>
    <w:basedOn w:val="34"/>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8">
    <w:name w:val="Medium Shading 1 Accent 1"/>
    <w:basedOn w:val="34"/>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9">
    <w:name w:val="Medium Shading 1 Accent 2"/>
    <w:basedOn w:val="34"/>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0">
    <w:name w:val="Medium Shading 1 Accent 3"/>
    <w:basedOn w:val="34"/>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1">
    <w:name w:val="Medium Shading 1 Accent 4"/>
    <w:basedOn w:val="34"/>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2">
    <w:name w:val="Medium Shading 1 Accent 5"/>
    <w:basedOn w:val="34"/>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3">
    <w:name w:val="Medium Shading 1 Accent 6"/>
    <w:basedOn w:val="34"/>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4">
    <w:name w:val="Medium Shading 2"/>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1"/>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2"/>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3"/>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4"/>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5"/>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6"/>
    <w:basedOn w:val="34"/>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List 1"/>
    <w:basedOn w:val="34"/>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2">
    <w:name w:val="Medium List 1 Accent 1"/>
    <w:basedOn w:val="34"/>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3">
    <w:name w:val="Medium List 1 Accent 2"/>
    <w:basedOn w:val="34"/>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4">
    <w:name w:val="Medium List 1 Accent 3"/>
    <w:basedOn w:val="34"/>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5">
    <w:name w:val="Medium List 1 Accent 4"/>
    <w:basedOn w:val="34"/>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6">
    <w:name w:val="Medium List 1 Accent 5"/>
    <w:basedOn w:val="34"/>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7">
    <w:name w:val="Medium List 1 Accent 6"/>
    <w:basedOn w:val="34"/>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8">
    <w:name w:val="Medium List 2"/>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1"/>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2"/>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3"/>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4"/>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5"/>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6"/>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Grid 1"/>
    <w:basedOn w:val="34"/>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6">
    <w:name w:val="Medium Grid 1 Accent 1"/>
    <w:basedOn w:val="34"/>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7">
    <w:name w:val="Medium Grid 1 Accent 2"/>
    <w:basedOn w:val="34"/>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8">
    <w:name w:val="Medium Grid 1 Accent 3"/>
    <w:basedOn w:val="34"/>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9">
    <w:name w:val="Medium Grid 1 Accent 4"/>
    <w:basedOn w:val="34"/>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0">
    <w:name w:val="Medium Grid 1 Accent 5"/>
    <w:basedOn w:val="34"/>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1">
    <w:name w:val="Medium Grid 1 Accent 6"/>
    <w:basedOn w:val="34"/>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w:basedOn w:val="34"/>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3">
    <w:name w:val="Medium Grid 2 Accent 1"/>
    <w:basedOn w:val="34"/>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4">
    <w:name w:val="Medium Grid 2 Accent 2"/>
    <w:basedOn w:val="34"/>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5">
    <w:name w:val="Medium Grid 2 Accent 3"/>
    <w:basedOn w:val="34"/>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6">
    <w:name w:val="Medium Grid 2 Accent 4"/>
    <w:basedOn w:val="34"/>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7">
    <w:name w:val="Medium Grid 2 Accent 5"/>
    <w:basedOn w:val="34"/>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8">
    <w:name w:val="Medium Grid 2 Accent 6"/>
    <w:basedOn w:val="34"/>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9">
    <w:name w:val="Medium Grid 3"/>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0">
    <w:name w:val="Medium Grid 3 Accent 1"/>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1">
    <w:name w:val="Medium Grid 3 Accent 2"/>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2">
    <w:name w:val="Medium Grid 3 Accent 3"/>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3">
    <w:name w:val="Medium Grid 3 Accent 4"/>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4">
    <w:name w:val="Medium Grid 3 Accent 5"/>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5">
    <w:name w:val="Medium Grid 3 Accent 6"/>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6">
    <w:name w:val="Dark List"/>
    <w:basedOn w:val="34"/>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7">
    <w:name w:val="Dark List Accent 1"/>
    <w:basedOn w:val="34"/>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8">
    <w:name w:val="Dark List Accent 2"/>
    <w:basedOn w:val="34"/>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9">
    <w:name w:val="Dark List Accent 3"/>
    <w:basedOn w:val="34"/>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0">
    <w:name w:val="Dark List Accent 4"/>
    <w:basedOn w:val="34"/>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1">
    <w:name w:val="Dark List Accent 5"/>
    <w:basedOn w:val="34"/>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2">
    <w:name w:val="Dark List Accent 6"/>
    <w:basedOn w:val="34"/>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3">
    <w:name w:val="Colorful Shading"/>
    <w:basedOn w:val="34"/>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1"/>
    <w:basedOn w:val="34"/>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2"/>
    <w:basedOn w:val="34"/>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3"/>
    <w:basedOn w:val="34"/>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7">
    <w:name w:val="Colorful Shading Accent 4"/>
    <w:basedOn w:val="34"/>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5"/>
    <w:basedOn w:val="34"/>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6"/>
    <w:basedOn w:val="34"/>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List"/>
    <w:basedOn w:val="34"/>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1">
    <w:name w:val="Colorful List Accent 1"/>
    <w:basedOn w:val="34"/>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2">
    <w:name w:val="Colorful List Accent 2"/>
    <w:basedOn w:val="34"/>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3">
    <w:name w:val="Colorful List Accent 3"/>
    <w:basedOn w:val="34"/>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4">
    <w:name w:val="Colorful List Accent 4"/>
    <w:basedOn w:val="34"/>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5">
    <w:name w:val="Colorful List Accent 5"/>
    <w:basedOn w:val="34"/>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6">
    <w:name w:val="Colorful List Accent 6"/>
    <w:basedOn w:val="34"/>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7">
    <w:name w:val="Colorful Grid"/>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8">
    <w:name w:val="Colorful Grid Accent 1"/>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9">
    <w:name w:val="Colorful Grid Accent 2"/>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0">
    <w:name w:val="Colorful Grid Accent 3"/>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1">
    <w:name w:val="Colorful Grid Accent 4"/>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2">
    <w:name w:val="Colorful Grid Accent 5"/>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3">
    <w:name w:val="Colorful Grid Accent 6"/>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5">
    <w:name w:val="Strong"/>
    <w:basedOn w:val="134"/>
    <w:qFormat/>
    <w:uiPriority w:val="22"/>
    <w:rPr>
      <w:b/>
      <w:bCs/>
    </w:rPr>
  </w:style>
  <w:style w:type="character" w:styleId="136">
    <w:name w:val="Emphasis"/>
    <w:basedOn w:val="134"/>
    <w:qFormat/>
    <w:uiPriority w:val="20"/>
    <w:rPr>
      <w:i/>
      <w:iCs/>
    </w:rPr>
  </w:style>
  <w:style w:type="character" w:customStyle="1" w:styleId="137">
    <w:name w:val="Header Char"/>
    <w:basedOn w:val="134"/>
    <w:link w:val="27"/>
    <w:qFormat/>
    <w:uiPriority w:val="99"/>
  </w:style>
  <w:style w:type="character" w:customStyle="1" w:styleId="138">
    <w:name w:val="Footer Char"/>
    <w:basedOn w:val="134"/>
    <w:link w:val="26"/>
    <w:qFormat/>
    <w:uiPriority w:val="99"/>
  </w:style>
  <w:style w:type="paragraph" w:styleId="139">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0">
    <w:name w:val="Heading 1 Char"/>
    <w:basedOn w:val="134"/>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4"/>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4"/>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4"/>
    <w:link w:val="33"/>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4"/>
    <w:link w:val="28"/>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4"/>
    <w:link w:val="21"/>
    <w:qFormat/>
    <w:uiPriority w:val="99"/>
  </w:style>
  <w:style w:type="character" w:customStyle="1" w:styleId="147">
    <w:name w:val="Body Text 2 Char"/>
    <w:basedOn w:val="134"/>
    <w:link w:val="30"/>
    <w:qFormat/>
    <w:uiPriority w:val="99"/>
  </w:style>
  <w:style w:type="character" w:customStyle="1" w:styleId="148">
    <w:name w:val="Body Text 3 Char"/>
    <w:basedOn w:val="134"/>
    <w:link w:val="19"/>
    <w:qFormat/>
    <w:uiPriority w:val="99"/>
    <w:rPr>
      <w:sz w:val="16"/>
      <w:szCs w:val="16"/>
    </w:rPr>
  </w:style>
  <w:style w:type="character" w:customStyle="1" w:styleId="149">
    <w:name w:val="Macro Text Char"/>
    <w:basedOn w:val="134"/>
    <w:link w:val="2"/>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4"/>
    <w:link w:val="150"/>
    <w:qFormat/>
    <w:uiPriority w:val="29"/>
    <w:rPr>
      <w:i/>
      <w:iCs/>
      <w:color w:val="000000" w:themeColor="text1"/>
      <w14:textFill>
        <w14:solidFill>
          <w14:schemeClr w14:val="tx1"/>
        </w14:solidFill>
      </w14:textFill>
    </w:rPr>
  </w:style>
  <w:style w:type="character" w:customStyle="1" w:styleId="152">
    <w:name w:val="Heading 4 Char"/>
    <w:basedOn w:val="134"/>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4"/>
    <w:link w:val="7"/>
    <w:semiHidden/>
    <w:qFormat/>
    <w:uiPriority w:val="9"/>
    <w:rPr>
      <w:rFonts w:asciiTheme="majorHAnsi" w:hAnsiTheme="majorHAnsi" w:eastAsiaTheme="majorEastAsia" w:cstheme="majorBidi"/>
      <w:color w:val="254061" w:themeColor="accent1" w:themeShade="80"/>
    </w:rPr>
  </w:style>
  <w:style w:type="character" w:customStyle="1" w:styleId="154">
    <w:name w:val="Heading 6 Char"/>
    <w:basedOn w:val="134"/>
    <w:link w:val="8"/>
    <w:semiHidden/>
    <w:qFormat/>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4"/>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4"/>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4"/>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4"/>
    <w:link w:val="158"/>
    <w:qFormat/>
    <w:uiPriority w:val="30"/>
    <w:rPr>
      <w:b/>
      <w:bCs/>
      <w:i/>
      <w:iCs/>
      <w:color w:val="4F81BD" w:themeColor="accent1"/>
      <w14:textFill>
        <w14:solidFill>
          <w14:schemeClr w14:val="accent1"/>
        </w14:solidFill>
      </w14:textFill>
    </w:rPr>
  </w:style>
  <w:style w:type="character" w:customStyle="1" w:styleId="160">
    <w:name w:val="Subtle Emphasis"/>
    <w:basedOn w:val="134"/>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
    <w:basedOn w:val="134"/>
    <w:qFormat/>
    <w:uiPriority w:val="21"/>
    <w:rPr>
      <w:b/>
      <w:bCs/>
      <w:i/>
      <w:iCs/>
      <w:color w:val="4F81BD" w:themeColor="accent1"/>
      <w14:textFill>
        <w14:solidFill>
          <w14:schemeClr w14:val="accent1"/>
        </w14:solidFill>
      </w14:textFill>
    </w:rPr>
  </w:style>
  <w:style w:type="character" w:customStyle="1" w:styleId="162">
    <w:name w:val="Subtle Reference"/>
    <w:basedOn w:val="134"/>
    <w:qFormat/>
    <w:uiPriority w:val="31"/>
    <w:rPr>
      <w:smallCaps/>
      <w:color w:val="C0504D" w:themeColor="accent2"/>
      <w:u w:val="single"/>
      <w14:textFill>
        <w14:solidFill>
          <w14:schemeClr w14:val="accent2"/>
        </w14:solidFill>
      </w14:textFill>
    </w:rPr>
  </w:style>
  <w:style w:type="character" w:customStyle="1" w:styleId="163">
    <w:name w:val="Intense Reference"/>
    <w:basedOn w:val="134"/>
    <w:qFormat/>
    <w:uiPriority w:val="32"/>
    <w:rPr>
      <w:b/>
      <w:bCs/>
      <w:smallCaps/>
      <w:color w:val="C0504D" w:themeColor="accent2"/>
      <w:spacing w:val="5"/>
      <w:u w:val="single"/>
      <w14:textFill>
        <w14:solidFill>
          <w14:schemeClr w14:val="accent2"/>
        </w14:solidFill>
      </w14:textFill>
    </w:rPr>
  </w:style>
  <w:style w:type="character" w:customStyle="1" w:styleId="164">
    <w:name w:val="Book Title"/>
    <w:basedOn w:val="134"/>
    <w:qFormat/>
    <w:uiPriority w:val="33"/>
    <w:rPr>
      <w:b/>
      <w:bCs/>
      <w:smallCaps/>
      <w:spacing w:val="5"/>
    </w:rPr>
  </w:style>
  <w:style w:type="paragraph" w:customStyle="1" w:styleId="165">
    <w:name w:val="TOC Heading"/>
    <w:basedOn w:val="3"/>
    <w:next w:val="1"/>
    <w:semiHidden/>
    <w:unhideWhenUsed/>
    <w:qFormat/>
    <w:uiPriority w:val="39"/>
    <w:pPr>
      <w:outlineLvl w:val="9"/>
    </w:pPr>
  </w:style>
  <w:style w:type="paragraph" w:customStyle="1" w:styleId="166">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7">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8">
    <w:name w:val="王越的表头"/>
    <w:basedOn w:val="169"/>
    <w:qFormat/>
    <w:uiPriority w:val="0"/>
    <w:pPr>
      <w:spacing w:line="240" w:lineRule="auto"/>
      <w:ind w:firstLine="0" w:firstLineChars="0"/>
      <w:jc w:val="center"/>
    </w:pPr>
    <w:rPr>
      <w:b/>
    </w:rPr>
  </w:style>
  <w:style w:type="paragraph" w:customStyle="1" w:styleId="169">
    <w:name w:val="王越的正文"/>
    <w:basedOn w:val="1"/>
    <w:qFormat/>
    <w:uiPriority w:val="0"/>
    <w:pPr>
      <w:ind w:firstLine="480"/>
      <w:jc w:val="left"/>
    </w:pPr>
    <w:rPr>
      <w:rFonts w:ascii="宋体" w:hAnsi="宋体"/>
    </w:rPr>
  </w:style>
  <w:style w:type="paragraph" w:customStyle="1" w:styleId="170">
    <w:name w:val="王越的表格"/>
    <w:basedOn w:val="169"/>
    <w:qFormat/>
    <w:uiPriority w:val="0"/>
    <w:pPr>
      <w:spacing w:line="240" w:lineRule="auto"/>
      <w:ind w:firstLine="0" w:firstLineChars="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0</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dcterms:modified xsi:type="dcterms:W3CDTF">2026-07-10T06:23:14Z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