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0" w:name="_Hlk116912023"/>
    </w:p>
    <w:p>
      <w:pPr>
        <w:pStyle w:val="4"/>
        <w:spacing w:before="0" w:line="360" w:lineRule="auto"/>
        <w:jc w:val="center"/>
        <w:rPr>
          <w:rFonts w:hint="eastAsia" w:ascii="宋体" w:hAnsi="宋体" w:eastAsia="宋体" w:cs="宋体"/>
          <w:sz w:val="28"/>
        </w:rPr>
      </w:pPr>
      <w:bookmarkStart w:id="1" w:name="_Toc156309079"/>
      <w:r>
        <w:rPr>
          <w:rFonts w:hint="eastAsia" w:ascii="宋体" w:hAnsi="宋体" w:eastAsia="宋体" w:cs="宋体"/>
          <w:sz w:val="28"/>
        </w:rPr>
        <w:t>一  需求</w:t>
      </w:r>
      <w:bookmarkEnd w:id="1"/>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4079"/>
        <w:gridCol w:w="1309"/>
        <w:gridCol w:w="2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424" w:type="pct"/>
            <w:vAlign w:val="center"/>
          </w:tcPr>
          <w:p>
            <w:pPr>
              <w:tabs>
                <w:tab w:val="left" w:pos="945"/>
                <w:tab w:val="left" w:pos="2977"/>
              </w:tabs>
              <w:spacing w:line="360" w:lineRule="auto"/>
              <w:contextualSpacing/>
              <w:rPr>
                <w:rFonts w:hint="eastAsia" w:ascii="宋体" w:hAnsi="宋体" w:eastAsia="宋体" w:cs="宋体"/>
                <w:sz w:val="24"/>
              </w:rPr>
            </w:pPr>
            <w:r>
              <w:rPr>
                <w:rFonts w:hint="eastAsia" w:ascii="宋体" w:hAnsi="宋体" w:eastAsia="宋体" w:cs="宋体"/>
                <w:sz w:val="24"/>
              </w:rPr>
              <w:t>包号</w:t>
            </w:r>
          </w:p>
        </w:tc>
        <w:tc>
          <w:tcPr>
            <w:tcW w:w="2393" w:type="pct"/>
            <w:vAlign w:val="center"/>
          </w:tcPr>
          <w:p>
            <w:pPr>
              <w:tabs>
                <w:tab w:val="left" w:pos="945"/>
                <w:tab w:val="left" w:pos="2977"/>
              </w:tabs>
              <w:spacing w:line="360" w:lineRule="auto"/>
              <w:contextualSpacing/>
              <w:jc w:val="center"/>
              <w:rPr>
                <w:rFonts w:hint="eastAsia" w:ascii="宋体" w:hAnsi="宋体" w:eastAsia="宋体" w:cs="宋体"/>
                <w:sz w:val="24"/>
              </w:rPr>
            </w:pPr>
            <w:r>
              <w:rPr>
                <w:rFonts w:hint="eastAsia" w:ascii="宋体" w:hAnsi="宋体" w:eastAsia="宋体" w:cs="宋体"/>
                <w:sz w:val="24"/>
              </w:rPr>
              <w:t>服务内容</w:t>
            </w:r>
          </w:p>
        </w:tc>
        <w:tc>
          <w:tcPr>
            <w:tcW w:w="768" w:type="pct"/>
            <w:vAlign w:val="center"/>
          </w:tcPr>
          <w:p>
            <w:pPr>
              <w:spacing w:line="360" w:lineRule="auto"/>
              <w:contextualSpacing/>
              <w:jc w:val="center"/>
              <w:rPr>
                <w:rFonts w:hint="eastAsia" w:ascii="宋体" w:hAnsi="宋体" w:eastAsia="宋体" w:cs="宋体"/>
                <w:sz w:val="24"/>
              </w:rPr>
            </w:pPr>
            <w:r>
              <w:rPr>
                <w:rFonts w:hint="eastAsia" w:ascii="宋体" w:hAnsi="宋体" w:eastAsia="宋体" w:cs="宋体"/>
                <w:sz w:val="24"/>
              </w:rPr>
              <w:t>服务期</w:t>
            </w:r>
          </w:p>
        </w:tc>
        <w:tc>
          <w:tcPr>
            <w:tcW w:w="1415" w:type="pct"/>
            <w:vAlign w:val="center"/>
          </w:tcPr>
          <w:p>
            <w:pPr>
              <w:spacing w:line="360" w:lineRule="auto"/>
              <w:contextualSpacing/>
              <w:jc w:val="center"/>
              <w:rPr>
                <w:rFonts w:hint="eastAsia" w:ascii="宋体" w:hAnsi="宋体" w:eastAsia="宋体" w:cs="宋体"/>
                <w:sz w:val="24"/>
              </w:rPr>
            </w:pPr>
            <w:r>
              <w:rPr>
                <w:rFonts w:hint="eastAsia" w:ascii="宋体" w:hAnsi="宋体" w:eastAsia="宋体" w:cs="宋体"/>
                <w:sz w:val="24"/>
              </w:rPr>
              <w:t>服务地点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424" w:type="pct"/>
            <w:vAlign w:val="center"/>
          </w:tcPr>
          <w:p>
            <w:pPr>
              <w:tabs>
                <w:tab w:val="left" w:pos="945"/>
                <w:tab w:val="left" w:pos="2977"/>
              </w:tabs>
              <w:spacing w:line="360" w:lineRule="auto"/>
              <w:contextualSpacing/>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w:t>
            </w:r>
          </w:p>
        </w:tc>
        <w:tc>
          <w:tcPr>
            <w:tcW w:w="2393" w:type="pct"/>
            <w:vAlign w:val="center"/>
          </w:tcPr>
          <w:p>
            <w:pPr>
              <w:tabs>
                <w:tab w:val="left" w:pos="945"/>
                <w:tab w:val="left" w:pos="2977"/>
              </w:tabs>
              <w:spacing w:line="360" w:lineRule="auto"/>
              <w:contextualSpacing/>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病原体多重检测、基因检测</w:t>
            </w:r>
          </w:p>
        </w:tc>
        <w:tc>
          <w:tcPr>
            <w:tcW w:w="768" w:type="pct"/>
            <w:vAlign w:val="center"/>
          </w:tcPr>
          <w:p>
            <w:pPr>
              <w:spacing w:line="360" w:lineRule="auto"/>
              <w:contextualSpacing/>
              <w:jc w:val="center"/>
              <w:rPr>
                <w:rFonts w:hint="eastAsia" w:ascii="宋体" w:hAnsi="宋体" w:eastAsia="宋体" w:cs="宋体"/>
                <w:sz w:val="24"/>
              </w:rPr>
            </w:pPr>
            <w:r>
              <w:rPr>
                <w:rFonts w:hint="eastAsia" w:ascii="宋体" w:hAnsi="宋体" w:eastAsia="宋体" w:cs="宋体"/>
                <w:sz w:val="24"/>
              </w:rPr>
              <w:t>1年</w:t>
            </w:r>
          </w:p>
        </w:tc>
        <w:tc>
          <w:tcPr>
            <w:tcW w:w="1415" w:type="pct"/>
            <w:vAlign w:val="center"/>
          </w:tcPr>
          <w:p>
            <w:pPr>
              <w:spacing w:line="360" w:lineRule="auto"/>
              <w:contextualSpacing/>
              <w:jc w:val="center"/>
              <w:rPr>
                <w:rFonts w:hint="eastAsia" w:ascii="宋体" w:hAnsi="宋体" w:eastAsia="宋体" w:cs="宋体"/>
                <w:sz w:val="24"/>
              </w:rPr>
            </w:pPr>
            <w:r>
              <w:rPr>
                <w:rFonts w:hint="eastAsia" w:ascii="宋体" w:hAnsi="宋体" w:eastAsia="宋体" w:cs="宋体"/>
                <w:sz w:val="24"/>
              </w:rPr>
              <w:t>北京清华长庚医院</w:t>
            </w:r>
          </w:p>
        </w:tc>
      </w:tr>
    </w:tbl>
    <w:p>
      <w:pPr>
        <w:tabs>
          <w:tab w:val="left" w:pos="945"/>
          <w:tab w:val="left" w:pos="2977"/>
        </w:tabs>
        <w:spacing w:line="360" w:lineRule="auto"/>
        <w:ind w:left="2977" w:hanging="2977"/>
        <w:rPr>
          <w:rFonts w:hint="eastAsia" w:ascii="宋体" w:hAnsi="宋体" w:eastAsia="宋体" w:cs="宋体"/>
          <w:sz w:val="24"/>
        </w:rPr>
      </w:pPr>
    </w:p>
    <w:p>
      <w:pPr>
        <w:pStyle w:val="4"/>
        <w:spacing w:before="0" w:line="360" w:lineRule="auto"/>
        <w:jc w:val="center"/>
        <w:rPr>
          <w:rFonts w:hint="eastAsia" w:ascii="宋体" w:hAnsi="宋体" w:eastAsia="宋体" w:cs="宋体"/>
          <w:sz w:val="28"/>
        </w:rPr>
      </w:pPr>
      <w:bookmarkStart w:id="2" w:name="_Toc156309080"/>
      <w:r>
        <w:rPr>
          <w:rFonts w:hint="eastAsia" w:ascii="宋体" w:hAnsi="宋体" w:eastAsia="宋体" w:cs="宋体"/>
          <w:sz w:val="28"/>
        </w:rPr>
        <w:t>二  技术要求</w:t>
      </w:r>
      <w:bookmarkEnd w:id="2"/>
    </w:p>
    <w:p>
      <w:pPr>
        <w:pStyle w:val="5"/>
        <w:ind w:firstLine="0"/>
        <w:rPr>
          <w:rFonts w:hint="eastAsia" w:ascii="宋体" w:hAnsi="宋体" w:eastAsia="宋体" w:cs="宋体"/>
        </w:rPr>
      </w:pPr>
    </w:p>
    <w:p>
      <w:pPr>
        <w:pStyle w:val="6"/>
        <w:numPr>
          <w:ilvl w:val="0"/>
          <w:numId w:val="1"/>
        </w:numPr>
        <w:spacing w:line="360" w:lineRule="auto"/>
        <w:ind w:left="0" w:firstLine="0"/>
        <w:rPr>
          <w:rFonts w:hint="eastAsia" w:ascii="宋体" w:hAnsi="宋体" w:eastAsia="宋体" w:cs="宋体"/>
        </w:rPr>
      </w:pPr>
      <w:r>
        <w:rPr>
          <w:rFonts w:hint="eastAsia" w:ascii="宋体" w:hAnsi="宋体" w:eastAsia="宋体" w:cs="宋体"/>
        </w:rPr>
        <w:t>项目概况</w:t>
      </w:r>
    </w:p>
    <w:p>
      <w:pPr>
        <w:pStyle w:val="5"/>
        <w:spacing w:line="360" w:lineRule="auto"/>
        <w:ind w:firstLine="480" w:firstLineChars="200"/>
        <w:rPr>
          <w:rFonts w:hint="eastAsia" w:ascii="宋体" w:hAnsi="宋体" w:eastAsia="宋体" w:cs="宋体"/>
        </w:rPr>
      </w:pPr>
      <w:r>
        <w:rPr>
          <w:rFonts w:hint="eastAsia" w:ascii="宋体" w:hAnsi="宋体" w:eastAsia="宋体" w:cs="宋体"/>
          <w:lang w:val="en-US" w:eastAsia="zh-CN"/>
        </w:rPr>
        <w:t>遴选</w:t>
      </w:r>
      <w:r>
        <w:rPr>
          <w:rFonts w:hint="eastAsia" w:ascii="宋体" w:hAnsi="宋体" w:eastAsia="宋体" w:cs="宋体"/>
        </w:rPr>
        <w:t>部分外检项目：我院有部分检测项目，由于病例数有限和设备技术等条件所限，</w:t>
      </w:r>
      <w:r>
        <w:rPr>
          <w:rFonts w:hint="eastAsia" w:ascii="宋体" w:hAnsi="宋体" w:eastAsia="宋体" w:cs="宋体"/>
          <w:lang w:val="en-US" w:eastAsia="zh-CN"/>
        </w:rPr>
        <w:t>25</w:t>
      </w:r>
      <w:r>
        <w:rPr>
          <w:rFonts w:hint="eastAsia" w:ascii="宋体" w:hAnsi="宋体" w:eastAsia="宋体" w:cs="宋体"/>
        </w:rPr>
        <w:t>个检验项目暂时无法在我医院检验科开展，特此进行委外检验。经临床科室提出需求，检验科进行能力评估，现将部分外检项目进行</w:t>
      </w:r>
      <w:r>
        <w:rPr>
          <w:rFonts w:hint="eastAsia" w:ascii="宋体" w:hAnsi="宋体" w:eastAsia="宋体" w:cs="宋体"/>
          <w:lang w:val="en-US" w:eastAsia="zh-CN"/>
        </w:rPr>
        <w:t>院内遴选</w:t>
      </w:r>
      <w:r>
        <w:rPr>
          <w:rFonts w:hint="eastAsia" w:ascii="宋体" w:hAnsi="宋体" w:eastAsia="宋体" w:cs="宋体"/>
        </w:rPr>
        <w:t>，具体项目清单及要求如下：</w:t>
      </w:r>
    </w:p>
    <w:p>
      <w:pPr>
        <w:pStyle w:val="6"/>
        <w:numPr>
          <w:ilvl w:val="0"/>
          <w:numId w:val="1"/>
        </w:numPr>
        <w:spacing w:line="360" w:lineRule="auto"/>
        <w:ind w:left="0" w:firstLine="0"/>
        <w:rPr>
          <w:rFonts w:hint="eastAsia" w:ascii="宋体" w:hAnsi="宋体" w:eastAsia="宋体" w:cs="宋体"/>
        </w:rPr>
      </w:pPr>
      <w:r>
        <w:rPr>
          <w:rFonts w:hint="eastAsia" w:ascii="宋体" w:hAnsi="宋体" w:eastAsia="宋体" w:cs="宋体"/>
        </w:rPr>
        <w:t>项目清单</w:t>
      </w:r>
    </w:p>
    <w:tbl>
      <w:tblPr>
        <w:tblStyle w:val="11"/>
        <w:tblW w:w="98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2345"/>
        <w:gridCol w:w="3467"/>
        <w:gridCol w:w="1019"/>
        <w:gridCol w:w="853"/>
        <w:gridCol w:w="14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序号</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项目名称</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检测内容</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市场价（元）</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结算价（元）</w:t>
            </w:r>
          </w:p>
        </w:tc>
        <w:tc>
          <w:tcPr>
            <w:tcW w:w="1482" w:type="dxa"/>
            <w:vAlign w:val="center"/>
          </w:tcPr>
          <w:p>
            <w:pPr>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检测时效</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清华长庚检验科收件开始计时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超广谱病原微生物mNGS检测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可筛查临床样本中与人类疾病相关的三万多种病原微生物，指标涵盖DNA病毒、RNA病毒（包括新型冠状病毒SARS-CoV-2）、细菌、真菌、寄生虫、耐药基因等</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4000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2160</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p>
        </w:tc>
        <w:tc>
          <w:tcPr>
            <w:tcW w:w="2345"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个人全外显子组基因检测（临床全外显子组基因检测）</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包含人类所有基因的外显子编码区，不包括外显缺失重复，动态突变和染色体易位检测等。</w:t>
            </w:r>
          </w:p>
        </w:tc>
        <w:tc>
          <w:tcPr>
            <w:tcW w:w="1019"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5200</w:t>
            </w:r>
          </w:p>
        </w:tc>
        <w:tc>
          <w:tcPr>
            <w:tcW w:w="85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2808</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PD-L1 表达检测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PD-L1 表达水平</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1188</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微卫星不稳定性检测（MSI）</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核苷酸重复位点共6个</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2400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1296</w:t>
            </w:r>
          </w:p>
        </w:tc>
        <w:tc>
          <w:tcPr>
            <w:tcW w:w="1482" w:type="dxa"/>
            <w:vAlign w:val="center"/>
          </w:tcPr>
          <w:p>
            <w:pPr>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HER-2基因扩增检测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HER-2基因扩增</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3000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1620</w:t>
            </w:r>
          </w:p>
        </w:tc>
        <w:tc>
          <w:tcPr>
            <w:tcW w:w="1482" w:type="dxa"/>
            <w:vAlign w:val="center"/>
          </w:tcPr>
          <w:p>
            <w:pPr>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w:t>
            </w:r>
          </w:p>
        </w:tc>
        <w:tc>
          <w:tcPr>
            <w:tcW w:w="2345"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乳腺癌预后评估基因检测（</w:t>
            </w:r>
            <w:r>
              <w:rPr>
                <w:rStyle w:val="21"/>
                <w:rFonts w:hint="eastAsia" w:asciiTheme="minorEastAsia" w:hAnsiTheme="minorEastAsia" w:eastAsiaTheme="minorEastAsia" w:cstheme="minorEastAsia"/>
                <w:color w:val="000000" w:themeColor="text1"/>
                <w:lang w:val="en-US" w:eastAsia="zh-CN" w:bidi="ar"/>
                <w14:textFill>
                  <w14:solidFill>
                    <w14:schemeClr w14:val="tx1"/>
                  </w14:solidFill>
                </w14:textFill>
              </w:rPr>
              <w:t>21</w:t>
            </w: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基因）</w:t>
            </w:r>
          </w:p>
        </w:tc>
        <w:tc>
          <w:tcPr>
            <w:tcW w:w="3467"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乳腺癌预后相关</w:t>
            </w:r>
            <w:r>
              <w:rPr>
                <w:rStyle w:val="21"/>
                <w:rFonts w:hint="eastAsia" w:asciiTheme="minorEastAsia" w:hAnsiTheme="minorEastAsia" w:eastAsiaTheme="minorEastAsia" w:cstheme="minorEastAsia"/>
                <w:color w:val="000000" w:themeColor="text1"/>
                <w:lang w:val="en-US" w:eastAsia="zh-CN" w:bidi="ar"/>
                <w14:textFill>
                  <w14:solidFill>
                    <w14:schemeClr w14:val="tx1"/>
                  </w14:solidFill>
                </w14:textFill>
              </w:rPr>
              <w:t>21</w:t>
            </w: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个基因</w:t>
            </w:r>
          </w:p>
        </w:tc>
        <w:tc>
          <w:tcPr>
            <w:tcW w:w="1019"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5000</w:t>
            </w:r>
          </w:p>
        </w:tc>
        <w:tc>
          <w:tcPr>
            <w:tcW w:w="85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2700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w:t>
            </w:r>
          </w:p>
        </w:tc>
        <w:tc>
          <w:tcPr>
            <w:tcW w:w="2345"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遗传性肿瘤基因检测全面版</w:t>
            </w:r>
          </w:p>
        </w:tc>
        <w:tc>
          <w:tcPr>
            <w:tcW w:w="3467"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2"/>
                <w:rFonts w:hint="eastAsia" w:asciiTheme="minorEastAsia" w:hAnsiTheme="minorEastAsia" w:eastAsiaTheme="minorEastAsia" w:cstheme="minorEastAsia"/>
                <w:color w:val="000000" w:themeColor="text1"/>
                <w:lang w:val="en-US" w:eastAsia="zh-CN" w:bidi="ar"/>
                <w14:textFill>
                  <w14:solidFill>
                    <w14:schemeClr w14:val="tx1"/>
                  </w14:solidFill>
                </w14:textFill>
              </w:rPr>
              <w:t>采用二代测序技术，利用目标区域捕获测序方法对</w:t>
            </w:r>
            <w:r>
              <w:rPr>
                <w:rStyle w:val="23"/>
                <w:rFonts w:hint="eastAsia" w:asciiTheme="minorEastAsia" w:hAnsiTheme="minorEastAsia" w:eastAsiaTheme="minorEastAsia" w:cstheme="minorEastAsia"/>
                <w:color w:val="000000" w:themeColor="text1"/>
                <w:lang w:val="en-US" w:eastAsia="zh-CN" w:bidi="ar"/>
                <w14:textFill>
                  <w14:solidFill>
                    <w14:schemeClr w14:val="tx1"/>
                  </w14:solidFill>
                </w14:textFill>
              </w:rPr>
              <w:t xml:space="preserve"> 60 </w:t>
            </w:r>
            <w:r>
              <w:rPr>
                <w:rStyle w:val="22"/>
                <w:rFonts w:hint="eastAsia" w:asciiTheme="minorEastAsia" w:hAnsiTheme="minorEastAsia" w:eastAsiaTheme="minorEastAsia" w:cstheme="minorEastAsia"/>
                <w:color w:val="000000" w:themeColor="text1"/>
                <w:lang w:val="en-US" w:eastAsia="zh-CN" w:bidi="ar"/>
                <w14:textFill>
                  <w14:solidFill>
                    <w14:schemeClr w14:val="tx1"/>
                  </w14:solidFill>
                </w14:textFill>
              </w:rPr>
              <w:t>种肿瘤相关基因进行检测，包含所检测基因外显子区域的所有突变位点信息，检测内容包括点突变、插入/缺失突变、扩增及基因重排、融合等变异信息。全面检测遗传性肿瘤的基因突变，评估个体肿瘤易感风险。</w:t>
            </w:r>
          </w:p>
        </w:tc>
        <w:tc>
          <w:tcPr>
            <w:tcW w:w="1019"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6000</w:t>
            </w:r>
          </w:p>
        </w:tc>
        <w:tc>
          <w:tcPr>
            <w:tcW w:w="85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3240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w:t>
            </w:r>
          </w:p>
        </w:tc>
        <w:tc>
          <w:tcPr>
            <w:tcW w:w="2345"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实体肿瘤多基因</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变异检测（组</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织 -1000+）</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基于新一代高通量测序 (NGS) 技术，一次性检测与靶向药物信息、化疗及内分泌用药信息、遗传性肿瘤信息、免疫治疗相关信息 (MSI 和 TMB)、肿瘤核心信号通路信息、肿瘤预后信息相关的1296个基因。检测的变异类型包括点突变、 插入 / 缺失、扩增及基因融合等全部变异类型，帮助医生为患者制定专业的个体化治疗方案。</w:t>
            </w:r>
          </w:p>
        </w:tc>
        <w:tc>
          <w:tcPr>
            <w:tcW w:w="1019"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16800</w:t>
            </w:r>
          </w:p>
        </w:tc>
        <w:tc>
          <w:tcPr>
            <w:tcW w:w="85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9072</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w:t>
            </w:r>
          </w:p>
        </w:tc>
        <w:tc>
          <w:tcPr>
            <w:tcW w:w="2345"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实体肿瘤多基因</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变异检测（血</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液 -1000+）</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基于新一代高通量测序 (NGS) 技术，一次性检测与靶向药物信息、化疗及内分泌用药信息、遗传性肿瘤信息、免疫治疗相关信息 (MSI 和 TMB)、肿瘤核心信号通路信息、肿瘤预后信息相关的1296个基因。检测的变异类型包括点突变、 插入 / 缺失、扩增及基因融合等全部变异类型，帮助医生为患者制定专业的个体化治疗方案。该检测全面，适用于实体瘤患者。</w:t>
            </w:r>
          </w:p>
        </w:tc>
        <w:tc>
          <w:tcPr>
            <w:tcW w:w="1019"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16800</w:t>
            </w:r>
          </w:p>
        </w:tc>
        <w:tc>
          <w:tcPr>
            <w:tcW w:w="85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9072</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2345"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4"/>
                <w:rFonts w:hint="eastAsia" w:asciiTheme="minorEastAsia" w:hAnsiTheme="minorEastAsia" w:eastAsiaTheme="minorEastAsia" w:cstheme="minorEastAsia"/>
                <w:color w:val="000000" w:themeColor="text1"/>
                <w:lang w:val="en-US" w:eastAsia="zh-CN" w:bidi="ar"/>
                <w14:textFill>
                  <w14:solidFill>
                    <w14:schemeClr w14:val="tx1"/>
                  </w14:solidFill>
                </w14:textFill>
              </w:rPr>
              <w:t>基因拷贝数变异测序</w:t>
            </w:r>
            <w:r>
              <w:rPr>
                <w:rStyle w:val="25"/>
                <w:rFonts w:hint="eastAsia" w:asciiTheme="minorEastAsia" w:hAnsiTheme="minorEastAsia" w:eastAsiaTheme="minorEastAsia" w:cstheme="minorEastAsia"/>
                <w:color w:val="000000" w:themeColor="text1"/>
                <w:lang w:val="en-US" w:eastAsia="zh-CN" w:bidi="ar"/>
                <w14:textFill>
                  <w14:solidFill>
                    <w14:schemeClr w14:val="tx1"/>
                  </w14:solidFill>
                </w14:textFill>
              </w:rPr>
              <w:t>(CNV-seq)1.0</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3 对染色体非整倍体以及大于 100KB 的微缺失 / 微重复</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检测</w:t>
            </w:r>
          </w:p>
        </w:tc>
        <w:tc>
          <w:tcPr>
            <w:tcW w:w="1019"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2500</w:t>
            </w:r>
          </w:p>
        </w:tc>
        <w:tc>
          <w:tcPr>
            <w:tcW w:w="85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1350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儿童安全用药基因检测（II）</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51个基因82个位点127种药物</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12</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染色体核型分型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23对染色体异常检测</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270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13</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二十三项遗传性耳聋相关基因检测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先天性耳聋、药物性耳聋、大前庭水管综合征检测</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1650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891</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14</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遗传性耳聋18个基因100个位点相关基因突变检测（高通量测序法）</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覆盖非综合征耳聋和综合征耳聋相关的18个基因100个位点变异信息。</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6050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3267</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遗传性耳聋基因检测（227个基因+线粒体基因组）</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227个核基因组+线粒体基因组全序列，覆盖已报道的非综合征耳聋和综合征耳聋。</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6000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3240</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16</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GJB2编码区及剪切位点检测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GJB2外显子及其上下游10bp内含子单碱基突变、小插入缺失（&lt;20bp）</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1080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17</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SLC26A4编码区及剪切位点检测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SLC26A4基因外显子及其上下游10bp内含子单碱基突变、小插入缺失（&lt;20bp）</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1080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18</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杜氏/贝氏肌营养不良症(DMD/BMD)基因检测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DMD基因79个外显子编码区及其上下游50bp内含子以及21个内含子区域单碱基突变、小插入缺失（&lt;20bp）、外显子重复、外显子缺失</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3500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1890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19</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神经肌肉系统遗传病基因检测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覆盖肌营养不良、腓骨肌萎缩症、遗传性痉挛性截瘫等神经肌肉系统1314种遗传病、1004个基因。</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6000</w:t>
            </w:r>
          </w:p>
        </w:tc>
        <w:tc>
          <w:tcPr>
            <w:tcW w:w="853" w:type="dxa"/>
            <w:shd w:val="clear" w:color="auto" w:fill="auto"/>
            <w:vAlign w:val="center"/>
          </w:tcPr>
          <w:p>
            <w:pPr>
              <w:ind w:firstLine="0" w:firstLineChars="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3240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癫痫相关基因检测</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覆盖早期婴儿癫痫性脑病、良性家族性新生儿癫痫等癫痫相关的498种遗传病、452个基因。</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6000</w:t>
            </w:r>
          </w:p>
        </w:tc>
        <w:tc>
          <w:tcPr>
            <w:tcW w:w="853" w:type="dxa"/>
            <w:shd w:val="clear" w:color="auto" w:fill="auto"/>
            <w:vAlign w:val="center"/>
          </w:tcPr>
          <w:p>
            <w:pPr>
              <w:ind w:firstLine="0" w:firstLineChars="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3240</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呼吸系统靶向病原微生物核酸检测（高通量测序法）</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270</w:t>
            </w:r>
            <w:r>
              <w:rPr>
                <w:rFonts w:hint="eastAsia" w:asciiTheme="minorEastAsia" w:hAnsiTheme="minorEastAsia" w:eastAsiaTheme="minorEastAsia" w:cstheme="minorEastAsia"/>
                <w:color w:val="000000" w:themeColor="text1"/>
                <w:sz w:val="24"/>
                <w:szCs w:val="24"/>
                <w14:textFill>
                  <w14:solidFill>
                    <w14:schemeClr w14:val="tx1"/>
                  </w14:solidFill>
                </w14:textFill>
              </w:rPr>
              <w:t>多种呼吸系统感染常见病原微生物，指标涵盖DNA病毒、RNA病毒(包括新型冠状病毒 SARSCoV-2)、细菌、真菌、寄生虫等。</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985</w:t>
            </w:r>
          </w:p>
        </w:tc>
        <w:tc>
          <w:tcPr>
            <w:tcW w:w="853" w:type="dxa"/>
            <w:shd w:val="clear" w:color="auto" w:fill="auto"/>
            <w:vAlign w:val="center"/>
          </w:tcPr>
          <w:p>
            <w:pPr>
              <w:ind w:firstLine="0" w:firstLineChars="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531.9</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中枢神经系统靶向病原微生物核酸检测（高通量测序法）</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可检测230多种中枢神经系统感染常见病原微生物，指标涵盖DNA病毒、RNA病毒、细菌、真菌、寄生虫等。</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985</w:t>
            </w:r>
          </w:p>
        </w:tc>
        <w:tc>
          <w:tcPr>
            <w:tcW w:w="853" w:type="dxa"/>
            <w:shd w:val="clear" w:color="auto" w:fill="auto"/>
            <w:vAlign w:val="center"/>
          </w:tcPr>
          <w:p>
            <w:pPr>
              <w:ind w:firstLine="0" w:firstLineChars="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531.9</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血流感染靶向病原微生物核酸检测（高通量测序法）</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可检测230多种血流感染常见病原微生物，指标涵盖 DNA 病毒、RNA病毒、细菌、真菌、寄生虫等。</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985</w:t>
            </w:r>
          </w:p>
        </w:tc>
        <w:tc>
          <w:tcPr>
            <w:tcW w:w="853" w:type="dxa"/>
            <w:shd w:val="clear" w:color="auto" w:fill="auto"/>
            <w:vAlign w:val="center"/>
          </w:tcPr>
          <w:p>
            <w:pPr>
              <w:ind w:firstLine="0" w:firstLineChars="0"/>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531.9</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24</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泌尿生殖系统靶向病原微生物核酸检测（高通量测序法）</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可检测72种尿道炎、膀胱炎、肾盂肾炎以及尿脓毒症等泌尿生殖系统感染常见病原微生物，指标涵盖DNA病毒、细菌、真菌、寄生虫等。</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985</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531.9</w:t>
            </w:r>
          </w:p>
        </w:tc>
        <w:tc>
          <w:tcPr>
            <w:tcW w:w="1482" w:type="dxa"/>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25</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单基因病扩展性携带者筛查（基础版）-单人</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可检测24个基因，24种疾病亚型，8000多个致病性和可能致病性位点。</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1800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972</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26</w:t>
            </w:r>
          </w:p>
        </w:tc>
        <w:tc>
          <w:tcPr>
            <w:tcW w:w="234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单基因病扩展性携带者筛查（核心版）-单人</w:t>
            </w:r>
          </w:p>
        </w:tc>
        <w:tc>
          <w:tcPr>
            <w:tcW w:w="3467"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可检测200多个基因，300多种疾病亚型，15800多个致病性和可能致病性位点。</w:t>
            </w:r>
          </w:p>
        </w:tc>
        <w:tc>
          <w:tcPr>
            <w:tcW w:w="1019"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2800</w:t>
            </w:r>
          </w:p>
        </w:tc>
        <w:tc>
          <w:tcPr>
            <w:tcW w:w="85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1512</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5"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27</w:t>
            </w:r>
          </w:p>
        </w:tc>
        <w:tc>
          <w:tcPr>
            <w:tcW w:w="2345"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家系（Trio）全外显子组基因检测</w:t>
            </w:r>
          </w:p>
        </w:tc>
        <w:tc>
          <w:tcPr>
            <w:tcW w:w="3467"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核心家系3人均个人全外检测，覆盖人类所有基因的外显子编码区，可检测单碱基突变和小的插入缺失突变，不包括外显子缺失重复、动态突变和染色体易位检测等。</w:t>
            </w:r>
          </w:p>
        </w:tc>
        <w:tc>
          <w:tcPr>
            <w:tcW w:w="1019"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12000</w:t>
            </w:r>
          </w:p>
        </w:tc>
        <w:tc>
          <w:tcPr>
            <w:tcW w:w="85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5616</w:t>
            </w:r>
          </w:p>
        </w:tc>
        <w:tc>
          <w:tcPr>
            <w:tcW w:w="148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21</w:t>
            </w:r>
          </w:p>
        </w:tc>
      </w:tr>
    </w:tbl>
    <w:p>
      <w:pPr>
        <w:rPr>
          <w:rFonts w:hint="eastAsia" w:ascii="宋体" w:hAnsi="宋体" w:eastAsia="宋体" w:cs="宋体"/>
        </w:rPr>
      </w:pPr>
    </w:p>
    <w:p>
      <w:pPr>
        <w:pStyle w:val="6"/>
        <w:numPr>
          <w:ilvl w:val="0"/>
          <w:numId w:val="1"/>
        </w:numPr>
        <w:rPr>
          <w:rFonts w:hint="eastAsia" w:ascii="宋体" w:hAnsi="宋体" w:eastAsia="宋体" w:cs="宋体"/>
        </w:rPr>
      </w:pPr>
      <w:r>
        <w:rPr>
          <w:rFonts w:hint="eastAsia" w:ascii="宋体" w:hAnsi="宋体" w:eastAsia="宋体" w:cs="宋体"/>
        </w:rPr>
        <w:t>服务要求</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建立并完善质量管理体系，保持良好的运行，按照国家相关法律法规要求，保证检测结果的准确性，在规定时间负责收取运送标本、并执行检测、发布报告工作，回答临床咨询并处理相关风险。</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投标单位所有检测人员具备执业资格，具备项目所需符合条件的实验操作人员，保证人员数量，具备对实验操作人员的培训和规范管理能力。</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具备对医院招标项目进行检测的设备并保持良好使用维护状态，提供设备购买凭证或发票或租赁合同。</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检验所使用的试剂、检测方法必须符合国家标准，所申报项目的检测方法为业内公认或国际通用的检测方法，并参加国家卫健委、市卫健委临检中心室间质评或实验室间比对。</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提供招标项目所需的相关耗材和管理性文件，如申请单、标本和报告转接记录单和规范标本转运箱等。</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投标人可提供工作日接收标本服务；收取标本时，须对标本的完好性进行核查，对不合格的送检标本有权拒收；按双方约定的时间取送标本；避免发生样本损坏、丢失信息混乱等意外事件，有完善的记录可追溯。</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对于医院所提供标本的相关信息需要负有保密责任，但因相关法律、法规的明确规定，必须向有关国家机关、政府部门及公众披露的除外。</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派专人、专车负责送检标本的安全运输，并保证必须的“冷链”运输。</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双方约定发布报告的时间和格式，并需征得医院科室的同意确认，投标人应在投标文件中清楚表明是否响应医院报告周期的要求，并将已检验标本及检验报告按照行业规范化要求保存适当时间。</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具备客服部，工作日可对医院和患者的问题进行实时响应；在院方要求或双方约定的期限内出具准确的检测报告；回答临床咨询和承担报告结果解释工作。</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检验服务所涉及到的标本采集、结果报告周期、标本保存条件等能够满足临床需要并符合行业标准。</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投标人应承担因检测质量问题带来的风险和后果，不对采购人构成经济和社会声誉影响。</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及时完成项目耗材的配送，不延误医院使用并保证供应安全，达到卫生行业标准。</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投标人应接受采购人不定</w:t>
      </w:r>
      <w:r>
        <w:rPr>
          <w:rFonts w:hint="eastAsia" w:cs="宋体"/>
          <w:lang w:val="en-US" w:eastAsia="zh-CN"/>
        </w:rPr>
        <w:t>期</w:t>
      </w:r>
      <w:r>
        <w:rPr>
          <w:rFonts w:hint="eastAsia" w:ascii="宋体" w:hAnsi="宋体" w:eastAsia="宋体" w:cs="宋体"/>
        </w:rPr>
        <w:t>对进行的质量监控，并如实提供文件资料，投标机构需提供相关证书、资料复印件加盖公章。</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合同签订之日起1年内均能保证满足临床需求。</w:t>
      </w:r>
    </w:p>
    <w:p>
      <w:pPr>
        <w:pStyle w:val="9"/>
        <w:numPr>
          <w:ilvl w:val="0"/>
          <w:numId w:val="2"/>
        </w:numPr>
        <w:shd w:val="clear" w:color="auto" w:fill="FFFFFF"/>
        <w:spacing w:before="0" w:beforeAutospacing="0" w:after="0" w:afterAutospacing="0" w:line="360" w:lineRule="auto"/>
        <w:ind w:left="-480" w:leftChars="0" w:firstLine="480" w:firstLineChars="0"/>
        <w:rPr>
          <w:rFonts w:hint="eastAsia" w:ascii="宋体" w:hAnsi="宋体" w:eastAsia="宋体" w:cs="宋体"/>
        </w:rPr>
      </w:pPr>
      <w:r>
        <w:rPr>
          <w:rFonts w:hint="eastAsia" w:ascii="宋体" w:hAnsi="宋体" w:eastAsia="宋体" w:cs="宋体"/>
        </w:rPr>
        <w:t>各项检验项目的报告时效要求要达到项目清单中所列时效要求。</w:t>
      </w:r>
      <w:bookmarkEnd w:id="0"/>
    </w:p>
    <w:p>
      <w:pPr>
        <w:pStyle w:val="2"/>
        <w:rPr>
          <w:rFonts w:hint="eastAsia" w:ascii="宋体" w:hAnsi="宋体" w:eastAsia="宋体" w:cs="宋体"/>
        </w:rPr>
      </w:pPr>
    </w:p>
    <w:p>
      <w:pPr>
        <w:pStyle w:val="6"/>
        <w:numPr>
          <w:ilvl w:val="0"/>
          <w:numId w:val="1"/>
        </w:numPr>
        <w:spacing w:line="360" w:lineRule="auto"/>
        <w:ind w:left="0" w:firstLine="0"/>
        <w:rPr>
          <w:rFonts w:hint="eastAsia" w:ascii="宋体" w:hAnsi="宋体" w:eastAsia="宋体" w:cs="宋体"/>
        </w:rPr>
      </w:pPr>
      <w:r>
        <w:rPr>
          <w:rFonts w:hint="eastAsia" w:ascii="宋体" w:hAnsi="宋体" w:eastAsia="宋体" w:cs="宋体"/>
          <w:lang w:val="en-US" w:eastAsia="zh-CN"/>
        </w:rPr>
        <w:t>评审标准</w:t>
      </w:r>
      <w:bookmarkStart w:id="3" w:name="_GoBack"/>
      <w:bookmarkEnd w:id="3"/>
    </w:p>
    <w:tbl>
      <w:tblPr>
        <w:tblStyle w:val="11"/>
        <w:tblpPr w:leftFromText="180" w:rightFromText="180" w:vertAnchor="text" w:horzAnchor="page" w:tblpX="1733" w:tblpY="1245"/>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341"/>
        <w:gridCol w:w="483"/>
        <w:gridCol w:w="5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7" w:type="dxa"/>
            <w:noWrap/>
            <w:vAlign w:val="center"/>
          </w:tcPr>
          <w:p>
            <w:pPr>
              <w:spacing w:line="440" w:lineRule="exact"/>
              <w:jc w:val="center"/>
              <w:rPr>
                <w:rFonts w:hint="eastAsia" w:ascii="宋体" w:hAnsi="宋体" w:eastAsia="宋体" w:cs="宋体"/>
                <w:kern w:val="0"/>
                <w:sz w:val="24"/>
              </w:rPr>
            </w:pPr>
            <w:r>
              <w:rPr>
                <w:rFonts w:hint="eastAsia" w:ascii="宋体" w:hAnsi="宋体" w:eastAsia="宋体" w:cs="宋体"/>
                <w:kern w:val="0"/>
                <w:sz w:val="24"/>
              </w:rPr>
              <w:t>项目分类</w:t>
            </w:r>
          </w:p>
        </w:tc>
        <w:tc>
          <w:tcPr>
            <w:tcW w:w="1341" w:type="dxa"/>
            <w:noWrap/>
            <w:vAlign w:val="center"/>
          </w:tcPr>
          <w:p>
            <w:pPr>
              <w:spacing w:line="440" w:lineRule="exact"/>
              <w:jc w:val="center"/>
              <w:rPr>
                <w:rFonts w:hint="eastAsia" w:ascii="宋体" w:hAnsi="宋体" w:eastAsia="宋体" w:cs="宋体"/>
                <w:kern w:val="0"/>
                <w:sz w:val="24"/>
              </w:rPr>
            </w:pPr>
            <w:r>
              <w:rPr>
                <w:rFonts w:hint="eastAsia" w:ascii="宋体" w:hAnsi="宋体" w:eastAsia="宋体" w:cs="宋体"/>
                <w:kern w:val="0"/>
                <w:sz w:val="24"/>
              </w:rPr>
              <w:t>分项标准</w:t>
            </w:r>
          </w:p>
        </w:tc>
        <w:tc>
          <w:tcPr>
            <w:tcW w:w="483" w:type="dxa"/>
            <w:noWrap/>
            <w:vAlign w:val="center"/>
          </w:tcPr>
          <w:p>
            <w:pPr>
              <w:spacing w:line="440" w:lineRule="exact"/>
              <w:jc w:val="center"/>
              <w:rPr>
                <w:rFonts w:hint="eastAsia" w:ascii="宋体" w:hAnsi="宋体" w:eastAsia="宋体" w:cs="宋体"/>
                <w:kern w:val="0"/>
                <w:sz w:val="24"/>
              </w:rPr>
            </w:pPr>
            <w:r>
              <w:rPr>
                <w:rFonts w:hint="eastAsia" w:ascii="宋体" w:hAnsi="宋体" w:eastAsia="宋体" w:cs="宋体"/>
                <w:kern w:val="0"/>
                <w:sz w:val="24"/>
              </w:rPr>
              <w:t>分值</w:t>
            </w:r>
          </w:p>
        </w:tc>
        <w:tc>
          <w:tcPr>
            <w:tcW w:w="5867" w:type="dxa"/>
            <w:noWrap/>
            <w:vAlign w:val="center"/>
          </w:tcPr>
          <w:p>
            <w:pPr>
              <w:spacing w:line="440" w:lineRule="exact"/>
              <w:jc w:val="center"/>
              <w:rPr>
                <w:rFonts w:hint="eastAsia" w:ascii="宋体" w:hAnsi="宋体" w:eastAsia="宋体" w:cs="宋体"/>
                <w:kern w:val="0"/>
                <w:sz w:val="24"/>
              </w:rPr>
            </w:pPr>
            <w:r>
              <w:rPr>
                <w:rFonts w:hint="eastAsia" w:ascii="宋体" w:hAnsi="宋体" w:eastAsia="宋体" w:cs="宋体"/>
                <w:kern w:val="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7" w:type="dxa"/>
            <w:noWrap/>
            <w:vAlign w:val="center"/>
          </w:tcPr>
          <w:p>
            <w:pPr>
              <w:jc w:val="left"/>
              <w:rPr>
                <w:rFonts w:hint="eastAsia" w:ascii="宋体" w:hAnsi="宋体" w:eastAsia="宋体" w:cs="宋体"/>
                <w:bCs/>
                <w:sz w:val="24"/>
              </w:rPr>
            </w:pPr>
            <w:r>
              <w:rPr>
                <w:rFonts w:hint="eastAsia" w:ascii="宋体" w:hAnsi="宋体" w:eastAsia="宋体" w:cs="宋体"/>
                <w:bCs/>
                <w:sz w:val="24"/>
              </w:rPr>
              <w:t>价格</w:t>
            </w:r>
            <w:r>
              <w:rPr>
                <w:rFonts w:hint="eastAsia" w:ascii="宋体" w:hAnsi="宋体" w:eastAsia="宋体" w:cs="宋体"/>
                <w:bCs/>
                <w:sz w:val="24"/>
                <w:lang w:val="en-US" w:eastAsia="zh-CN"/>
              </w:rPr>
              <w:t>3</w:t>
            </w:r>
            <w:r>
              <w:rPr>
                <w:rFonts w:hint="eastAsia" w:ascii="宋体" w:hAnsi="宋体" w:eastAsia="宋体" w:cs="宋体"/>
                <w:bCs/>
                <w:sz w:val="24"/>
              </w:rPr>
              <w:t>0分</w:t>
            </w:r>
          </w:p>
        </w:tc>
        <w:tc>
          <w:tcPr>
            <w:tcW w:w="1341" w:type="dxa"/>
            <w:noWrap/>
            <w:vAlign w:val="center"/>
          </w:tcPr>
          <w:p>
            <w:pPr>
              <w:widowControl/>
              <w:spacing w:line="440" w:lineRule="exact"/>
              <w:jc w:val="left"/>
              <w:rPr>
                <w:rFonts w:hint="eastAsia" w:ascii="宋体" w:hAnsi="宋体" w:eastAsia="宋体" w:cs="宋体"/>
                <w:kern w:val="0"/>
                <w:sz w:val="24"/>
              </w:rPr>
            </w:pPr>
            <w:r>
              <w:rPr>
                <w:rFonts w:hint="eastAsia" w:ascii="宋体" w:hAnsi="宋体" w:eastAsia="宋体" w:cs="宋体"/>
                <w:kern w:val="0"/>
                <w:sz w:val="24"/>
              </w:rPr>
              <w:t>报价</w:t>
            </w:r>
          </w:p>
        </w:tc>
        <w:tc>
          <w:tcPr>
            <w:tcW w:w="483" w:type="dxa"/>
            <w:noWrap/>
            <w:vAlign w:val="center"/>
          </w:tcPr>
          <w:p>
            <w:pPr>
              <w:widowControl/>
              <w:spacing w:line="440" w:lineRule="exact"/>
              <w:jc w:val="center"/>
              <w:rPr>
                <w:rFonts w:hint="eastAsia" w:ascii="宋体" w:hAnsi="宋体" w:eastAsia="宋体" w:cs="宋体"/>
                <w:kern w:val="0"/>
                <w:sz w:val="24"/>
              </w:rPr>
            </w:pPr>
            <w:r>
              <w:rPr>
                <w:rFonts w:hint="eastAsia" w:ascii="宋体" w:hAnsi="宋体" w:eastAsia="宋体" w:cs="宋体"/>
                <w:kern w:val="0"/>
                <w:sz w:val="24"/>
                <w:lang w:val="en-US" w:eastAsia="zh-CN"/>
              </w:rPr>
              <w:t>3</w:t>
            </w:r>
            <w:r>
              <w:rPr>
                <w:rFonts w:hint="eastAsia" w:ascii="宋体" w:hAnsi="宋体" w:eastAsia="宋体" w:cs="宋体"/>
                <w:kern w:val="0"/>
                <w:sz w:val="24"/>
              </w:rPr>
              <w:t>0</w:t>
            </w:r>
          </w:p>
        </w:tc>
        <w:tc>
          <w:tcPr>
            <w:tcW w:w="5867" w:type="dxa"/>
            <w:noWrap/>
            <w:vAlign w:val="center"/>
          </w:tcPr>
          <w:p>
            <w:pPr>
              <w:jc w:val="left"/>
              <w:rPr>
                <w:rFonts w:hint="eastAsia" w:ascii="宋体" w:hAnsi="宋体" w:eastAsia="宋体" w:cs="宋体"/>
                <w:bCs/>
                <w:sz w:val="24"/>
              </w:rPr>
            </w:pPr>
            <w:r>
              <w:rPr>
                <w:rFonts w:hint="eastAsia" w:ascii="宋体" w:hAnsi="宋体" w:eastAsia="宋体" w:cs="宋体"/>
                <w:bCs/>
                <w:sz w:val="24"/>
              </w:rPr>
              <w:t>评</w:t>
            </w:r>
            <w:r>
              <w:rPr>
                <w:rFonts w:hint="eastAsia" w:ascii="宋体" w:hAnsi="宋体" w:eastAsia="宋体" w:cs="宋体"/>
                <w:bCs/>
                <w:sz w:val="24"/>
                <w:lang w:val="en-US" w:eastAsia="zh-CN"/>
              </w:rPr>
              <w:t>选</w:t>
            </w:r>
            <w:r>
              <w:rPr>
                <w:rFonts w:hint="eastAsia" w:ascii="宋体" w:hAnsi="宋体" w:eastAsia="宋体" w:cs="宋体"/>
                <w:bCs/>
                <w:sz w:val="24"/>
              </w:rPr>
              <w:t>基准价：满足招标文件要求且</w:t>
            </w:r>
            <w:r>
              <w:rPr>
                <w:rFonts w:hint="eastAsia" w:ascii="宋体" w:hAnsi="宋体" w:eastAsia="宋体" w:cs="宋体"/>
                <w:bCs/>
                <w:sz w:val="24"/>
                <w:lang w:val="en-US" w:eastAsia="zh-CN"/>
              </w:rPr>
              <w:t>参与遴选</w:t>
            </w:r>
            <w:r>
              <w:rPr>
                <w:rFonts w:hint="eastAsia" w:ascii="宋体" w:hAnsi="宋体" w:eastAsia="宋体" w:cs="宋体"/>
                <w:bCs/>
                <w:sz w:val="24"/>
              </w:rPr>
              <w:t>价格最低的报价。</w:t>
            </w:r>
            <w:r>
              <w:rPr>
                <w:rFonts w:hint="eastAsia" w:ascii="宋体" w:hAnsi="宋体" w:eastAsia="宋体" w:cs="宋体"/>
                <w:bCs/>
                <w:sz w:val="24"/>
                <w:lang w:val="en-US" w:eastAsia="zh-CN"/>
              </w:rPr>
              <w:t>遴选</w:t>
            </w:r>
            <w:r>
              <w:rPr>
                <w:rFonts w:hint="eastAsia" w:ascii="宋体" w:hAnsi="宋体" w:eastAsia="宋体" w:cs="宋体"/>
                <w:bCs/>
                <w:sz w:val="24"/>
              </w:rPr>
              <w:t>报价得分＝（基准价/</w:t>
            </w:r>
            <w:r>
              <w:rPr>
                <w:rFonts w:hint="eastAsia" w:ascii="宋体" w:hAnsi="宋体" w:eastAsia="宋体" w:cs="宋体"/>
                <w:bCs/>
                <w:sz w:val="24"/>
                <w:lang w:val="en-US" w:eastAsia="zh-CN"/>
              </w:rPr>
              <w:t>报价</w:t>
            </w:r>
            <w:r>
              <w:rPr>
                <w:rFonts w:hint="eastAsia" w:ascii="宋体" w:hAnsi="宋体" w:eastAsia="宋体" w:cs="宋体"/>
                <w:bCs/>
                <w:sz w:val="24"/>
              </w:rPr>
              <w:t>）×</w:t>
            </w:r>
            <w:r>
              <w:rPr>
                <w:rFonts w:hint="eastAsia" w:ascii="宋体" w:hAnsi="宋体" w:eastAsia="宋体" w:cs="宋体"/>
                <w:bCs/>
                <w:sz w:val="24"/>
                <w:lang w:val="en-US" w:eastAsia="zh-CN"/>
              </w:rPr>
              <w:t>3</w:t>
            </w:r>
            <w:r>
              <w:rPr>
                <w:rFonts w:hint="eastAsia" w:ascii="宋体" w:hAnsi="宋体" w:eastAsia="宋体" w:cs="宋体"/>
                <w:bCs/>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7" w:type="dxa"/>
            <w:vMerge w:val="restart"/>
            <w:noWrap/>
            <w:vAlign w:val="center"/>
          </w:tcPr>
          <w:p>
            <w:pPr>
              <w:jc w:val="left"/>
              <w:rPr>
                <w:rFonts w:hint="eastAsia" w:ascii="宋体" w:hAnsi="宋体" w:eastAsia="宋体" w:cs="宋体"/>
                <w:bCs/>
                <w:sz w:val="24"/>
              </w:rPr>
            </w:pPr>
            <w:r>
              <w:rPr>
                <w:rFonts w:hint="eastAsia" w:ascii="宋体" w:hAnsi="宋体" w:eastAsia="宋体" w:cs="宋体"/>
                <w:bCs/>
                <w:sz w:val="24"/>
              </w:rPr>
              <w:t>商务部分</w:t>
            </w:r>
            <w:r>
              <w:rPr>
                <w:rFonts w:hint="eastAsia" w:ascii="宋体" w:hAnsi="宋体" w:eastAsia="宋体" w:cs="宋体"/>
                <w:bCs/>
                <w:sz w:val="24"/>
                <w:lang w:val="en-US" w:eastAsia="zh-CN"/>
              </w:rPr>
              <w:t>15</w:t>
            </w:r>
            <w:r>
              <w:rPr>
                <w:rFonts w:hint="eastAsia" w:ascii="宋体" w:hAnsi="宋体" w:eastAsia="宋体" w:cs="宋体"/>
                <w:bCs/>
                <w:sz w:val="24"/>
              </w:rPr>
              <w:t>分</w:t>
            </w:r>
          </w:p>
        </w:tc>
        <w:tc>
          <w:tcPr>
            <w:tcW w:w="1341" w:type="dxa"/>
            <w:noWrap/>
            <w:vAlign w:val="center"/>
          </w:tcPr>
          <w:p>
            <w:pPr>
              <w:spacing w:line="440" w:lineRule="exact"/>
              <w:jc w:val="left"/>
              <w:rPr>
                <w:rFonts w:hint="eastAsia" w:ascii="宋体" w:hAnsi="宋体" w:eastAsia="宋体" w:cs="宋体"/>
                <w:sz w:val="24"/>
                <w:highlight w:val="none"/>
              </w:rPr>
            </w:pPr>
            <w:r>
              <w:rPr>
                <w:rFonts w:hint="eastAsia" w:ascii="宋体" w:hAnsi="宋体" w:eastAsia="宋体" w:cs="宋体"/>
                <w:sz w:val="24"/>
                <w:highlight w:val="none"/>
              </w:rPr>
              <w:t>投标人同类业绩</w:t>
            </w:r>
          </w:p>
        </w:tc>
        <w:tc>
          <w:tcPr>
            <w:tcW w:w="483" w:type="dxa"/>
            <w:noWrap/>
            <w:vAlign w:val="center"/>
          </w:tcPr>
          <w:p>
            <w:pPr>
              <w:spacing w:line="440" w:lineRule="exact"/>
              <w:jc w:val="center"/>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val="en-US" w:eastAsia="zh-CN"/>
              </w:rPr>
              <w:t>5</w:t>
            </w:r>
          </w:p>
        </w:tc>
        <w:tc>
          <w:tcPr>
            <w:tcW w:w="5867" w:type="dxa"/>
            <w:noWrap/>
            <w:vAlign w:val="center"/>
          </w:tcPr>
          <w:p>
            <w:pPr>
              <w:jc w:val="left"/>
              <w:rPr>
                <w:rFonts w:hint="eastAsia" w:ascii="宋体" w:hAnsi="宋体" w:eastAsia="宋体" w:cs="宋体"/>
                <w:bCs/>
                <w:sz w:val="24"/>
                <w:highlight w:val="none"/>
              </w:rPr>
            </w:pPr>
            <w:r>
              <w:rPr>
                <w:rFonts w:hint="eastAsia" w:ascii="宋体" w:hAnsi="宋体" w:eastAsia="宋体" w:cs="宋体"/>
                <w:bCs/>
                <w:sz w:val="24"/>
                <w:highlight w:val="none"/>
              </w:rPr>
              <w:t>自 202</w:t>
            </w:r>
            <w:r>
              <w:rPr>
                <w:rFonts w:hint="eastAsia" w:ascii="宋体" w:hAnsi="宋体" w:eastAsia="宋体" w:cs="宋体"/>
                <w:bCs/>
                <w:sz w:val="24"/>
                <w:highlight w:val="none"/>
                <w:lang w:val="en-US" w:eastAsia="zh-CN"/>
              </w:rPr>
              <w:t>1</w:t>
            </w:r>
            <w:r>
              <w:rPr>
                <w:rFonts w:hint="eastAsia" w:ascii="宋体" w:hAnsi="宋体" w:eastAsia="宋体" w:cs="宋体"/>
                <w:bCs/>
                <w:sz w:val="24"/>
                <w:highlight w:val="none"/>
              </w:rPr>
              <w:t xml:space="preserve">年 </w:t>
            </w:r>
            <w:r>
              <w:rPr>
                <w:rFonts w:hint="eastAsia" w:ascii="宋体" w:hAnsi="宋体" w:eastAsia="宋体" w:cs="宋体"/>
                <w:bCs/>
                <w:sz w:val="24"/>
                <w:highlight w:val="none"/>
                <w:lang w:val="en-US" w:eastAsia="zh-CN"/>
              </w:rPr>
              <w:t>12</w:t>
            </w:r>
            <w:r>
              <w:rPr>
                <w:rFonts w:hint="eastAsia" w:ascii="宋体" w:hAnsi="宋体" w:eastAsia="宋体" w:cs="宋体"/>
                <w:bCs/>
                <w:sz w:val="24"/>
                <w:highlight w:val="none"/>
              </w:rPr>
              <w:t>月1日至今（按合同签订时间计算），</w:t>
            </w:r>
            <w:r>
              <w:rPr>
                <w:rFonts w:hint="eastAsia" w:ascii="宋体" w:hAnsi="宋体" w:eastAsia="宋体" w:cs="宋体"/>
                <w:bCs/>
                <w:sz w:val="24"/>
                <w:highlight w:val="none"/>
                <w:lang w:val="en-US" w:eastAsia="zh-CN"/>
              </w:rPr>
              <w:t>参与遴选</w:t>
            </w:r>
            <w:r>
              <w:rPr>
                <w:rFonts w:hint="eastAsia" w:ascii="宋体" w:hAnsi="宋体" w:eastAsia="宋体" w:cs="宋体"/>
                <w:bCs/>
                <w:sz w:val="24"/>
                <w:highlight w:val="none"/>
              </w:rPr>
              <w:t>人每提供一个同类检测项目业绩得</w:t>
            </w:r>
            <w:r>
              <w:rPr>
                <w:rFonts w:hint="eastAsia" w:ascii="宋体" w:hAnsi="宋体" w:eastAsia="宋体" w:cs="宋体"/>
                <w:bCs/>
                <w:sz w:val="24"/>
                <w:highlight w:val="none"/>
                <w:lang w:val="en-US" w:eastAsia="zh-CN"/>
              </w:rPr>
              <w:t>1</w:t>
            </w:r>
            <w:r>
              <w:rPr>
                <w:rFonts w:hint="eastAsia" w:ascii="宋体" w:hAnsi="宋体" w:eastAsia="宋体" w:cs="宋体"/>
                <w:bCs/>
                <w:sz w:val="24"/>
                <w:highlight w:val="none"/>
              </w:rPr>
              <w:t>分，最高得</w:t>
            </w:r>
            <w:r>
              <w:rPr>
                <w:rFonts w:hint="eastAsia" w:ascii="宋体" w:hAnsi="宋体" w:eastAsia="宋体" w:cs="宋体"/>
                <w:bCs/>
                <w:sz w:val="24"/>
                <w:highlight w:val="none"/>
                <w:lang w:val="en-US" w:eastAsia="zh-CN"/>
              </w:rPr>
              <w:t>5</w:t>
            </w:r>
            <w:r>
              <w:rPr>
                <w:rFonts w:hint="eastAsia" w:ascii="宋体" w:hAnsi="宋体" w:eastAsia="宋体" w:cs="宋体"/>
                <w:bCs/>
                <w:sz w:val="24"/>
                <w:highlight w:val="none"/>
              </w:rPr>
              <w:t>分。须提供合同复印件，内容能体现合同名称、主要服务内容（须包含检测项目清单）以及双方签字盖章页。未按上述要求提供合同复印件的不得分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7" w:type="dxa"/>
            <w:vMerge w:val="continue"/>
            <w:noWrap/>
            <w:vAlign w:val="center"/>
          </w:tcPr>
          <w:p>
            <w:pPr>
              <w:jc w:val="left"/>
              <w:rPr>
                <w:rFonts w:hint="eastAsia" w:ascii="宋体" w:hAnsi="宋体" w:eastAsia="宋体" w:cs="宋体"/>
                <w:bCs/>
                <w:sz w:val="24"/>
              </w:rPr>
            </w:pPr>
          </w:p>
        </w:tc>
        <w:tc>
          <w:tcPr>
            <w:tcW w:w="1341" w:type="dxa"/>
            <w:noWrap/>
            <w:vAlign w:val="center"/>
          </w:tcPr>
          <w:p>
            <w:pPr>
              <w:spacing w:line="440" w:lineRule="exact"/>
              <w:jc w:val="left"/>
              <w:rPr>
                <w:rFonts w:hint="eastAsia" w:ascii="宋体" w:hAnsi="宋体" w:eastAsia="宋体" w:cs="宋体"/>
                <w:sz w:val="24"/>
                <w:highlight w:val="none"/>
              </w:rPr>
            </w:pPr>
            <w:r>
              <w:rPr>
                <w:rFonts w:hint="eastAsia" w:ascii="宋体" w:hAnsi="宋体" w:eastAsia="宋体" w:cs="宋体"/>
                <w:sz w:val="24"/>
                <w:highlight w:val="none"/>
              </w:rPr>
              <w:t>信用状况</w:t>
            </w:r>
          </w:p>
        </w:tc>
        <w:tc>
          <w:tcPr>
            <w:tcW w:w="483" w:type="dxa"/>
            <w:noWrap/>
            <w:vAlign w:val="center"/>
          </w:tcPr>
          <w:p>
            <w:pPr>
              <w:spacing w:line="44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4</w:t>
            </w:r>
          </w:p>
        </w:tc>
        <w:tc>
          <w:tcPr>
            <w:tcW w:w="5867" w:type="dxa"/>
            <w:noWrap/>
            <w:vAlign w:val="center"/>
          </w:tcPr>
          <w:p>
            <w:pPr>
              <w:jc w:val="left"/>
              <w:rPr>
                <w:rFonts w:hint="eastAsia" w:ascii="宋体" w:hAnsi="宋体" w:eastAsia="宋体" w:cs="宋体"/>
                <w:bCs/>
                <w:sz w:val="24"/>
                <w:highlight w:val="none"/>
              </w:rPr>
            </w:pPr>
            <w:r>
              <w:rPr>
                <w:rFonts w:hint="eastAsia" w:ascii="宋体" w:hAnsi="宋体" w:eastAsia="宋体" w:cs="宋体"/>
                <w:bCs/>
                <w:sz w:val="24"/>
                <w:highlight w:val="none"/>
              </w:rPr>
              <w:t>投标人具有AAA信用等级证书得4分，投标人具有AA信用等级证书得2分， 投标人具有A信用等级证书得1分，没有不得分，须提供证书复印件。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7" w:type="dxa"/>
            <w:vMerge w:val="continue"/>
            <w:noWrap/>
            <w:vAlign w:val="center"/>
          </w:tcPr>
          <w:p>
            <w:pPr>
              <w:spacing w:line="440" w:lineRule="exact"/>
              <w:jc w:val="center"/>
              <w:rPr>
                <w:rFonts w:hint="eastAsia" w:ascii="宋体" w:hAnsi="宋体" w:eastAsia="宋体" w:cs="宋体"/>
                <w:kern w:val="0"/>
                <w:sz w:val="24"/>
              </w:rPr>
            </w:pPr>
          </w:p>
        </w:tc>
        <w:tc>
          <w:tcPr>
            <w:tcW w:w="1341" w:type="dxa"/>
            <w:noWrap/>
            <w:vAlign w:val="center"/>
          </w:tcPr>
          <w:p>
            <w:pPr>
              <w:spacing w:line="440" w:lineRule="exact"/>
              <w:jc w:val="left"/>
              <w:rPr>
                <w:rFonts w:hint="eastAsia" w:ascii="宋体" w:hAnsi="宋体" w:eastAsia="宋体" w:cs="宋体"/>
                <w:sz w:val="24"/>
                <w:highlight w:val="none"/>
              </w:rPr>
            </w:pPr>
            <w:r>
              <w:rPr>
                <w:rFonts w:hint="eastAsia" w:ascii="宋体" w:hAnsi="宋体" w:eastAsia="宋体" w:cs="宋体"/>
                <w:sz w:val="24"/>
                <w:highlight w:val="none"/>
              </w:rPr>
              <w:t>资质相关证明文件</w:t>
            </w:r>
          </w:p>
        </w:tc>
        <w:tc>
          <w:tcPr>
            <w:tcW w:w="483" w:type="dxa"/>
            <w:noWrap/>
            <w:vAlign w:val="center"/>
          </w:tcPr>
          <w:p>
            <w:pPr>
              <w:spacing w:line="440" w:lineRule="exact"/>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5867" w:type="dxa"/>
            <w:noWrap/>
            <w:vAlign w:val="center"/>
          </w:tcPr>
          <w:p>
            <w:pPr>
              <w:jc w:val="left"/>
              <w:rPr>
                <w:rFonts w:hint="eastAsia" w:ascii="宋体" w:hAnsi="宋体" w:eastAsia="宋体" w:cs="宋体"/>
                <w:bCs/>
                <w:sz w:val="24"/>
                <w:highlight w:val="none"/>
              </w:rPr>
            </w:pPr>
            <w:r>
              <w:rPr>
                <w:rFonts w:hint="eastAsia" w:ascii="宋体" w:hAnsi="宋体" w:eastAsia="宋体" w:cs="宋体"/>
                <w:bCs/>
                <w:sz w:val="24"/>
                <w:highlight w:val="none"/>
              </w:rPr>
              <w:t>实验室ISO15189 质量体系认证得</w:t>
            </w:r>
            <w:r>
              <w:rPr>
                <w:rFonts w:hint="eastAsia" w:ascii="宋体" w:hAnsi="宋体" w:eastAsia="宋体" w:cs="宋体"/>
                <w:bCs/>
                <w:sz w:val="24"/>
                <w:highlight w:val="none"/>
                <w:lang w:val="en-US" w:eastAsia="zh-CN"/>
              </w:rPr>
              <w:t>6</w:t>
            </w:r>
            <w:r>
              <w:rPr>
                <w:rFonts w:hint="eastAsia" w:ascii="宋体" w:hAnsi="宋体" w:eastAsia="宋体" w:cs="宋体"/>
                <w:bCs/>
                <w:sz w:val="24"/>
                <w:highlight w:val="none"/>
              </w:rPr>
              <w:t>分；</w:t>
            </w:r>
          </w:p>
          <w:p>
            <w:pPr>
              <w:jc w:val="left"/>
              <w:rPr>
                <w:rFonts w:hint="eastAsia" w:ascii="宋体" w:hAnsi="宋体" w:eastAsia="宋体" w:cs="宋体"/>
                <w:bCs/>
                <w:sz w:val="24"/>
                <w:highlight w:val="none"/>
              </w:rPr>
            </w:pPr>
            <w:r>
              <w:rPr>
                <w:rFonts w:hint="eastAsia" w:ascii="宋体" w:hAnsi="宋体" w:eastAsia="宋体" w:cs="宋体"/>
                <w:bCs/>
                <w:sz w:val="24"/>
                <w:highlight w:val="none"/>
              </w:rPr>
              <w:t>注：须提供资质或认证证书复印件。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37" w:type="dxa"/>
            <w:vMerge w:val="restart"/>
            <w:noWrap/>
            <w:vAlign w:val="center"/>
          </w:tcPr>
          <w:p>
            <w:pPr>
              <w:jc w:val="left"/>
              <w:rPr>
                <w:rFonts w:hint="eastAsia" w:ascii="宋体" w:hAnsi="宋体" w:eastAsia="宋体" w:cs="宋体"/>
                <w:bCs/>
                <w:sz w:val="24"/>
              </w:rPr>
            </w:pPr>
            <w:r>
              <w:rPr>
                <w:rFonts w:hint="eastAsia" w:ascii="宋体" w:hAnsi="宋体" w:eastAsia="宋体" w:cs="宋体"/>
                <w:bCs/>
                <w:sz w:val="24"/>
              </w:rPr>
              <w:t>技术部分</w:t>
            </w:r>
            <w:r>
              <w:rPr>
                <w:rFonts w:hint="eastAsia" w:ascii="宋体" w:hAnsi="宋体" w:eastAsia="宋体" w:cs="宋体"/>
                <w:bCs/>
                <w:sz w:val="24"/>
                <w:lang w:val="en-US" w:eastAsia="zh-CN"/>
              </w:rPr>
              <w:t>30</w:t>
            </w:r>
            <w:r>
              <w:rPr>
                <w:rFonts w:hint="eastAsia" w:ascii="宋体" w:hAnsi="宋体" w:eastAsia="宋体" w:cs="宋体"/>
                <w:bCs/>
                <w:sz w:val="24"/>
              </w:rPr>
              <w:t>分</w:t>
            </w:r>
          </w:p>
        </w:tc>
        <w:tc>
          <w:tcPr>
            <w:tcW w:w="1341"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检测方案</w:t>
            </w:r>
          </w:p>
        </w:tc>
        <w:tc>
          <w:tcPr>
            <w:tcW w:w="483" w:type="dxa"/>
            <w:noWrap/>
            <w:vAlign w:val="center"/>
          </w:tcPr>
          <w:p>
            <w:pPr>
              <w:widowControl/>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w:t>
            </w:r>
          </w:p>
        </w:tc>
        <w:tc>
          <w:tcPr>
            <w:tcW w:w="5867" w:type="dxa"/>
            <w:noWrap/>
            <w:vAlign w:val="center"/>
          </w:tcPr>
          <w:p>
            <w:pPr>
              <w:jc w:val="left"/>
              <w:rPr>
                <w:rFonts w:hint="eastAsia" w:ascii="宋体" w:hAnsi="宋体" w:eastAsia="宋体" w:cs="宋体"/>
                <w:bCs/>
                <w:kern w:val="0"/>
                <w:sz w:val="24"/>
              </w:rPr>
            </w:pPr>
            <w:r>
              <w:rPr>
                <w:rFonts w:hint="eastAsia" w:ascii="宋体" w:hAnsi="宋体" w:eastAsia="宋体" w:cs="宋体"/>
                <w:bCs/>
                <w:kern w:val="0"/>
                <w:sz w:val="24"/>
                <w:lang w:val="en-US" w:eastAsia="zh-CN"/>
              </w:rPr>
              <w:t>参与遴选</w:t>
            </w:r>
            <w:r>
              <w:rPr>
                <w:rFonts w:hint="eastAsia" w:ascii="宋体" w:hAnsi="宋体" w:eastAsia="宋体" w:cs="宋体"/>
                <w:bCs/>
                <w:kern w:val="0"/>
                <w:sz w:val="24"/>
              </w:rPr>
              <w:t>人具对本项目提供整体检测服务方案，检测流程、时效性等方面进行评审各项服务检测服务方案内容完整、方法及采用试剂明确，检测流程规范，可行性强，完全满足项目整体要求，得</w:t>
            </w:r>
            <w:r>
              <w:rPr>
                <w:rFonts w:hint="eastAsia" w:ascii="宋体" w:hAnsi="宋体" w:cs="宋体"/>
                <w:bCs/>
                <w:kern w:val="0"/>
                <w:sz w:val="24"/>
                <w:lang w:val="en-US" w:eastAsia="zh-CN"/>
              </w:rPr>
              <w:t>10</w:t>
            </w:r>
            <w:r>
              <w:rPr>
                <w:rFonts w:hint="eastAsia" w:ascii="宋体" w:hAnsi="宋体" w:eastAsia="宋体" w:cs="宋体"/>
                <w:bCs/>
                <w:kern w:val="0"/>
                <w:sz w:val="24"/>
              </w:rPr>
              <w:t>分;</w:t>
            </w:r>
          </w:p>
          <w:p>
            <w:pPr>
              <w:jc w:val="left"/>
              <w:rPr>
                <w:rFonts w:hint="eastAsia" w:ascii="宋体" w:hAnsi="宋体" w:eastAsia="宋体" w:cs="宋体"/>
                <w:bCs/>
                <w:kern w:val="0"/>
                <w:sz w:val="24"/>
              </w:rPr>
            </w:pPr>
            <w:r>
              <w:rPr>
                <w:rFonts w:hint="eastAsia" w:ascii="宋体" w:hAnsi="宋体" w:eastAsia="宋体" w:cs="宋体"/>
                <w:bCs/>
                <w:kern w:val="0"/>
                <w:sz w:val="24"/>
              </w:rPr>
              <w:t>各项服务检测服务方案内容较完善、方法及采用试剂较明确，基本能体现项目整体要求，得5分;</w:t>
            </w:r>
          </w:p>
          <w:p>
            <w:pPr>
              <w:jc w:val="left"/>
              <w:rPr>
                <w:rFonts w:hint="eastAsia" w:ascii="宋体" w:hAnsi="宋体" w:eastAsia="宋体" w:cs="宋体"/>
                <w:bCs/>
                <w:kern w:val="0"/>
                <w:sz w:val="24"/>
              </w:rPr>
            </w:pPr>
            <w:r>
              <w:rPr>
                <w:rFonts w:hint="eastAsia" w:ascii="宋体" w:hAnsi="宋体" w:eastAsia="宋体" w:cs="宋体"/>
                <w:bCs/>
                <w:kern w:val="0"/>
                <w:sz w:val="24"/>
              </w:rPr>
              <w:t>各项服务检测服务方案不完整，可行性一般，得2分;</w:t>
            </w:r>
          </w:p>
          <w:p>
            <w:pPr>
              <w:jc w:val="left"/>
              <w:rPr>
                <w:rFonts w:hint="eastAsia" w:ascii="宋体" w:hAnsi="宋体" w:eastAsia="宋体" w:cs="宋体"/>
                <w:bCs/>
                <w:sz w:val="24"/>
              </w:rPr>
            </w:pPr>
            <w:r>
              <w:rPr>
                <w:rFonts w:hint="eastAsia" w:ascii="宋体" w:hAnsi="宋体" w:eastAsia="宋体" w:cs="宋体"/>
                <w:bCs/>
                <w:kern w:val="0"/>
                <w:sz w:val="24"/>
              </w:rPr>
              <w:t>未提供检测服务方案的:0分。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837" w:type="dxa"/>
            <w:vMerge w:val="continue"/>
            <w:noWrap/>
            <w:vAlign w:val="center"/>
          </w:tcPr>
          <w:p>
            <w:pPr>
              <w:spacing w:line="440" w:lineRule="exact"/>
              <w:rPr>
                <w:rFonts w:hint="eastAsia" w:ascii="宋体" w:hAnsi="宋体" w:eastAsia="宋体" w:cs="宋体"/>
                <w:kern w:val="0"/>
                <w:sz w:val="24"/>
                <w:highlight w:val="yellow"/>
              </w:rPr>
            </w:pPr>
          </w:p>
        </w:tc>
        <w:tc>
          <w:tcPr>
            <w:tcW w:w="1341"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检测项目质量保证</w:t>
            </w:r>
          </w:p>
        </w:tc>
        <w:tc>
          <w:tcPr>
            <w:tcW w:w="483" w:type="dxa"/>
            <w:noWrap/>
            <w:vAlign w:val="center"/>
          </w:tcPr>
          <w:p>
            <w:pPr>
              <w:widowControl/>
              <w:jc w:val="center"/>
              <w:rPr>
                <w:rFonts w:hint="eastAsia" w:ascii="宋体" w:hAnsi="宋体" w:eastAsia="宋体" w:cs="宋体"/>
                <w:kern w:val="0"/>
                <w:sz w:val="24"/>
                <w:lang w:val="en-US" w:eastAsia="zh-CN"/>
              </w:rPr>
            </w:pPr>
            <w:r>
              <w:rPr>
                <w:rFonts w:hint="eastAsia" w:ascii="宋体" w:hAnsi="宋体" w:eastAsia="宋体" w:cs="宋体"/>
                <w:bCs/>
                <w:kern w:val="0"/>
                <w:sz w:val="24"/>
                <w:lang w:val="en-US" w:eastAsia="zh-CN"/>
              </w:rPr>
              <w:t>10</w:t>
            </w:r>
          </w:p>
        </w:tc>
        <w:tc>
          <w:tcPr>
            <w:tcW w:w="5867"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投标人应对室内质控活动有明确的规定，内容包括：质控物的选择(适用性和质量)、质控物的测定频次、质控规则 及失控限设定、质控结果的统计及记录；受托方应参加相关范围(如国际、国内、地区)内的 室间质评或能力验证活动；有对室间质评或能力验证结果进行审核的程序及对不满意或不及格结果进行分析或纠正、验证的记录；必要时应与其他实验室进行结果比对；受托方应定期检查使用中的设备是否满足其工作范围和工作量的要求；应有仪器日常检查维护的文件、记录和维修报告;投标人仅限在“委托检验服务协议书”范围内开展检 验活动；投标人应有保证全员参与质量管理及持续质量改进的措施。根据投标人提供的质量保证体系进行评价：</w:t>
            </w:r>
          </w:p>
          <w:p>
            <w:pPr>
              <w:widowControl/>
              <w:jc w:val="left"/>
              <w:rPr>
                <w:rFonts w:hint="eastAsia" w:ascii="宋体" w:hAnsi="宋体" w:eastAsia="宋体" w:cs="宋体"/>
                <w:kern w:val="0"/>
                <w:sz w:val="24"/>
              </w:rPr>
            </w:pPr>
            <w:r>
              <w:rPr>
                <w:rFonts w:hint="eastAsia" w:ascii="宋体" w:hAnsi="宋体" w:eastAsia="宋体" w:cs="宋体"/>
                <w:kern w:val="0"/>
                <w:sz w:val="24"/>
              </w:rPr>
              <w:t>质量控制方案合理有效得</w:t>
            </w:r>
            <w:r>
              <w:rPr>
                <w:rFonts w:hint="eastAsia" w:ascii="宋体" w:hAnsi="宋体" w:eastAsia="宋体" w:cs="宋体"/>
                <w:kern w:val="0"/>
                <w:sz w:val="24"/>
                <w:lang w:val="en-US" w:eastAsia="zh-CN"/>
              </w:rPr>
              <w:t>10</w:t>
            </w:r>
            <w:r>
              <w:rPr>
                <w:rFonts w:hint="eastAsia" w:ascii="宋体" w:hAnsi="宋体" w:eastAsia="宋体" w:cs="宋体"/>
                <w:kern w:val="0"/>
                <w:sz w:val="24"/>
              </w:rPr>
              <w:t>分；</w:t>
            </w:r>
          </w:p>
          <w:p>
            <w:pPr>
              <w:widowControl/>
              <w:jc w:val="left"/>
              <w:rPr>
                <w:rFonts w:hint="eastAsia" w:ascii="宋体" w:hAnsi="宋体" w:eastAsia="宋体" w:cs="宋体"/>
                <w:kern w:val="0"/>
                <w:sz w:val="24"/>
              </w:rPr>
            </w:pPr>
            <w:r>
              <w:rPr>
                <w:rFonts w:hint="eastAsia" w:ascii="宋体" w:hAnsi="宋体" w:eastAsia="宋体" w:cs="宋体"/>
                <w:kern w:val="0"/>
                <w:sz w:val="24"/>
              </w:rPr>
              <w:t>质量控制方案较合理得</w:t>
            </w:r>
            <w:r>
              <w:rPr>
                <w:rFonts w:hint="eastAsia" w:ascii="宋体" w:hAnsi="宋体" w:eastAsia="宋体" w:cs="宋体"/>
                <w:kern w:val="0"/>
                <w:sz w:val="24"/>
                <w:lang w:val="en-US" w:eastAsia="zh-CN"/>
              </w:rPr>
              <w:t>7</w:t>
            </w:r>
            <w:r>
              <w:rPr>
                <w:rFonts w:hint="eastAsia" w:ascii="宋体" w:hAnsi="宋体" w:eastAsia="宋体" w:cs="宋体"/>
                <w:kern w:val="0"/>
                <w:sz w:val="24"/>
              </w:rPr>
              <w:t>分；</w:t>
            </w:r>
          </w:p>
          <w:p>
            <w:pPr>
              <w:widowControl/>
              <w:jc w:val="left"/>
              <w:rPr>
                <w:rFonts w:hint="eastAsia" w:ascii="宋体" w:hAnsi="宋体" w:eastAsia="宋体" w:cs="宋体"/>
                <w:kern w:val="0"/>
                <w:sz w:val="24"/>
              </w:rPr>
            </w:pPr>
            <w:r>
              <w:rPr>
                <w:rFonts w:hint="eastAsia" w:ascii="宋体" w:hAnsi="宋体" w:eastAsia="宋体" w:cs="宋体"/>
                <w:kern w:val="0"/>
                <w:sz w:val="24"/>
              </w:rPr>
              <w:t>质量控制方案一般得</w:t>
            </w:r>
            <w:r>
              <w:rPr>
                <w:rFonts w:hint="eastAsia" w:ascii="宋体" w:hAnsi="宋体" w:eastAsia="宋体" w:cs="宋体"/>
                <w:kern w:val="0"/>
                <w:sz w:val="24"/>
                <w:lang w:val="en-US" w:eastAsia="zh-CN"/>
              </w:rPr>
              <w:t>5</w:t>
            </w:r>
            <w:r>
              <w:rPr>
                <w:rFonts w:hint="eastAsia" w:ascii="宋体" w:hAnsi="宋体" w:eastAsia="宋体" w:cs="宋体"/>
                <w:kern w:val="0"/>
                <w:sz w:val="24"/>
              </w:rPr>
              <w:t>分；</w:t>
            </w:r>
          </w:p>
          <w:p>
            <w:pPr>
              <w:widowControl/>
              <w:jc w:val="left"/>
              <w:rPr>
                <w:rFonts w:hint="eastAsia" w:ascii="宋体" w:hAnsi="宋体" w:eastAsia="宋体" w:cs="宋体"/>
                <w:kern w:val="0"/>
                <w:sz w:val="24"/>
              </w:rPr>
            </w:pPr>
            <w:r>
              <w:rPr>
                <w:rFonts w:hint="eastAsia" w:ascii="宋体" w:hAnsi="宋体" w:eastAsia="宋体" w:cs="宋体"/>
                <w:kern w:val="0"/>
                <w:sz w:val="24"/>
              </w:rPr>
              <w:t>质量控制方案有欠缺得</w:t>
            </w:r>
            <w:r>
              <w:rPr>
                <w:rFonts w:hint="eastAsia" w:ascii="宋体" w:hAnsi="宋体" w:eastAsia="宋体" w:cs="宋体"/>
                <w:kern w:val="0"/>
                <w:sz w:val="24"/>
                <w:lang w:val="en-US" w:eastAsia="zh-CN"/>
              </w:rPr>
              <w:t>2</w:t>
            </w:r>
            <w:r>
              <w:rPr>
                <w:rFonts w:hint="eastAsia" w:ascii="宋体" w:hAnsi="宋体" w:eastAsia="宋体" w:cs="宋体"/>
                <w:kern w:val="0"/>
                <w:sz w:val="24"/>
              </w:rPr>
              <w:t>分，无方案不得分。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37" w:type="dxa"/>
            <w:vMerge w:val="continue"/>
            <w:noWrap/>
            <w:vAlign w:val="center"/>
          </w:tcPr>
          <w:p>
            <w:pPr>
              <w:spacing w:line="440" w:lineRule="exact"/>
              <w:rPr>
                <w:rFonts w:hint="eastAsia" w:ascii="宋体" w:hAnsi="宋体" w:eastAsia="宋体" w:cs="宋体"/>
                <w:kern w:val="0"/>
                <w:sz w:val="24"/>
                <w:highlight w:val="yellow"/>
              </w:rPr>
            </w:pPr>
          </w:p>
        </w:tc>
        <w:tc>
          <w:tcPr>
            <w:tcW w:w="1341" w:type="dxa"/>
            <w:noWrap/>
            <w:vAlign w:val="center"/>
          </w:tcPr>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rPr>
              <w:t>团队配置</w:t>
            </w:r>
          </w:p>
        </w:tc>
        <w:tc>
          <w:tcPr>
            <w:tcW w:w="483" w:type="dxa"/>
            <w:noWrap/>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rPr>
              <w:t>10</w:t>
            </w:r>
          </w:p>
        </w:tc>
        <w:tc>
          <w:tcPr>
            <w:tcW w:w="5867"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根据各投标人按照技术需求提供的服务团队人数、职称，医疗咨询能力是否合理、健全进行打分。</w:t>
            </w:r>
          </w:p>
          <w:p>
            <w:pPr>
              <w:widowControl/>
              <w:jc w:val="left"/>
              <w:rPr>
                <w:rFonts w:hint="eastAsia" w:ascii="宋体" w:hAnsi="宋体" w:eastAsia="宋体" w:cs="宋体"/>
                <w:kern w:val="0"/>
                <w:sz w:val="24"/>
              </w:rPr>
            </w:pPr>
            <w:r>
              <w:rPr>
                <w:rFonts w:hint="eastAsia" w:ascii="宋体" w:hAnsi="宋体" w:eastAsia="宋体" w:cs="宋体"/>
                <w:kern w:val="0"/>
                <w:sz w:val="24"/>
              </w:rPr>
              <w:t>人员经验丰富得10分；</w:t>
            </w:r>
          </w:p>
          <w:p>
            <w:pPr>
              <w:widowControl/>
              <w:jc w:val="left"/>
              <w:rPr>
                <w:rFonts w:hint="eastAsia" w:ascii="宋体" w:hAnsi="宋体" w:eastAsia="宋体" w:cs="宋体"/>
                <w:kern w:val="0"/>
                <w:sz w:val="24"/>
              </w:rPr>
            </w:pPr>
            <w:r>
              <w:rPr>
                <w:rFonts w:hint="eastAsia" w:ascii="宋体" w:hAnsi="宋体" w:eastAsia="宋体" w:cs="宋体"/>
                <w:kern w:val="0"/>
                <w:sz w:val="24"/>
              </w:rPr>
              <w:t>人员经验较丰富，得7分；</w:t>
            </w:r>
          </w:p>
          <w:p>
            <w:pPr>
              <w:widowControl/>
              <w:jc w:val="left"/>
              <w:rPr>
                <w:rFonts w:hint="eastAsia" w:ascii="宋体" w:hAnsi="宋体" w:eastAsia="宋体" w:cs="宋体"/>
                <w:kern w:val="0"/>
                <w:sz w:val="24"/>
              </w:rPr>
            </w:pPr>
            <w:r>
              <w:rPr>
                <w:rFonts w:hint="eastAsia" w:ascii="宋体" w:hAnsi="宋体" w:eastAsia="宋体" w:cs="宋体"/>
                <w:kern w:val="0"/>
                <w:sz w:val="24"/>
              </w:rPr>
              <w:t>人员经验一般，得5分；</w:t>
            </w:r>
          </w:p>
          <w:p>
            <w:pPr>
              <w:widowControl/>
              <w:jc w:val="left"/>
              <w:rPr>
                <w:rFonts w:hint="eastAsia" w:ascii="宋体" w:hAnsi="宋体" w:eastAsia="宋体" w:cs="宋体"/>
                <w:kern w:val="0"/>
                <w:sz w:val="24"/>
              </w:rPr>
            </w:pPr>
            <w:r>
              <w:rPr>
                <w:rFonts w:hint="eastAsia" w:ascii="宋体" w:hAnsi="宋体" w:eastAsia="宋体" w:cs="宋体"/>
                <w:kern w:val="0"/>
                <w:sz w:val="24"/>
              </w:rPr>
              <w:t>人员经验不足，得3分；</w:t>
            </w:r>
          </w:p>
          <w:p>
            <w:pPr>
              <w:widowControl/>
              <w:jc w:val="left"/>
              <w:rPr>
                <w:rFonts w:hint="eastAsia" w:ascii="宋体" w:hAnsi="宋体" w:eastAsia="宋体" w:cs="宋体"/>
                <w:kern w:val="0"/>
                <w:sz w:val="24"/>
              </w:rPr>
            </w:pPr>
            <w:r>
              <w:rPr>
                <w:rFonts w:hint="eastAsia" w:ascii="宋体" w:hAnsi="宋体" w:eastAsia="宋体" w:cs="宋体"/>
                <w:kern w:val="0"/>
                <w:sz w:val="24"/>
              </w:rPr>
              <w:t>未提供不得分。</w:t>
            </w:r>
          </w:p>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rPr>
              <w:t>检验人员需提供检验</w:t>
            </w:r>
            <w:r>
              <w:rPr>
                <w:rFonts w:hint="eastAsia" w:ascii="宋体" w:hAnsi="宋体" w:eastAsia="宋体" w:cs="宋体"/>
                <w:kern w:val="0"/>
                <w:sz w:val="24"/>
                <w:lang w:val="en-US" w:eastAsia="zh-CN"/>
              </w:rPr>
              <w:t>师</w:t>
            </w:r>
            <w:r>
              <w:rPr>
                <w:rFonts w:hint="eastAsia" w:ascii="宋体" w:hAnsi="宋体" w:eastAsia="宋体" w:cs="宋体"/>
                <w:kern w:val="0"/>
                <w:sz w:val="24"/>
              </w:rPr>
              <w:t>及以上职称证书复印件加盖公章，未提供上述有效证明文件，本项不得分。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37" w:type="dxa"/>
            <w:vMerge w:val="restart"/>
            <w:noWrap/>
            <w:vAlign w:val="center"/>
          </w:tcPr>
          <w:p>
            <w:pPr>
              <w:spacing w:line="440" w:lineRule="exact"/>
              <w:rPr>
                <w:rFonts w:hint="eastAsia" w:ascii="宋体" w:hAnsi="宋体" w:eastAsia="宋体" w:cs="宋体"/>
                <w:kern w:val="0"/>
                <w:sz w:val="24"/>
                <w:highlight w:val="yellow"/>
                <w:lang w:val="en-US" w:eastAsia="zh-CN"/>
              </w:rPr>
            </w:pPr>
            <w:r>
              <w:rPr>
                <w:rFonts w:hint="eastAsia" w:ascii="宋体" w:hAnsi="宋体" w:eastAsia="宋体" w:cs="宋体"/>
                <w:kern w:val="0"/>
                <w:sz w:val="24"/>
                <w:highlight w:val="none"/>
                <w:lang w:val="en-US" w:eastAsia="zh-CN"/>
              </w:rPr>
              <w:t>服务部分25分</w:t>
            </w:r>
          </w:p>
        </w:tc>
        <w:tc>
          <w:tcPr>
            <w:tcW w:w="1341" w:type="dxa"/>
            <w:noWrap/>
            <w:vAlign w:val="center"/>
          </w:tcPr>
          <w:p>
            <w:pPr>
              <w:widowControl/>
              <w:jc w:val="left"/>
              <w:rPr>
                <w:rFonts w:hint="eastAsia" w:ascii="宋体" w:hAnsi="宋体" w:eastAsia="宋体" w:cs="宋体"/>
                <w:kern w:val="0"/>
                <w:sz w:val="24"/>
              </w:rPr>
            </w:pPr>
            <w:r>
              <w:rPr>
                <w:rFonts w:hint="eastAsia" w:ascii="宋体" w:hAnsi="宋体" w:eastAsia="宋体" w:cs="宋体"/>
                <w:sz w:val="24"/>
              </w:rPr>
              <w:t>售后服务方案</w:t>
            </w:r>
          </w:p>
        </w:tc>
        <w:tc>
          <w:tcPr>
            <w:tcW w:w="483" w:type="dxa"/>
            <w:noWrap/>
            <w:vAlign w:val="center"/>
          </w:tcPr>
          <w:p>
            <w:pPr>
              <w:widowControl/>
              <w:jc w:val="center"/>
              <w:rPr>
                <w:rFonts w:hint="eastAsia" w:ascii="宋体" w:hAnsi="宋体" w:eastAsia="宋体" w:cs="宋体"/>
                <w:bCs/>
                <w:kern w:val="0"/>
                <w:sz w:val="24"/>
                <w:lang w:val="en-US" w:eastAsia="zh-CN"/>
              </w:rPr>
            </w:pPr>
            <w:r>
              <w:rPr>
                <w:rFonts w:hint="eastAsia" w:ascii="宋体" w:hAnsi="宋体" w:eastAsia="宋体" w:cs="宋体"/>
                <w:kern w:val="0"/>
                <w:sz w:val="24"/>
                <w:lang w:val="en-US" w:eastAsia="zh-CN"/>
              </w:rPr>
              <w:t>10</w:t>
            </w:r>
          </w:p>
        </w:tc>
        <w:tc>
          <w:tcPr>
            <w:tcW w:w="5867" w:type="dxa"/>
            <w:noWrap/>
            <w:vAlign w:val="center"/>
          </w:tcPr>
          <w:p>
            <w:pPr>
              <w:widowControl/>
              <w:jc w:val="left"/>
              <w:rPr>
                <w:rFonts w:hint="eastAsia" w:ascii="宋体" w:hAnsi="宋体" w:eastAsia="宋体" w:cs="宋体"/>
                <w:bCs/>
                <w:kern w:val="0"/>
                <w:sz w:val="24"/>
              </w:rPr>
            </w:pPr>
            <w:r>
              <w:rPr>
                <w:rFonts w:hint="eastAsia" w:ascii="宋体" w:hAnsi="宋体" w:eastAsia="宋体" w:cs="宋体"/>
                <w:bCs/>
                <w:kern w:val="0"/>
                <w:sz w:val="24"/>
              </w:rPr>
              <w:t>售后服务方案合理、详细，售后服务承诺周到，具有完善的服务体系：</w:t>
            </w:r>
          </w:p>
          <w:p>
            <w:pPr>
              <w:widowControl/>
              <w:jc w:val="left"/>
              <w:rPr>
                <w:rFonts w:hint="eastAsia" w:ascii="宋体" w:hAnsi="宋体" w:eastAsia="宋体" w:cs="宋体"/>
                <w:bCs/>
                <w:kern w:val="0"/>
                <w:sz w:val="24"/>
              </w:rPr>
            </w:pPr>
            <w:r>
              <w:rPr>
                <w:rFonts w:hint="eastAsia" w:ascii="宋体" w:hAnsi="宋体" w:eastAsia="宋体" w:cs="宋体"/>
                <w:bCs/>
                <w:kern w:val="0"/>
                <w:sz w:val="24"/>
              </w:rPr>
              <w:t>售后服务方案合理可行得</w:t>
            </w:r>
            <w:r>
              <w:rPr>
                <w:rFonts w:hint="eastAsia" w:ascii="宋体" w:hAnsi="宋体" w:eastAsia="宋体" w:cs="宋体"/>
                <w:bCs/>
                <w:kern w:val="0"/>
                <w:sz w:val="24"/>
                <w:lang w:val="en-US" w:eastAsia="zh-CN"/>
              </w:rPr>
              <w:t>10</w:t>
            </w:r>
            <w:r>
              <w:rPr>
                <w:rFonts w:hint="eastAsia" w:ascii="宋体" w:hAnsi="宋体" w:eastAsia="宋体" w:cs="宋体"/>
                <w:bCs/>
                <w:kern w:val="0"/>
                <w:sz w:val="24"/>
              </w:rPr>
              <w:t>分，</w:t>
            </w:r>
          </w:p>
          <w:p>
            <w:pPr>
              <w:widowControl/>
              <w:jc w:val="left"/>
              <w:rPr>
                <w:rFonts w:hint="eastAsia" w:ascii="宋体" w:hAnsi="宋体" w:eastAsia="宋体" w:cs="宋体"/>
                <w:bCs/>
                <w:kern w:val="0"/>
                <w:sz w:val="24"/>
              </w:rPr>
            </w:pPr>
            <w:r>
              <w:rPr>
                <w:rFonts w:hint="eastAsia" w:ascii="宋体" w:hAnsi="宋体" w:eastAsia="宋体" w:cs="宋体"/>
                <w:bCs/>
                <w:kern w:val="0"/>
                <w:sz w:val="24"/>
              </w:rPr>
              <w:t>售后服务方案较合理可行得7分，</w:t>
            </w:r>
          </w:p>
          <w:p>
            <w:pPr>
              <w:widowControl/>
              <w:jc w:val="left"/>
              <w:rPr>
                <w:rFonts w:hint="eastAsia" w:ascii="宋体" w:hAnsi="宋体" w:eastAsia="宋体" w:cs="宋体"/>
                <w:bCs/>
                <w:kern w:val="0"/>
                <w:sz w:val="24"/>
              </w:rPr>
            </w:pPr>
            <w:r>
              <w:rPr>
                <w:rFonts w:hint="eastAsia" w:ascii="宋体" w:hAnsi="宋体" w:eastAsia="宋体" w:cs="宋体"/>
                <w:bCs/>
                <w:kern w:val="0"/>
                <w:sz w:val="24"/>
              </w:rPr>
              <w:t>售后服务方案一般得5分，</w:t>
            </w:r>
          </w:p>
          <w:p>
            <w:pPr>
              <w:widowControl/>
              <w:jc w:val="left"/>
              <w:rPr>
                <w:rFonts w:hint="eastAsia" w:ascii="宋体" w:hAnsi="宋体" w:eastAsia="宋体" w:cs="宋体"/>
                <w:bCs/>
                <w:kern w:val="0"/>
                <w:sz w:val="24"/>
              </w:rPr>
            </w:pPr>
            <w:r>
              <w:rPr>
                <w:rFonts w:hint="eastAsia" w:ascii="宋体" w:hAnsi="宋体" w:eastAsia="宋体" w:cs="宋体"/>
                <w:bCs/>
                <w:kern w:val="0"/>
                <w:sz w:val="24"/>
              </w:rPr>
              <w:t>售后服务方案有欠缺得3分，</w:t>
            </w:r>
          </w:p>
          <w:p>
            <w:pPr>
              <w:widowControl/>
              <w:jc w:val="left"/>
              <w:rPr>
                <w:rFonts w:hint="eastAsia" w:ascii="宋体" w:hAnsi="宋体" w:eastAsia="宋体" w:cs="宋体"/>
                <w:kern w:val="0"/>
                <w:sz w:val="24"/>
              </w:rPr>
            </w:pPr>
            <w:r>
              <w:rPr>
                <w:rFonts w:hint="eastAsia" w:ascii="宋体" w:hAnsi="宋体" w:eastAsia="宋体" w:cs="宋体"/>
                <w:bCs/>
                <w:kern w:val="0"/>
                <w:sz w:val="24"/>
              </w:rPr>
              <w:t>无方案不得分。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37" w:type="dxa"/>
            <w:vMerge w:val="continue"/>
            <w:noWrap/>
            <w:vAlign w:val="center"/>
          </w:tcPr>
          <w:p>
            <w:pPr>
              <w:spacing w:line="440" w:lineRule="exact"/>
              <w:rPr>
                <w:rFonts w:hint="eastAsia" w:ascii="宋体" w:hAnsi="宋体" w:eastAsia="宋体" w:cs="宋体"/>
                <w:kern w:val="0"/>
                <w:sz w:val="24"/>
                <w:highlight w:val="none"/>
                <w:lang w:val="en-US" w:eastAsia="zh-CN"/>
              </w:rPr>
            </w:pPr>
          </w:p>
        </w:tc>
        <w:tc>
          <w:tcPr>
            <w:tcW w:w="1341" w:type="dxa"/>
            <w:noWrap/>
            <w:vAlign w:val="center"/>
          </w:tcPr>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rPr>
              <w:t>检验项目结果报送</w:t>
            </w:r>
          </w:p>
        </w:tc>
        <w:tc>
          <w:tcPr>
            <w:tcW w:w="483" w:type="dxa"/>
            <w:noWrap/>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lang w:val="en-US" w:eastAsia="zh-CN"/>
              </w:rPr>
              <w:t>5</w:t>
            </w:r>
          </w:p>
        </w:tc>
        <w:tc>
          <w:tcPr>
            <w:tcW w:w="5867" w:type="dxa"/>
            <w:noWrap/>
            <w:vAlign w:val="center"/>
          </w:tcPr>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rPr>
              <w:t>根据投标人提供的结果报送体系进行评价，完全满足要求得</w:t>
            </w:r>
            <w:r>
              <w:rPr>
                <w:rFonts w:hint="eastAsia" w:ascii="宋体" w:hAnsi="宋体" w:eastAsia="宋体" w:cs="宋体"/>
                <w:kern w:val="0"/>
                <w:sz w:val="24"/>
                <w:lang w:val="en-US" w:eastAsia="zh-CN"/>
              </w:rPr>
              <w:t>5</w:t>
            </w:r>
            <w:r>
              <w:rPr>
                <w:rFonts w:hint="eastAsia" w:ascii="宋体" w:hAnsi="宋体" w:eastAsia="宋体" w:cs="宋体"/>
                <w:kern w:val="0"/>
                <w:sz w:val="24"/>
              </w:rPr>
              <w:t>分，基本满足得</w:t>
            </w:r>
            <w:r>
              <w:rPr>
                <w:rFonts w:hint="eastAsia" w:ascii="宋体" w:hAnsi="宋体" w:eastAsia="宋体" w:cs="宋体"/>
                <w:kern w:val="0"/>
                <w:sz w:val="24"/>
                <w:lang w:val="en-US" w:eastAsia="zh-CN"/>
              </w:rPr>
              <w:t>3</w:t>
            </w:r>
            <w:r>
              <w:rPr>
                <w:rFonts w:hint="eastAsia" w:ascii="宋体" w:hAnsi="宋体" w:eastAsia="宋体" w:cs="宋体"/>
                <w:kern w:val="0"/>
                <w:sz w:val="24"/>
              </w:rPr>
              <w:t>分，部分满足得</w:t>
            </w:r>
            <w:r>
              <w:rPr>
                <w:rFonts w:hint="eastAsia" w:ascii="宋体" w:hAnsi="宋体" w:eastAsia="宋体" w:cs="宋体"/>
                <w:kern w:val="0"/>
                <w:sz w:val="24"/>
                <w:lang w:val="en-US" w:eastAsia="zh-CN"/>
              </w:rPr>
              <w:t>1</w:t>
            </w:r>
            <w:r>
              <w:rPr>
                <w:rFonts w:hint="eastAsia" w:ascii="宋体" w:hAnsi="宋体" w:eastAsia="宋体" w:cs="宋体"/>
                <w:kern w:val="0"/>
                <w:sz w:val="24"/>
              </w:rPr>
              <w:t>分，无法满足不得分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37" w:type="dxa"/>
            <w:vMerge w:val="continue"/>
            <w:noWrap/>
            <w:vAlign w:val="center"/>
          </w:tcPr>
          <w:p>
            <w:pPr>
              <w:spacing w:line="440" w:lineRule="exact"/>
              <w:rPr>
                <w:rFonts w:hint="eastAsia" w:ascii="宋体" w:hAnsi="宋体" w:eastAsia="宋体" w:cs="宋体"/>
                <w:kern w:val="0"/>
                <w:sz w:val="24"/>
                <w:highlight w:val="none"/>
                <w:lang w:val="en-US" w:eastAsia="zh-CN"/>
              </w:rPr>
            </w:pPr>
          </w:p>
        </w:tc>
        <w:tc>
          <w:tcPr>
            <w:tcW w:w="1341"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应急处理方案</w:t>
            </w:r>
          </w:p>
        </w:tc>
        <w:tc>
          <w:tcPr>
            <w:tcW w:w="483" w:type="dxa"/>
            <w:noWrap/>
            <w:vAlign w:val="center"/>
          </w:tcPr>
          <w:p>
            <w:pPr>
              <w:widowControl/>
              <w:jc w:val="center"/>
              <w:rPr>
                <w:rFonts w:hint="eastAsia" w:ascii="宋体" w:hAnsi="宋体" w:eastAsia="宋体" w:cs="宋体"/>
                <w:kern w:val="0"/>
                <w:sz w:val="24"/>
                <w:lang w:val="en-US" w:eastAsia="zh-CN"/>
              </w:rPr>
            </w:pPr>
            <w:r>
              <w:rPr>
                <w:rFonts w:hint="eastAsia" w:ascii="宋体" w:hAnsi="宋体" w:eastAsia="宋体" w:cs="宋体"/>
                <w:kern w:val="0"/>
                <w:sz w:val="24"/>
              </w:rPr>
              <w:t>10</w:t>
            </w:r>
          </w:p>
        </w:tc>
        <w:tc>
          <w:tcPr>
            <w:tcW w:w="5867" w:type="dxa"/>
            <w:noWrap/>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根据各投标人按照技术需求提供的应急处理方案进行打分：</w:t>
            </w:r>
          </w:p>
          <w:p>
            <w:pPr>
              <w:widowControl/>
              <w:jc w:val="left"/>
              <w:rPr>
                <w:rFonts w:hint="eastAsia" w:ascii="宋体" w:hAnsi="宋体" w:eastAsia="宋体" w:cs="宋体"/>
                <w:kern w:val="0"/>
                <w:sz w:val="24"/>
              </w:rPr>
            </w:pPr>
            <w:r>
              <w:rPr>
                <w:rFonts w:hint="eastAsia" w:ascii="宋体" w:hAnsi="宋体" w:eastAsia="宋体" w:cs="宋体"/>
                <w:kern w:val="0"/>
                <w:sz w:val="24"/>
              </w:rPr>
              <w:t>方案合理、可行、完全满足文件要求，投标人应遵照《中华人民共和国传染病防治法》等的规定建立对相关异常检验结果</w:t>
            </w:r>
            <w:r>
              <w:rPr>
                <w:rFonts w:hint="eastAsia" w:ascii="宋体" w:hAnsi="宋体" w:cs="宋体"/>
                <w:kern w:val="0"/>
                <w:sz w:val="24"/>
                <w:lang w:eastAsia="zh-CN"/>
              </w:rPr>
              <w:t>（</w:t>
            </w:r>
            <w:r>
              <w:rPr>
                <w:rFonts w:hint="eastAsia" w:ascii="宋体" w:hAnsi="宋体" w:cs="宋体"/>
                <w:kern w:val="0"/>
                <w:sz w:val="24"/>
                <w:lang w:val="en-US" w:eastAsia="zh-CN"/>
              </w:rPr>
              <w:t>包含新发突发传染病相关病原体</w:t>
            </w:r>
            <w:r>
              <w:rPr>
                <w:rFonts w:hint="eastAsia" w:ascii="宋体" w:hAnsi="宋体" w:cs="宋体"/>
                <w:kern w:val="0"/>
                <w:sz w:val="24"/>
                <w:lang w:eastAsia="zh-CN"/>
              </w:rPr>
              <w:t>）</w:t>
            </w:r>
            <w:r>
              <w:rPr>
                <w:rFonts w:hint="eastAsia" w:ascii="宋体" w:hAnsi="宋体" w:eastAsia="宋体" w:cs="宋体"/>
                <w:kern w:val="0"/>
                <w:sz w:val="24"/>
              </w:rPr>
              <w:t>的直接报告制度，并通知采购人；得10分；</w:t>
            </w:r>
          </w:p>
          <w:p>
            <w:pPr>
              <w:widowControl/>
              <w:jc w:val="left"/>
              <w:rPr>
                <w:rFonts w:hint="eastAsia" w:ascii="宋体" w:hAnsi="宋体" w:eastAsia="宋体" w:cs="宋体"/>
                <w:kern w:val="0"/>
                <w:sz w:val="24"/>
              </w:rPr>
            </w:pPr>
            <w:r>
              <w:rPr>
                <w:rFonts w:hint="eastAsia" w:ascii="宋体" w:hAnsi="宋体" w:eastAsia="宋体" w:cs="宋体"/>
                <w:kern w:val="0"/>
                <w:sz w:val="24"/>
              </w:rPr>
              <w:t>方案较合理，实施性一般得7分；</w:t>
            </w:r>
          </w:p>
          <w:p>
            <w:pPr>
              <w:widowControl/>
              <w:jc w:val="left"/>
              <w:rPr>
                <w:rFonts w:hint="eastAsia" w:ascii="宋体" w:hAnsi="宋体" w:eastAsia="宋体" w:cs="宋体"/>
                <w:kern w:val="0"/>
                <w:sz w:val="24"/>
              </w:rPr>
            </w:pPr>
            <w:r>
              <w:rPr>
                <w:rFonts w:hint="eastAsia" w:ascii="宋体" w:hAnsi="宋体" w:eastAsia="宋体" w:cs="宋体"/>
                <w:kern w:val="0"/>
                <w:sz w:val="24"/>
              </w:rPr>
              <w:t>方案基本合理，基本满足文件要求得5分；</w:t>
            </w:r>
          </w:p>
          <w:p>
            <w:pPr>
              <w:widowControl/>
              <w:jc w:val="left"/>
              <w:rPr>
                <w:rFonts w:hint="eastAsia" w:ascii="宋体" w:hAnsi="宋体" w:eastAsia="宋体" w:cs="宋体"/>
                <w:kern w:val="0"/>
                <w:sz w:val="24"/>
              </w:rPr>
            </w:pPr>
            <w:r>
              <w:rPr>
                <w:rFonts w:hint="eastAsia" w:ascii="宋体" w:hAnsi="宋体" w:eastAsia="宋体" w:cs="宋体"/>
                <w:kern w:val="0"/>
                <w:sz w:val="24"/>
              </w:rPr>
              <w:t>方案简单，实施性较差、部分满足文件要求得2分。</w:t>
            </w:r>
          </w:p>
          <w:p>
            <w:pPr>
              <w:widowControl/>
              <w:jc w:val="left"/>
              <w:rPr>
                <w:rFonts w:hint="eastAsia" w:ascii="宋体" w:hAnsi="宋体" w:eastAsia="宋体" w:cs="宋体"/>
                <w:kern w:val="0"/>
                <w:sz w:val="24"/>
              </w:rPr>
            </w:pPr>
            <w:r>
              <w:rPr>
                <w:rFonts w:hint="eastAsia" w:ascii="宋体" w:hAnsi="宋体" w:eastAsia="宋体" w:cs="宋体"/>
                <w:kern w:val="0"/>
                <w:sz w:val="24"/>
              </w:rPr>
              <w:t>无方案不得分。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528" w:type="dxa"/>
            <w:gridSpan w:val="4"/>
            <w:noWrap/>
            <w:vAlign w:val="center"/>
          </w:tcPr>
          <w:p>
            <w:pPr>
              <w:spacing w:line="440" w:lineRule="exact"/>
              <w:jc w:val="center"/>
              <w:rPr>
                <w:rFonts w:hint="eastAsia" w:ascii="宋体" w:hAnsi="宋体" w:eastAsia="宋体" w:cs="宋体"/>
                <w:kern w:val="0"/>
                <w:sz w:val="24"/>
              </w:rPr>
            </w:pPr>
            <w:r>
              <w:rPr>
                <w:rFonts w:hint="eastAsia" w:ascii="宋体" w:hAnsi="宋体" w:eastAsia="宋体" w:cs="宋体"/>
                <w:kern w:val="0"/>
                <w:sz w:val="24"/>
              </w:rPr>
              <w:t>合计100分</w:t>
            </w:r>
          </w:p>
        </w:tc>
      </w:tr>
    </w:tbl>
    <w:p>
      <w:pPr>
        <w:pStyle w:val="2"/>
        <w:rPr>
          <w:rFonts w:hint="eastAsia" w:ascii="宋体" w:hAnsi="宋体" w:eastAsia="宋体" w:cs="宋体"/>
        </w:rPr>
      </w:pPr>
    </w:p>
    <w:p>
      <w:pPr>
        <w:pStyle w:val="6"/>
        <w:numPr>
          <w:ilvl w:val="0"/>
          <w:numId w:val="1"/>
        </w:numPr>
        <w:spacing w:line="360" w:lineRule="auto"/>
        <w:ind w:left="0" w:firstLine="0"/>
        <w:rPr>
          <w:rFonts w:hint="eastAsia" w:ascii="宋体" w:hAnsi="宋体" w:eastAsia="宋体" w:cs="宋体"/>
        </w:rPr>
      </w:pPr>
      <w:r>
        <w:rPr>
          <w:rFonts w:hint="eastAsia" w:ascii="宋体" w:hAnsi="宋体" w:eastAsia="宋体" w:cs="宋体"/>
          <w:lang w:val="en-US" w:eastAsia="zh-CN"/>
        </w:rPr>
        <w:t>遴选文件格式</w:t>
      </w:r>
    </w:p>
    <w:p>
      <w:pPr>
        <w:pStyle w:val="2"/>
        <w:numPr>
          <w:ilvl w:val="0"/>
          <w:numId w:val="3"/>
        </w:numPr>
        <w:rPr>
          <w:rFonts w:hint="eastAsia" w:ascii="宋体" w:hAnsi="宋体" w:eastAsia="宋体" w:cs="宋体"/>
          <w:lang w:val="en-US" w:eastAsia="zh-CN"/>
        </w:rPr>
      </w:pPr>
      <w:r>
        <w:rPr>
          <w:rFonts w:hint="eastAsia" w:ascii="宋体" w:hAnsi="宋体" w:eastAsia="宋体" w:cs="宋体"/>
          <w:lang w:val="en-US" w:eastAsia="zh-CN"/>
        </w:rPr>
        <w:t>报价清单：</w:t>
      </w:r>
    </w:p>
    <w:tbl>
      <w:tblPr>
        <w:tblStyle w:val="11"/>
        <w:tblW w:w="88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6"/>
        <w:gridCol w:w="2234"/>
        <w:gridCol w:w="3742"/>
        <w:gridCol w:w="20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序号</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项目名称</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检测内容</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default" w:ascii="Times New Roman" w:hAnsi="Times New Roman" w:eastAsia="宋体" w:cs="Times New Roman"/>
                <w:color w:val="000000"/>
                <w:sz w:val="24"/>
                <w:szCs w:val="24"/>
                <w:lang w:val="en-US" w:eastAsia="zh-CN"/>
              </w:rPr>
              <w:t>报价</w:t>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超广谱病原微生物mNGS检测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可筛查临床样本中与人类疾病相关的三万多种病原微生物，指标涵盖DNA病毒、RNA病毒（包括新型冠状病毒SARS-CoV-2）、细菌、真菌、寄生虫、耐药基因等</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p>
        </w:tc>
        <w:tc>
          <w:tcPr>
            <w:tcW w:w="2234"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个人全外显子组基因检测（临床全外显子组基因检测）</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包含人类所有基因的外显子编码区，不包括外显缺失重复，动态突变和染色体易位检测等。</w:t>
            </w:r>
          </w:p>
        </w:tc>
        <w:tc>
          <w:tcPr>
            <w:tcW w:w="206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PD-L1 表达检测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PD-L1 表达水平</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微卫星不稳定性检测（MSI）</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核苷酸重复位点共6个</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HER-2基因扩增检测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HER-2基因扩增</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w:t>
            </w:r>
          </w:p>
        </w:tc>
        <w:tc>
          <w:tcPr>
            <w:tcW w:w="2234"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乳腺癌预后评估基因检测（</w:t>
            </w:r>
            <w:r>
              <w:rPr>
                <w:rStyle w:val="21"/>
                <w:rFonts w:hint="eastAsia" w:asciiTheme="minorEastAsia" w:hAnsiTheme="minorEastAsia" w:eastAsiaTheme="minorEastAsia" w:cstheme="minorEastAsia"/>
                <w:color w:val="000000" w:themeColor="text1"/>
                <w:lang w:val="en-US" w:eastAsia="zh-CN" w:bidi="ar"/>
                <w14:textFill>
                  <w14:solidFill>
                    <w14:schemeClr w14:val="tx1"/>
                  </w14:solidFill>
                </w14:textFill>
              </w:rPr>
              <w:t>21</w:t>
            </w: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基因）</w:t>
            </w:r>
          </w:p>
        </w:tc>
        <w:tc>
          <w:tcPr>
            <w:tcW w:w="3742"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乳腺癌预后相关</w:t>
            </w:r>
            <w:r>
              <w:rPr>
                <w:rStyle w:val="21"/>
                <w:rFonts w:hint="eastAsia" w:asciiTheme="minorEastAsia" w:hAnsiTheme="minorEastAsia" w:eastAsiaTheme="minorEastAsia" w:cstheme="minorEastAsia"/>
                <w:color w:val="000000" w:themeColor="text1"/>
                <w:lang w:val="en-US" w:eastAsia="zh-CN" w:bidi="ar"/>
                <w14:textFill>
                  <w14:solidFill>
                    <w14:schemeClr w14:val="tx1"/>
                  </w14:solidFill>
                </w14:textFill>
              </w:rPr>
              <w:t>21</w:t>
            </w:r>
            <w:r>
              <w:rPr>
                <w:rStyle w:val="20"/>
                <w:rFonts w:hint="eastAsia" w:asciiTheme="minorEastAsia" w:hAnsiTheme="minorEastAsia" w:eastAsiaTheme="minorEastAsia" w:cstheme="minorEastAsia"/>
                <w:color w:val="000000" w:themeColor="text1"/>
                <w:lang w:val="en-US" w:eastAsia="zh-CN" w:bidi="ar"/>
                <w14:textFill>
                  <w14:solidFill>
                    <w14:schemeClr w14:val="tx1"/>
                  </w14:solidFill>
                </w14:textFill>
              </w:rPr>
              <w:t>个基因</w:t>
            </w:r>
          </w:p>
        </w:tc>
        <w:tc>
          <w:tcPr>
            <w:tcW w:w="206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w:t>
            </w:r>
          </w:p>
        </w:tc>
        <w:tc>
          <w:tcPr>
            <w:tcW w:w="2234"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遗传性肿瘤基因检测全面版</w:t>
            </w:r>
          </w:p>
        </w:tc>
        <w:tc>
          <w:tcPr>
            <w:tcW w:w="3742"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2"/>
                <w:rFonts w:hint="eastAsia" w:asciiTheme="minorEastAsia" w:hAnsiTheme="minorEastAsia" w:eastAsiaTheme="minorEastAsia" w:cstheme="minorEastAsia"/>
                <w:color w:val="000000" w:themeColor="text1"/>
                <w:lang w:val="en-US" w:eastAsia="zh-CN" w:bidi="ar"/>
                <w14:textFill>
                  <w14:solidFill>
                    <w14:schemeClr w14:val="tx1"/>
                  </w14:solidFill>
                </w14:textFill>
              </w:rPr>
              <w:t>采用二代测序技术，利用目标区域捕获测序方法对</w:t>
            </w:r>
            <w:r>
              <w:rPr>
                <w:rStyle w:val="23"/>
                <w:rFonts w:hint="eastAsia" w:asciiTheme="minorEastAsia" w:hAnsiTheme="minorEastAsia" w:eastAsiaTheme="minorEastAsia" w:cstheme="minorEastAsia"/>
                <w:color w:val="000000" w:themeColor="text1"/>
                <w:lang w:val="en-US" w:eastAsia="zh-CN" w:bidi="ar"/>
                <w14:textFill>
                  <w14:solidFill>
                    <w14:schemeClr w14:val="tx1"/>
                  </w14:solidFill>
                </w14:textFill>
              </w:rPr>
              <w:t xml:space="preserve"> 60 </w:t>
            </w:r>
            <w:r>
              <w:rPr>
                <w:rStyle w:val="22"/>
                <w:rFonts w:hint="eastAsia" w:asciiTheme="minorEastAsia" w:hAnsiTheme="minorEastAsia" w:eastAsiaTheme="minorEastAsia" w:cstheme="minorEastAsia"/>
                <w:color w:val="000000" w:themeColor="text1"/>
                <w:lang w:val="en-US" w:eastAsia="zh-CN" w:bidi="ar"/>
                <w14:textFill>
                  <w14:solidFill>
                    <w14:schemeClr w14:val="tx1"/>
                  </w14:solidFill>
                </w14:textFill>
              </w:rPr>
              <w:t>种肿瘤相关基因进行检测，包含所检测基因外显子区域的所有突变位点信息，检测内容包括点突变、插入/缺失突变、扩增及基因重排、融合等变异信息。全面检测遗传性肿瘤的基因突变，评估个体肿瘤易感风险。</w:t>
            </w:r>
          </w:p>
        </w:tc>
        <w:tc>
          <w:tcPr>
            <w:tcW w:w="206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w:t>
            </w:r>
          </w:p>
        </w:tc>
        <w:tc>
          <w:tcPr>
            <w:tcW w:w="2234"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实体肿瘤多基因</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变异检测（组</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织 -1000+）</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基于新一代高通量测序 (NGS) 技术，一次性检测与靶向药物信息、化疗及内分泌用药信息、遗传性肿瘤信息、免疫治疗相关信息 (MSI 和 TMB)、肿瘤核心信号通路信息、肿瘤预后信息相关的1296个基因。检测的变异类型包括点突变、 插入 / 缺失、扩增及基因融合等全部变异类型，帮助医生为患者制定专业的个体化治疗方案。</w:t>
            </w:r>
          </w:p>
        </w:tc>
        <w:tc>
          <w:tcPr>
            <w:tcW w:w="206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w:t>
            </w:r>
          </w:p>
        </w:tc>
        <w:tc>
          <w:tcPr>
            <w:tcW w:w="2234"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实体肿瘤多基因</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变异检测（血</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液 -1000+）</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基于新一代高通量测序 (NGS) 技术，一次性检测与靶向药物信息、化疗及内分泌用药信息、遗传性肿瘤信息、免疫治疗相关信息 (MSI 和 TMB)、肿瘤核心信号通路信息、肿瘤预后信息相关的1296个基因。检测的变异类型包括点突变、 插入 / 缺失、扩增及基因融合等全部变异类型，帮助医生为患者制定专业的个体化治疗方案。该检测全面，适用于实体瘤患者。</w:t>
            </w:r>
          </w:p>
        </w:tc>
        <w:tc>
          <w:tcPr>
            <w:tcW w:w="206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2234"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Style w:val="24"/>
                <w:rFonts w:hint="eastAsia" w:asciiTheme="minorEastAsia" w:hAnsiTheme="minorEastAsia" w:eastAsiaTheme="minorEastAsia" w:cstheme="minorEastAsia"/>
                <w:color w:val="000000" w:themeColor="text1"/>
                <w:lang w:val="en-US" w:eastAsia="zh-CN" w:bidi="ar"/>
                <w14:textFill>
                  <w14:solidFill>
                    <w14:schemeClr w14:val="tx1"/>
                  </w14:solidFill>
                </w14:textFill>
              </w:rPr>
              <w:t>基因拷贝数变异测序</w:t>
            </w:r>
            <w:r>
              <w:rPr>
                <w:rStyle w:val="25"/>
                <w:rFonts w:hint="eastAsia" w:asciiTheme="minorEastAsia" w:hAnsiTheme="minorEastAsia" w:eastAsiaTheme="minorEastAsia" w:cstheme="minorEastAsia"/>
                <w:color w:val="000000" w:themeColor="text1"/>
                <w:lang w:val="en-US" w:eastAsia="zh-CN" w:bidi="ar"/>
                <w14:textFill>
                  <w14:solidFill>
                    <w14:schemeClr w14:val="tx1"/>
                  </w14:solidFill>
                </w14:textFill>
              </w:rPr>
              <w:t>(CNV-seq)1.0</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3 对染色体非整倍体以及大于 100KB 的微缺失 / 微重复</w:t>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检测</w:t>
            </w:r>
          </w:p>
        </w:tc>
        <w:tc>
          <w:tcPr>
            <w:tcW w:w="2063" w:type="dxa"/>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儿童安全用药基因检测（II）</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51个基因82个位点127种药物</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12</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染色体核型分型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23对染色体异常检测</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13</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二十三项遗传性耳聋相关基因检测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先天性耳聋、药物性耳聋、大前庭水管综合征检测</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14</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遗传性耳聋18个基因100个位点相关基因突变检测（高通量测序法）</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覆盖非综合征耳聋和综合征耳聋相关的18个基因100个位点变异信息。</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遗传性耳聋基因检测（227个基因+线粒体基因组）</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227个核基因组+线粒体基因组全序列，覆盖已报道的非综合征耳聋和综合征耳聋。</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16</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GJB2编码区及剪切位点检测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GJB2外显子及其上下游10bp内含子单碱基突变、小插入缺失（&lt;20bp）</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17</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SLC26A4编码区及剪切位点检测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SLC26A4基因外显子及其上下游10bp内含子单碱基突变、小插入缺失（&lt;20bp）</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18</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杜氏/贝氏肌营养不良症(DMD/BMD)基因检测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DMD基因79个外显子编码区及其上下游50bp内含子以及21个内含子区域单碱基突变、小插入缺失（&lt;20bp）、外显子重复、外显子缺失</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19</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神经肌肉系统遗传病基因检测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覆盖肌营养不良、腓骨肌萎缩症、遗传性痉挛性截瘫等神经肌肉系统1314种遗传病、1004个基因。</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20</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癫痫相关基因检测</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覆盖早期婴儿癫痫性脑病、良性家族性新生儿癫痫等癫痫相关的498种遗传病、452个基因。</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呼吸系统靶向病原微生物核酸检测（高通量测序法）</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270</w:t>
            </w:r>
            <w:r>
              <w:rPr>
                <w:rFonts w:hint="eastAsia" w:asciiTheme="minorEastAsia" w:hAnsiTheme="minorEastAsia" w:eastAsiaTheme="minorEastAsia" w:cstheme="minorEastAsia"/>
                <w:color w:val="000000" w:themeColor="text1"/>
                <w:sz w:val="24"/>
                <w:szCs w:val="24"/>
                <w14:textFill>
                  <w14:solidFill>
                    <w14:schemeClr w14:val="tx1"/>
                  </w14:solidFill>
                </w14:textFill>
              </w:rPr>
              <w:t>多种呼吸系统感染常见病原微生物，指标涵盖DNA病毒、RNA病毒(包括新型冠状病毒 SARSCoV-2)、细菌、真菌、寄生虫等。</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中枢神经系统靶向病原微生物核酸检测（高通量测序法）</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可检测230多种中枢神经系统感染常见病原微生物，指标涵盖DNA病毒、RNA病毒、细菌、真菌、寄生虫等。</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血流感染靶向病原微生物核酸检测（高通量测序法）</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可检测230多种血流感染常见病原微生物，指标涵盖 DNA 病毒、RNA病毒、细菌、真菌、寄生虫等。</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24</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泌尿生殖系统靶向病原微生物核酸检测（高通量测序法）</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可检测72种尿道炎、膀胱炎、肾盂肾炎以及尿脓毒症等泌尿生殖系统感染常见病原微生物，指标涵盖DNA病毒、细菌、真菌、寄生虫等。</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25</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单基因病扩展性携带者筛查（基础版）-单人</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可检测24个基因，24种疾病亚型，8000多个致病性和可能致病性位点。</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26</w:t>
            </w:r>
          </w:p>
        </w:tc>
        <w:tc>
          <w:tcPr>
            <w:tcW w:w="2234"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单基因病扩展性携带者筛查（核心版）-单人</w:t>
            </w:r>
          </w:p>
        </w:tc>
        <w:tc>
          <w:tcPr>
            <w:tcW w:w="3742"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可检测200多个基因，300多种疾病亚型，15800多个致病性和可能致病性位点。</w:t>
            </w:r>
          </w:p>
        </w:tc>
        <w:tc>
          <w:tcPr>
            <w:tcW w:w="2063"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86" w:type="dxa"/>
            <w:shd w:val="clear" w:color="auto" w:fill="auto"/>
            <w:vAlign w:val="center"/>
          </w:tcPr>
          <w:p>
            <w:pPr>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27</w:t>
            </w:r>
          </w:p>
        </w:tc>
        <w:tc>
          <w:tcPr>
            <w:tcW w:w="2234"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家系（Trio）全外显子组基因检测</w:t>
            </w:r>
          </w:p>
        </w:tc>
        <w:tc>
          <w:tcPr>
            <w:tcW w:w="3742" w:type="dxa"/>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4"/>
                <w:szCs w:val="24"/>
                <w:u w:val="none"/>
                <w:lang w:val="en-US" w:eastAsia="zh-CN" w:bidi="ar"/>
                <w14:textFill>
                  <w14:solidFill>
                    <w14:schemeClr w14:val="tx1"/>
                  </w14:solidFill>
                </w14:textFill>
              </w:rPr>
              <w:t>核心家系3人均个人全外检测，覆盖人类所有基因的外显子编码区，可检测单碱基突变和小的插入缺失突变，不包括外显子缺失重复、动态突变和染色体易位检测等。</w:t>
            </w:r>
          </w:p>
        </w:tc>
        <w:tc>
          <w:tcPr>
            <w:tcW w:w="2063"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pPr>
        <w:pStyle w:val="2"/>
        <w:widowControl w:val="0"/>
        <w:numPr>
          <w:ilvl w:val="0"/>
          <w:numId w:val="0"/>
        </w:numPr>
        <w:spacing w:before="120" w:line="22" w:lineRule="atLeast"/>
        <w:jc w:val="both"/>
        <w:rPr>
          <w:rFonts w:hint="eastAsia" w:ascii="宋体" w:hAnsi="宋体" w:eastAsia="宋体" w:cs="宋体"/>
          <w:lang w:val="en-US" w:eastAsia="zh-CN"/>
        </w:rPr>
      </w:pPr>
    </w:p>
    <w:p>
      <w:pPr>
        <w:pStyle w:val="2"/>
        <w:widowControl w:val="0"/>
        <w:numPr>
          <w:ilvl w:val="0"/>
          <w:numId w:val="0"/>
        </w:numPr>
        <w:spacing w:before="120" w:line="22" w:lineRule="atLeast"/>
        <w:jc w:val="both"/>
        <w:rPr>
          <w:rFonts w:hint="eastAsia" w:ascii="宋体" w:hAnsi="宋体" w:eastAsia="宋体" w:cs="宋体"/>
          <w:lang w:val="en-US" w:eastAsia="zh-CN"/>
        </w:rPr>
      </w:pPr>
    </w:p>
    <w:p>
      <w:pPr>
        <w:pStyle w:val="2"/>
        <w:numPr>
          <w:ilvl w:val="0"/>
          <w:numId w:val="4"/>
        </w:numPr>
        <w:rPr>
          <w:rFonts w:hint="eastAsia" w:ascii="宋体" w:hAnsi="宋体" w:eastAsia="宋体" w:cs="宋体"/>
          <w:lang w:val="en-US" w:eastAsia="zh-CN"/>
        </w:rPr>
      </w:pPr>
      <w:r>
        <w:rPr>
          <w:rFonts w:hint="eastAsia" w:ascii="宋体" w:hAnsi="宋体" w:eastAsia="宋体" w:cs="宋体"/>
          <w:lang w:val="en-US" w:eastAsia="zh-CN"/>
        </w:rPr>
        <w:t>参与人员业绩</w:t>
      </w:r>
    </w:p>
    <w:p>
      <w:pPr>
        <w:pStyle w:val="2"/>
        <w:numPr>
          <w:ilvl w:val="0"/>
          <w:numId w:val="0"/>
        </w:numPr>
        <w:ind w:left="120" w:firstLine="480"/>
        <w:rPr>
          <w:rFonts w:hint="eastAsia" w:ascii="宋体" w:hAnsi="宋体" w:eastAsia="宋体" w:cs="宋体"/>
          <w:lang w:val="en-US" w:eastAsia="zh-CN"/>
        </w:rPr>
      </w:pPr>
      <w:r>
        <w:rPr>
          <w:rFonts w:hint="eastAsia" w:ascii="宋体" w:hAnsi="宋体" w:eastAsia="宋体" w:cs="宋体"/>
          <w:lang w:val="en-US" w:eastAsia="zh-CN"/>
        </w:rPr>
        <w:t>提供合同复印件并加盖公章</w:t>
      </w:r>
    </w:p>
    <w:p>
      <w:pPr>
        <w:pStyle w:val="2"/>
        <w:numPr>
          <w:ilvl w:val="0"/>
          <w:numId w:val="0"/>
        </w:numPr>
        <w:rPr>
          <w:rFonts w:hint="eastAsia" w:ascii="宋体" w:hAnsi="宋体" w:eastAsia="宋体" w:cs="宋体"/>
          <w:lang w:val="en-US" w:eastAsia="zh-CN"/>
        </w:rPr>
      </w:pPr>
    </w:p>
    <w:p>
      <w:pPr>
        <w:pStyle w:val="2"/>
        <w:numPr>
          <w:ilvl w:val="0"/>
          <w:numId w:val="0"/>
        </w:numPr>
        <w:rPr>
          <w:rFonts w:hint="eastAsia" w:ascii="宋体" w:hAnsi="宋体" w:eastAsia="宋体" w:cs="宋体"/>
          <w:lang w:val="en-US" w:eastAsia="zh-CN"/>
        </w:rPr>
      </w:pPr>
      <w:r>
        <w:rPr>
          <w:rFonts w:hint="eastAsia" w:ascii="宋体" w:hAnsi="宋体" w:eastAsia="宋体" w:cs="宋体"/>
          <w:lang w:val="en-US" w:eastAsia="zh-CN"/>
        </w:rPr>
        <w:t>（3）信用状况</w:t>
      </w:r>
    </w:p>
    <w:p>
      <w:pPr>
        <w:pStyle w:val="2"/>
        <w:numPr>
          <w:ilvl w:val="0"/>
          <w:numId w:val="0"/>
        </w:numPr>
        <w:ind w:left="120" w:firstLine="480"/>
        <w:rPr>
          <w:rFonts w:hint="eastAsia" w:ascii="宋体" w:hAnsi="宋体" w:eastAsia="宋体" w:cs="宋体"/>
          <w:lang w:val="en-US" w:eastAsia="zh-CN"/>
        </w:rPr>
      </w:pPr>
      <w:r>
        <w:rPr>
          <w:rFonts w:hint="eastAsia" w:ascii="宋体" w:hAnsi="宋体" w:eastAsia="宋体" w:cs="宋体"/>
          <w:lang w:val="en-US" w:eastAsia="zh-CN"/>
        </w:rPr>
        <w:t>提供AAA信用等级证书须提供证书复印件</w:t>
      </w:r>
    </w:p>
    <w:p>
      <w:pPr>
        <w:pStyle w:val="2"/>
        <w:numPr>
          <w:ilvl w:val="0"/>
          <w:numId w:val="0"/>
        </w:numPr>
        <w:rPr>
          <w:rFonts w:hint="eastAsia" w:ascii="宋体" w:hAnsi="宋体" w:eastAsia="宋体" w:cs="宋体"/>
          <w:lang w:val="en-US" w:eastAsia="zh-CN"/>
        </w:rPr>
      </w:pPr>
    </w:p>
    <w:p>
      <w:pPr>
        <w:pStyle w:val="2"/>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（4）实验室ISO15189 质量体系认证提供资质或认证证书复印件。</w:t>
      </w:r>
    </w:p>
    <w:p>
      <w:pPr>
        <w:pStyle w:val="2"/>
        <w:numPr>
          <w:ilvl w:val="0"/>
          <w:numId w:val="0"/>
        </w:numPr>
        <w:ind w:leftChars="0"/>
        <w:rPr>
          <w:rFonts w:hint="eastAsia" w:ascii="宋体" w:hAnsi="宋体" w:eastAsia="宋体" w:cs="宋体"/>
          <w:lang w:val="en-US" w:eastAsia="zh-CN"/>
        </w:rPr>
      </w:pPr>
    </w:p>
    <w:p>
      <w:pPr>
        <w:pStyle w:val="2"/>
        <w:numPr>
          <w:ilvl w:val="0"/>
          <w:numId w:val="0"/>
        </w:numPr>
        <w:ind w:firstLine="240" w:firstLineChars="100"/>
        <w:rPr>
          <w:rFonts w:hint="eastAsia" w:ascii="宋体" w:hAnsi="宋体" w:eastAsia="宋体" w:cs="宋体"/>
          <w:kern w:val="2"/>
          <w:sz w:val="24"/>
        </w:rPr>
      </w:pPr>
      <w:r>
        <w:rPr>
          <w:rFonts w:hint="eastAsia" w:cs="宋体"/>
          <w:lang w:val="en-US" w:eastAsia="zh-CN"/>
        </w:rPr>
        <w:t>(</w:t>
      </w:r>
      <w:r>
        <w:rPr>
          <w:rFonts w:hint="eastAsia" w:ascii="宋体" w:hAnsi="宋体" w:eastAsia="宋体" w:cs="宋体"/>
          <w:lang w:val="en-US" w:eastAsia="zh-CN"/>
        </w:rPr>
        <w:t>5）</w:t>
      </w:r>
      <w:r>
        <w:rPr>
          <w:rFonts w:hint="eastAsia" w:ascii="宋体" w:hAnsi="宋体" w:eastAsia="宋体" w:cs="宋体"/>
          <w:kern w:val="0"/>
          <w:sz w:val="24"/>
        </w:rPr>
        <w:t>检测方案</w:t>
      </w:r>
    </w:p>
    <w:p>
      <w:pPr>
        <w:pStyle w:val="2"/>
        <w:numPr>
          <w:ilvl w:val="0"/>
          <w:numId w:val="0"/>
        </w:numPr>
        <w:ind w:left="120" w:leftChars="0" w:firstLine="480"/>
        <w:rPr>
          <w:rFonts w:hint="eastAsia" w:ascii="宋体" w:hAnsi="宋体" w:eastAsia="宋体" w:cs="宋体"/>
          <w:kern w:val="0"/>
          <w:sz w:val="24"/>
          <w:lang w:val="en-US" w:eastAsia="zh-CN"/>
        </w:rPr>
      </w:pPr>
      <w:r>
        <w:rPr>
          <w:rFonts w:hint="eastAsia" w:cs="宋体"/>
          <w:kern w:val="2"/>
          <w:sz w:val="24"/>
          <w:lang w:val="en-US" w:eastAsia="zh-CN"/>
        </w:rPr>
        <w:t>对照</w:t>
      </w:r>
      <w:r>
        <w:rPr>
          <w:rFonts w:hint="eastAsia" w:cs="宋体"/>
          <w:kern w:val="0"/>
          <w:sz w:val="24"/>
          <w:lang w:val="en-US" w:eastAsia="zh-CN"/>
        </w:rPr>
        <w:t>评审标准，格式自拟</w:t>
      </w:r>
    </w:p>
    <w:p>
      <w:pPr>
        <w:pStyle w:val="2"/>
        <w:numPr>
          <w:ilvl w:val="0"/>
          <w:numId w:val="5"/>
        </w:numPr>
        <w:ind w:left="120" w:leftChars="0" w:firstLine="0" w:firstLineChars="0"/>
        <w:rPr>
          <w:rFonts w:hint="eastAsia" w:ascii="宋体" w:hAnsi="宋体" w:eastAsia="宋体" w:cs="宋体"/>
          <w:kern w:val="0"/>
          <w:sz w:val="24"/>
        </w:rPr>
      </w:pPr>
      <w:r>
        <w:rPr>
          <w:rFonts w:hint="eastAsia" w:ascii="宋体" w:hAnsi="宋体" w:eastAsia="宋体" w:cs="宋体"/>
          <w:kern w:val="0"/>
          <w:sz w:val="24"/>
        </w:rPr>
        <w:t>检测项目质量保证</w:t>
      </w:r>
    </w:p>
    <w:p>
      <w:pPr>
        <w:pStyle w:val="2"/>
        <w:numPr>
          <w:ilvl w:val="0"/>
          <w:numId w:val="0"/>
        </w:numPr>
        <w:ind w:left="120" w:leftChars="0" w:firstLine="480"/>
        <w:rPr>
          <w:rFonts w:hint="eastAsia" w:ascii="宋体" w:hAnsi="宋体" w:eastAsia="宋体" w:cs="宋体"/>
          <w:kern w:val="0"/>
          <w:sz w:val="24"/>
          <w:lang w:val="en-US" w:eastAsia="zh-CN"/>
        </w:rPr>
      </w:pPr>
      <w:r>
        <w:rPr>
          <w:rFonts w:hint="eastAsia" w:cs="宋体"/>
          <w:kern w:val="0"/>
          <w:sz w:val="24"/>
          <w:lang w:val="en-US" w:eastAsia="zh-CN"/>
        </w:rPr>
        <w:t>对照评审标准，格式自拟</w:t>
      </w:r>
    </w:p>
    <w:p>
      <w:pPr>
        <w:pStyle w:val="2"/>
        <w:numPr>
          <w:ilvl w:val="0"/>
          <w:numId w:val="0"/>
        </w:numPr>
        <w:ind w:left="120" w:leftChars="0"/>
        <w:rPr>
          <w:rFonts w:hint="eastAsia" w:ascii="宋体" w:hAnsi="宋体" w:eastAsia="宋体" w:cs="宋体"/>
          <w:kern w:val="0"/>
          <w:sz w:val="24"/>
          <w:lang w:val="en-US" w:eastAsia="zh-CN"/>
        </w:rPr>
      </w:pPr>
    </w:p>
    <w:p>
      <w:pPr>
        <w:pStyle w:val="2"/>
        <w:numPr>
          <w:ilvl w:val="0"/>
          <w:numId w:val="5"/>
        </w:numPr>
        <w:ind w:left="120" w:leftChars="0" w:firstLine="0" w:firstLineChars="0"/>
        <w:rPr>
          <w:rFonts w:hint="eastAsia" w:ascii="宋体" w:hAnsi="宋体" w:eastAsia="宋体" w:cs="宋体"/>
          <w:kern w:val="0"/>
          <w:sz w:val="24"/>
        </w:rPr>
      </w:pPr>
      <w:r>
        <w:rPr>
          <w:rFonts w:hint="eastAsia" w:ascii="宋体" w:hAnsi="宋体" w:eastAsia="宋体" w:cs="宋体"/>
          <w:kern w:val="0"/>
          <w:sz w:val="24"/>
        </w:rPr>
        <w:t>团队配置</w:t>
      </w:r>
    </w:p>
    <w:p>
      <w:pPr>
        <w:pStyle w:val="2"/>
        <w:numPr>
          <w:ilvl w:val="0"/>
          <w:numId w:val="0"/>
        </w:numPr>
        <w:ind w:left="120" w:leftChars="0"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提供本项目服务团队人员配置、职称、学历，</w:t>
      </w:r>
      <w:r>
        <w:rPr>
          <w:rFonts w:hint="eastAsia" w:cs="宋体"/>
          <w:kern w:val="0"/>
          <w:sz w:val="24"/>
          <w:lang w:val="en-US" w:eastAsia="zh-CN"/>
        </w:rPr>
        <w:t>对照评审标准，格式自拟</w:t>
      </w:r>
    </w:p>
    <w:p>
      <w:pPr>
        <w:pStyle w:val="2"/>
        <w:numPr>
          <w:ilvl w:val="0"/>
          <w:numId w:val="0"/>
        </w:numPr>
        <w:ind w:left="120" w:leftChars="0"/>
        <w:rPr>
          <w:rFonts w:hint="eastAsia" w:ascii="宋体" w:hAnsi="宋体" w:eastAsia="宋体" w:cs="宋体"/>
          <w:kern w:val="0"/>
          <w:sz w:val="24"/>
          <w:lang w:val="en-US" w:eastAsia="zh-CN"/>
        </w:rPr>
      </w:pPr>
    </w:p>
    <w:p>
      <w:pPr>
        <w:pStyle w:val="2"/>
        <w:numPr>
          <w:ilvl w:val="0"/>
          <w:numId w:val="5"/>
        </w:numPr>
        <w:ind w:left="120" w:leftChars="0" w:firstLine="0" w:firstLineChars="0"/>
        <w:rPr>
          <w:rFonts w:hint="eastAsia" w:ascii="宋体" w:hAnsi="宋体" w:eastAsia="宋体" w:cs="宋体"/>
          <w:sz w:val="24"/>
        </w:rPr>
      </w:pPr>
      <w:r>
        <w:rPr>
          <w:rFonts w:hint="eastAsia" w:ascii="宋体" w:hAnsi="宋体" w:eastAsia="宋体" w:cs="宋体"/>
          <w:sz w:val="24"/>
        </w:rPr>
        <w:t>售后服务方案</w:t>
      </w:r>
    </w:p>
    <w:p>
      <w:pPr>
        <w:pStyle w:val="2"/>
        <w:numPr>
          <w:ilvl w:val="0"/>
          <w:numId w:val="0"/>
        </w:numPr>
        <w:ind w:left="120" w:leftChars="0" w:firstLine="480"/>
        <w:rPr>
          <w:rFonts w:hint="eastAsia" w:ascii="宋体" w:hAnsi="宋体" w:eastAsia="宋体" w:cs="宋体"/>
          <w:sz w:val="24"/>
          <w:lang w:val="en-US" w:eastAsia="zh-CN"/>
        </w:rPr>
      </w:pPr>
      <w:r>
        <w:rPr>
          <w:rFonts w:hint="eastAsia" w:cs="宋体"/>
          <w:sz w:val="24"/>
          <w:lang w:val="en-US" w:eastAsia="zh-CN"/>
        </w:rPr>
        <w:t>对照评审标准，格式自拟</w:t>
      </w:r>
    </w:p>
    <w:p>
      <w:pPr>
        <w:pStyle w:val="2"/>
        <w:numPr>
          <w:ilvl w:val="0"/>
          <w:numId w:val="0"/>
        </w:numPr>
        <w:ind w:left="120" w:leftChars="0" w:firstLine="480"/>
        <w:rPr>
          <w:rFonts w:hint="eastAsia" w:ascii="宋体" w:hAnsi="宋体" w:eastAsia="宋体" w:cs="宋体"/>
          <w:sz w:val="24"/>
          <w:lang w:val="en-US" w:eastAsia="zh-CN"/>
        </w:rPr>
      </w:pPr>
    </w:p>
    <w:p>
      <w:pPr>
        <w:pStyle w:val="2"/>
        <w:numPr>
          <w:ilvl w:val="0"/>
          <w:numId w:val="5"/>
        </w:numPr>
        <w:ind w:left="120" w:leftChars="0" w:firstLine="0" w:firstLineChars="0"/>
        <w:rPr>
          <w:rFonts w:hint="eastAsia" w:ascii="宋体" w:hAnsi="宋体" w:eastAsia="宋体" w:cs="宋体"/>
          <w:kern w:val="0"/>
          <w:sz w:val="24"/>
          <w:lang w:val="en-US" w:eastAsia="zh-CN"/>
        </w:rPr>
      </w:pPr>
      <w:r>
        <w:rPr>
          <w:rFonts w:hint="eastAsia" w:ascii="宋体" w:hAnsi="宋体" w:eastAsia="宋体" w:cs="宋体"/>
          <w:kern w:val="0"/>
          <w:sz w:val="24"/>
        </w:rPr>
        <w:t>检验项目结果报送</w:t>
      </w:r>
      <w:r>
        <w:rPr>
          <w:rFonts w:hint="eastAsia" w:ascii="宋体" w:hAnsi="宋体" w:eastAsia="宋体" w:cs="宋体"/>
          <w:kern w:val="0"/>
          <w:sz w:val="24"/>
          <w:lang w:val="en-US" w:eastAsia="zh-CN"/>
        </w:rPr>
        <w:t>方案</w:t>
      </w:r>
    </w:p>
    <w:p>
      <w:pPr>
        <w:pStyle w:val="2"/>
        <w:numPr>
          <w:ilvl w:val="0"/>
          <w:numId w:val="0"/>
        </w:numPr>
        <w:ind w:left="120" w:leftChars="0" w:firstLine="480" w:firstLineChars="0"/>
        <w:rPr>
          <w:rFonts w:hint="default" w:ascii="宋体" w:hAnsi="宋体" w:eastAsia="宋体" w:cs="宋体"/>
          <w:kern w:val="0"/>
          <w:sz w:val="24"/>
          <w:lang w:val="en-US" w:eastAsia="zh-CN"/>
        </w:rPr>
      </w:pPr>
      <w:r>
        <w:rPr>
          <w:rFonts w:hint="eastAsia" w:cs="宋体"/>
          <w:kern w:val="0"/>
          <w:sz w:val="24"/>
          <w:lang w:val="en-US" w:eastAsia="zh-CN"/>
        </w:rPr>
        <w:t>对标“二 技术要求-项目清单里面的时效要求”，列表方式填写；</w:t>
      </w:r>
    </w:p>
    <w:p>
      <w:pPr>
        <w:pStyle w:val="2"/>
        <w:numPr>
          <w:ilvl w:val="0"/>
          <w:numId w:val="0"/>
        </w:numPr>
        <w:ind w:left="120" w:leftChars="0" w:firstLine="480"/>
        <w:rPr>
          <w:rFonts w:hint="eastAsia" w:ascii="宋体" w:hAnsi="宋体" w:eastAsia="宋体" w:cs="宋体"/>
          <w:kern w:val="0"/>
          <w:sz w:val="24"/>
          <w:lang w:val="en-US" w:eastAsia="zh-CN"/>
        </w:rPr>
      </w:pPr>
      <w:r>
        <w:rPr>
          <w:rFonts w:hint="eastAsia" w:cs="宋体"/>
          <w:kern w:val="2"/>
          <w:sz w:val="24"/>
          <w:lang w:val="en-US" w:eastAsia="zh-CN"/>
        </w:rPr>
        <w:t>其他，</w:t>
      </w:r>
      <w:r>
        <w:rPr>
          <w:rFonts w:hint="eastAsia" w:cs="宋体"/>
          <w:kern w:val="0"/>
          <w:sz w:val="24"/>
          <w:lang w:val="en-US" w:eastAsia="zh-CN"/>
        </w:rPr>
        <w:t>对照评审标准，格式自拟</w:t>
      </w:r>
    </w:p>
    <w:p>
      <w:pPr>
        <w:pStyle w:val="2"/>
        <w:numPr>
          <w:ilvl w:val="0"/>
          <w:numId w:val="0"/>
        </w:numPr>
        <w:ind w:left="120" w:leftChars="0" w:firstLine="480"/>
        <w:rPr>
          <w:rFonts w:hint="eastAsia" w:ascii="宋体" w:hAnsi="宋体" w:eastAsia="宋体" w:cs="宋体"/>
          <w:kern w:val="0"/>
          <w:sz w:val="24"/>
          <w:lang w:val="en-US" w:eastAsia="zh-CN"/>
        </w:rPr>
      </w:pPr>
    </w:p>
    <w:p>
      <w:pPr>
        <w:pStyle w:val="2"/>
        <w:numPr>
          <w:ilvl w:val="0"/>
          <w:numId w:val="5"/>
        </w:numPr>
        <w:ind w:left="120" w:leftChars="0" w:firstLine="0" w:firstLineChars="0"/>
        <w:rPr>
          <w:rFonts w:hint="eastAsia" w:ascii="宋体" w:hAnsi="宋体" w:eastAsia="宋体" w:cs="宋体"/>
          <w:kern w:val="0"/>
          <w:sz w:val="24"/>
        </w:rPr>
      </w:pPr>
      <w:r>
        <w:rPr>
          <w:rFonts w:hint="eastAsia" w:ascii="宋体" w:hAnsi="宋体" w:eastAsia="宋体" w:cs="宋体"/>
          <w:kern w:val="0"/>
          <w:sz w:val="24"/>
        </w:rPr>
        <w:t>应急处理方案</w:t>
      </w:r>
    </w:p>
    <w:p>
      <w:pPr>
        <w:pStyle w:val="2"/>
        <w:numPr>
          <w:ilvl w:val="0"/>
          <w:numId w:val="0"/>
        </w:numPr>
        <w:ind w:left="120" w:firstLine="480"/>
      </w:pPr>
      <w:r>
        <w:rPr>
          <w:rFonts w:hint="eastAsia" w:cs="宋体"/>
          <w:kern w:val="0"/>
          <w:sz w:val="24"/>
          <w:lang w:val="en-US" w:eastAsia="zh-CN"/>
        </w:rPr>
        <w:t>对照评审标准，格式自拟</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78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9C5FB5"/>
    <w:multiLevelType w:val="singleLevel"/>
    <w:tmpl w:val="DB9C5FB5"/>
    <w:lvl w:ilvl="0" w:tentative="0">
      <w:start w:val="2"/>
      <w:numFmt w:val="decimal"/>
      <w:suff w:val="nothing"/>
      <w:lvlText w:val="（%1）"/>
      <w:lvlJc w:val="left"/>
    </w:lvl>
  </w:abstractNum>
  <w:abstractNum w:abstractNumId="1">
    <w:nsid w:val="F588B72D"/>
    <w:multiLevelType w:val="singleLevel"/>
    <w:tmpl w:val="F588B72D"/>
    <w:lvl w:ilvl="0" w:tentative="0">
      <w:start w:val="1"/>
      <w:numFmt w:val="decimal"/>
      <w:lvlText w:val="(%1)"/>
      <w:lvlJc w:val="left"/>
      <w:pPr>
        <w:tabs>
          <w:tab w:val="left" w:pos="312"/>
        </w:tabs>
      </w:pPr>
    </w:lvl>
  </w:abstractNum>
  <w:abstractNum w:abstractNumId="2">
    <w:nsid w:val="5244334A"/>
    <w:multiLevelType w:val="multilevel"/>
    <w:tmpl w:val="5244334A"/>
    <w:lvl w:ilvl="0" w:tentative="0">
      <w:start w:val="1"/>
      <w:numFmt w:val="decimal"/>
      <w:lvlText w:val="（%1）"/>
      <w:lvlJc w:val="left"/>
      <w:pPr>
        <w:ind w:left="-60" w:hanging="420"/>
      </w:pPr>
    </w:lvl>
    <w:lvl w:ilvl="1" w:tentative="0">
      <w:start w:val="1"/>
      <w:numFmt w:val="lowerLetter"/>
      <w:lvlText w:val="%2)"/>
      <w:lvlJc w:val="left"/>
      <w:pPr>
        <w:ind w:left="360" w:hanging="420"/>
      </w:pPr>
    </w:lvl>
    <w:lvl w:ilvl="2" w:tentative="0">
      <w:start w:val="1"/>
      <w:numFmt w:val="lowerRoman"/>
      <w:lvlText w:val="%3."/>
      <w:lvlJc w:val="right"/>
      <w:pPr>
        <w:ind w:left="780" w:hanging="420"/>
      </w:pPr>
    </w:lvl>
    <w:lvl w:ilvl="3" w:tentative="0">
      <w:start w:val="1"/>
      <w:numFmt w:val="decimal"/>
      <w:lvlText w:val="%4."/>
      <w:lvlJc w:val="left"/>
      <w:pPr>
        <w:ind w:left="1200" w:hanging="420"/>
      </w:pPr>
    </w:lvl>
    <w:lvl w:ilvl="4" w:tentative="0">
      <w:start w:val="1"/>
      <w:numFmt w:val="lowerLetter"/>
      <w:lvlText w:val="%5)"/>
      <w:lvlJc w:val="left"/>
      <w:pPr>
        <w:ind w:left="1620" w:hanging="420"/>
      </w:pPr>
    </w:lvl>
    <w:lvl w:ilvl="5" w:tentative="0">
      <w:start w:val="1"/>
      <w:numFmt w:val="lowerRoman"/>
      <w:lvlText w:val="%6."/>
      <w:lvlJc w:val="right"/>
      <w:pPr>
        <w:ind w:left="2040" w:hanging="420"/>
      </w:pPr>
    </w:lvl>
    <w:lvl w:ilvl="6" w:tentative="0">
      <w:start w:val="1"/>
      <w:numFmt w:val="decimal"/>
      <w:lvlText w:val="%7."/>
      <w:lvlJc w:val="left"/>
      <w:pPr>
        <w:ind w:left="2460" w:hanging="420"/>
      </w:pPr>
    </w:lvl>
    <w:lvl w:ilvl="7" w:tentative="0">
      <w:start w:val="1"/>
      <w:numFmt w:val="lowerLetter"/>
      <w:lvlText w:val="%8)"/>
      <w:lvlJc w:val="left"/>
      <w:pPr>
        <w:ind w:left="2880" w:hanging="420"/>
      </w:pPr>
    </w:lvl>
    <w:lvl w:ilvl="8" w:tentative="0">
      <w:start w:val="1"/>
      <w:numFmt w:val="lowerRoman"/>
      <w:lvlText w:val="%9."/>
      <w:lvlJc w:val="right"/>
      <w:pPr>
        <w:ind w:left="3300" w:hanging="420"/>
      </w:pPr>
    </w:lvl>
  </w:abstractNum>
  <w:abstractNum w:abstractNumId="3">
    <w:nsid w:val="681952DC"/>
    <w:multiLevelType w:val="multilevel"/>
    <w:tmpl w:val="681952DC"/>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E5F50D5"/>
    <w:multiLevelType w:val="singleLevel"/>
    <w:tmpl w:val="6E5F50D5"/>
    <w:lvl w:ilvl="0" w:tentative="0">
      <w:start w:val="6"/>
      <w:numFmt w:val="decimal"/>
      <w:suff w:val="nothing"/>
      <w:lvlText w:val="（%1）"/>
      <w:lvlJc w:val="left"/>
      <w:pPr>
        <w:ind w:left="120" w:leftChars="0" w:firstLine="0" w:firstLineChars="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64670"/>
    <w:rsid w:val="078608E3"/>
    <w:rsid w:val="0817778D"/>
    <w:rsid w:val="08CB32A5"/>
    <w:rsid w:val="08E75EC9"/>
    <w:rsid w:val="0A5627EE"/>
    <w:rsid w:val="104E26F8"/>
    <w:rsid w:val="12696E37"/>
    <w:rsid w:val="130A061A"/>
    <w:rsid w:val="14AB7BDB"/>
    <w:rsid w:val="15916DD0"/>
    <w:rsid w:val="15FD2441"/>
    <w:rsid w:val="168D3A3C"/>
    <w:rsid w:val="179D1EA6"/>
    <w:rsid w:val="1CFA5AAB"/>
    <w:rsid w:val="22C30F5F"/>
    <w:rsid w:val="25812E20"/>
    <w:rsid w:val="2A924D25"/>
    <w:rsid w:val="2ABB0720"/>
    <w:rsid w:val="2D1B5DB0"/>
    <w:rsid w:val="2D6A3D37"/>
    <w:rsid w:val="2E7F5D94"/>
    <w:rsid w:val="2EA96AE1"/>
    <w:rsid w:val="2FC50223"/>
    <w:rsid w:val="2FD01CF5"/>
    <w:rsid w:val="30857F17"/>
    <w:rsid w:val="323E760F"/>
    <w:rsid w:val="34401C96"/>
    <w:rsid w:val="35F971FD"/>
    <w:rsid w:val="36AE1139"/>
    <w:rsid w:val="36B00376"/>
    <w:rsid w:val="36C52444"/>
    <w:rsid w:val="377D7FC7"/>
    <w:rsid w:val="39406294"/>
    <w:rsid w:val="3A9B7C26"/>
    <w:rsid w:val="3AA82343"/>
    <w:rsid w:val="3B0A72B0"/>
    <w:rsid w:val="3B6A0C9A"/>
    <w:rsid w:val="3B9842C3"/>
    <w:rsid w:val="404C3770"/>
    <w:rsid w:val="40B82BB4"/>
    <w:rsid w:val="41160006"/>
    <w:rsid w:val="41310584"/>
    <w:rsid w:val="43E345FE"/>
    <w:rsid w:val="44024872"/>
    <w:rsid w:val="44B50869"/>
    <w:rsid w:val="45C254AB"/>
    <w:rsid w:val="46955E71"/>
    <w:rsid w:val="482945DC"/>
    <w:rsid w:val="482B7710"/>
    <w:rsid w:val="488066AD"/>
    <w:rsid w:val="49A35F4A"/>
    <w:rsid w:val="4AAC5537"/>
    <w:rsid w:val="4C6C31D0"/>
    <w:rsid w:val="4DFC67D6"/>
    <w:rsid w:val="4E8D5680"/>
    <w:rsid w:val="4F1B7528"/>
    <w:rsid w:val="511035BF"/>
    <w:rsid w:val="518B234A"/>
    <w:rsid w:val="52221209"/>
    <w:rsid w:val="5552317F"/>
    <w:rsid w:val="5A8E08C3"/>
    <w:rsid w:val="5CBC17E5"/>
    <w:rsid w:val="5D8F4F70"/>
    <w:rsid w:val="5E483607"/>
    <w:rsid w:val="5E836E79"/>
    <w:rsid w:val="5EF27EA4"/>
    <w:rsid w:val="5F052B24"/>
    <w:rsid w:val="60B76BC0"/>
    <w:rsid w:val="61882403"/>
    <w:rsid w:val="659E6F8D"/>
    <w:rsid w:val="65BA4B55"/>
    <w:rsid w:val="67524236"/>
    <w:rsid w:val="67554D65"/>
    <w:rsid w:val="6821710D"/>
    <w:rsid w:val="68732808"/>
    <w:rsid w:val="68F111E8"/>
    <w:rsid w:val="696B783B"/>
    <w:rsid w:val="696C260A"/>
    <w:rsid w:val="69B907A6"/>
    <w:rsid w:val="6A550CD8"/>
    <w:rsid w:val="6CDB4B1B"/>
    <w:rsid w:val="70C93B6D"/>
    <w:rsid w:val="711C0A90"/>
    <w:rsid w:val="72E056A6"/>
    <w:rsid w:val="731E074D"/>
    <w:rsid w:val="748515FE"/>
    <w:rsid w:val="77402E22"/>
    <w:rsid w:val="775A1CF3"/>
    <w:rsid w:val="7A8C48BA"/>
    <w:rsid w:val="7B8A06EE"/>
    <w:rsid w:val="7C8021FC"/>
    <w:rsid w:val="7CB64A89"/>
    <w:rsid w:val="7F552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qFormat/>
    <w:uiPriority w:val="9"/>
    <w:pPr>
      <w:keepNext/>
      <w:keepLines/>
      <w:autoSpaceDE w:val="0"/>
      <w:autoSpaceDN w:val="0"/>
      <w:adjustRightInd w:val="0"/>
      <w:spacing w:before="120" w:line="300" w:lineRule="auto"/>
      <w:jc w:val="left"/>
      <w:outlineLvl w:val="1"/>
    </w:pPr>
    <w:rPr>
      <w:rFonts w:ascii="Arial" w:hAnsi="Arial" w:eastAsia="仿宋"/>
      <w:b/>
      <w:kern w:val="0"/>
      <w:sz w:val="30"/>
      <w:szCs w:val="20"/>
    </w:rPr>
  </w:style>
  <w:style w:type="paragraph" w:styleId="6">
    <w:name w:val="heading 3"/>
    <w:basedOn w:val="1"/>
    <w:next w:val="5"/>
    <w:qFormat/>
    <w:uiPriority w:val="0"/>
    <w:pPr>
      <w:keepNext/>
      <w:keepLines/>
      <w:autoSpaceDE w:val="0"/>
      <w:autoSpaceDN w:val="0"/>
      <w:adjustRightInd w:val="0"/>
      <w:jc w:val="left"/>
      <w:outlineLvl w:val="2"/>
    </w:pPr>
    <w:rPr>
      <w:rFonts w:ascii="宋体" w:eastAsia="仿宋"/>
      <w:b/>
      <w:kern w:val="0"/>
      <w:sz w:val="28"/>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Normal Indent"/>
    <w:basedOn w:val="1"/>
    <w:qFormat/>
    <w:uiPriority w:val="0"/>
    <w:pPr>
      <w:autoSpaceDE w:val="0"/>
      <w:autoSpaceDN w:val="0"/>
      <w:adjustRightInd w:val="0"/>
      <w:ind w:firstLine="420"/>
      <w:jc w:val="left"/>
    </w:pPr>
    <w:rPr>
      <w:rFonts w:ascii="宋体"/>
      <w:kern w:val="0"/>
      <w:sz w:val="24"/>
      <w:szCs w:val="20"/>
    </w:r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paragraph" w:styleId="10">
    <w:name w:val="index 1"/>
    <w:basedOn w:val="1"/>
    <w:next w:val="1"/>
    <w:qFormat/>
    <w:uiPriority w:val="0"/>
    <w:rPr>
      <w:szCs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无"/>
    <w:qFormat/>
    <w:uiPriority w:val="0"/>
  </w:style>
  <w:style w:type="paragraph" w:customStyle="1" w:styleId="16">
    <w:name w:val="索引 11"/>
    <w:basedOn w:val="1"/>
    <w:next w:val="1"/>
    <w:qFormat/>
    <w:uiPriority w:val="0"/>
    <w:rPr>
      <w:szCs w:val="20"/>
    </w:rPr>
  </w:style>
  <w:style w:type="paragraph" w:customStyle="1" w:styleId="17">
    <w:name w:val="彩色列表 - 强调文字颜色 11"/>
    <w:basedOn w:val="1"/>
    <w:qFormat/>
    <w:uiPriority w:val="0"/>
    <w:pPr>
      <w:ind w:firstLine="420" w:firstLineChars="200"/>
    </w:pPr>
    <w:rPr>
      <w:rFonts w:ascii="Calibri" w:hAnsi="Calibri" w:cs="Calibri"/>
      <w:szCs w:val="21"/>
    </w:rPr>
  </w:style>
  <w:style w:type="paragraph" w:customStyle="1" w:styleId="18">
    <w:name w:val="列出段落1"/>
    <w:basedOn w:val="1"/>
    <w:qFormat/>
    <w:uiPriority w:val="34"/>
    <w:pPr>
      <w:ind w:firstLine="420" w:firstLineChars="200"/>
    </w:pPr>
  </w:style>
  <w:style w:type="paragraph" w:customStyle="1" w:styleId="19">
    <w:name w:val="A医学导论 正文 20230107"/>
    <w:basedOn w:val="1"/>
    <w:qFormat/>
    <w:uiPriority w:val="0"/>
    <w:pPr>
      <w:widowControl/>
      <w:spacing w:line="360" w:lineRule="auto"/>
      <w:ind w:firstLine="420" w:firstLineChars="175"/>
      <w:jc w:val="left"/>
    </w:pPr>
    <w:rPr>
      <w:rFonts w:hint="eastAsia" w:ascii="宋体" w:hAnsi="宋体" w:cs="宋体"/>
      <w:sz w:val="24"/>
    </w:rPr>
  </w:style>
  <w:style w:type="character" w:customStyle="1" w:styleId="20">
    <w:name w:val="font21"/>
    <w:basedOn w:val="13"/>
    <w:uiPriority w:val="0"/>
    <w:rPr>
      <w:rFonts w:hint="eastAsia" w:ascii="宋体" w:hAnsi="宋体" w:eastAsia="宋体" w:cs="宋体"/>
      <w:color w:val="000000"/>
      <w:sz w:val="24"/>
      <w:szCs w:val="24"/>
      <w:u w:val="none"/>
    </w:rPr>
  </w:style>
  <w:style w:type="character" w:customStyle="1" w:styleId="21">
    <w:name w:val="font31"/>
    <w:basedOn w:val="13"/>
    <w:uiPriority w:val="0"/>
    <w:rPr>
      <w:rFonts w:hint="default" w:ascii="Times New Roman" w:hAnsi="Times New Roman" w:cs="Times New Roman"/>
      <w:color w:val="000000"/>
      <w:sz w:val="24"/>
      <w:szCs w:val="24"/>
      <w:u w:val="none"/>
    </w:rPr>
  </w:style>
  <w:style w:type="character" w:customStyle="1" w:styleId="22">
    <w:name w:val="font11"/>
    <w:basedOn w:val="13"/>
    <w:uiPriority w:val="0"/>
    <w:rPr>
      <w:rFonts w:hint="eastAsia" w:ascii="宋体" w:hAnsi="宋体" w:eastAsia="宋体" w:cs="宋体"/>
      <w:color w:val="FF0000"/>
      <w:sz w:val="24"/>
      <w:szCs w:val="24"/>
      <w:u w:val="none"/>
    </w:rPr>
  </w:style>
  <w:style w:type="character" w:customStyle="1" w:styleId="23">
    <w:name w:val="font41"/>
    <w:basedOn w:val="13"/>
    <w:uiPriority w:val="0"/>
    <w:rPr>
      <w:rFonts w:hint="default" w:ascii="Times New Roman" w:hAnsi="Times New Roman" w:cs="Times New Roman"/>
      <w:color w:val="FF0000"/>
      <w:sz w:val="24"/>
      <w:szCs w:val="24"/>
      <w:u w:val="none"/>
    </w:rPr>
  </w:style>
  <w:style w:type="character" w:customStyle="1" w:styleId="24">
    <w:name w:val="font51"/>
    <w:basedOn w:val="13"/>
    <w:uiPriority w:val="0"/>
    <w:rPr>
      <w:rFonts w:hint="eastAsia" w:ascii="宋体" w:hAnsi="宋体" w:eastAsia="宋体" w:cs="宋体"/>
      <w:color w:val="000000"/>
      <w:sz w:val="24"/>
      <w:szCs w:val="24"/>
      <w:u w:val="none"/>
    </w:rPr>
  </w:style>
  <w:style w:type="character" w:customStyle="1" w:styleId="25">
    <w:name w:val="font61"/>
    <w:basedOn w:val="13"/>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5537</Words>
  <Characters>6478</Characters>
  <Lines>0</Lines>
  <Paragraphs>0</Paragraphs>
  <TotalTime>0</TotalTime>
  <ScaleCrop>false</ScaleCrop>
  <LinksUpToDate>false</LinksUpToDate>
  <CharactersWithSpaces>6569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王静jie</cp:lastModifiedBy>
  <dcterms:modified xsi:type="dcterms:W3CDTF">2026-09-03T03:37:06Z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E853F7795C2041ABA2291B4DF661E9DF</vt:lpwstr>
  </property>
  <property fmtid="{D5CDD505-2E9C-101B-9397-08002B2CF9AE}" pid="4" name="KSOTemplateDocerSaveRecord">
    <vt:lpwstr>eyJoZGlkIjoiMmM3YTdmOWYzNWMwMzc4MTk0Y2FkNjUxOGM2OTc4MzEiLCJ1c2VySWQiOiIyMjQ4MzY5MjQifQ==</vt:lpwstr>
  </property>
</Properties>
</file>